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Anexo B. La carga fiscal en detalle</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 La carga fiscal en detalle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