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rPr>
          <w:vertAlign w:val="superscript"/>
        </w:rPr>
        <w:t>◦</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rPr>
          <w:vertAlign w:val="superscript"/>
        </w:rPr>
        <w:t>◦</w:t>
      </w:r>
    </w:p>
    <w:p>
      <w:r>
        <w:t>Los decretos de cese y de disolución, los fallos de las SSTC 89/2019 y 90/2019 y las cifras de la Generalitat (parte interesada) están en el nivel completo.</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rPr>
          <w:vertAlign w:val="superscript"/>
        </w:rPr>
        <w:t>◦</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rPr>
          <w:vertAlign w:val="superscript"/>
        </w:rPr>
        <w:t>◦</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rPr>
          <w:vertAlign w:val="superscript"/>
        </w:rPr>
        <w:t>◦</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rPr>
          <w:vertAlign w:val="superscript"/>
        </w:rPr>
        <w:t>◦</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rPr>
          <w:vertAlign w:val="superscript"/>
        </w:rPr>
        <w:t>◦</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rPr>
          <w:vertAlign w:val="superscript"/>
        </w:rPr>
        <w:t>◦</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rPr>
          <w:vertAlign w:val="superscript"/>
        </w:rPr>
        <w:t>◦</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rPr>
          <w:vertAlign w:val="superscript"/>
        </w:rPr>
        <w:t>◦</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rPr>
          <w:vertAlign w:val="superscript"/>
        </w:rPr>
        <w:t>◦</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rPr>
          <w:vertAlign w:val="superscript"/>
        </w:rPr>
        <w:t>◦</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rPr>
          <w:vertAlign w:val="superscript"/>
        </w:rPr>
        <w:t>◦</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rPr>
          <w:vertAlign w:val="superscript"/>
        </w:rPr>
        <w:t>◦</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rPr>
          <w:vertAlign w:val="superscript"/>
        </w:rPr>
        <w:t>◦</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rPr>
          <w:vertAlign w:val="superscript"/>
        </w:rPr>
        <w:t>◦</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rPr>
          <w:vertAlign w:val="superscript"/>
        </w:rPr>
        <w:t>◦</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rPr>
          <w:vertAlign w:val="superscript"/>
        </w:rPr>
        <w:t>◦</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rPr>
          <w:vertAlign w:val="superscript"/>
        </w:rPr>
        <w:t>◦</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rPr>
          <w:vertAlign w:val="superscript"/>
        </w:rPr>
        <w:t>◦</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rPr>
          <w:vertAlign w:val="superscript"/>
        </w:rPr>
        <w:t>◦</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rPr>
          <w:vertAlign w:val="superscript"/>
        </w:rPr>
        <w:t>◦</w:t>
      </w:r>
      <w:r>
        <w:t>.</w:t>
      </w:r>
      <w:r>
        <w:rPr>
          <w:vertAlign w:val="superscript"/>
        </w:rPr>
        <w:t>◦</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rPr>
          <w:vertAlign w:val="superscript"/>
        </w:rPr>
        <w:t>◦</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rPr>
          <w:vertAlign w:val="superscript"/>
        </w:rPr>
        <w:t>◦</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rPr>
          <w:vertAlign w:val="superscript"/>
        </w:rPr>
        <w:t>◦</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rPr>
          <w:vertAlign w:val="superscript"/>
        </w:rPr>
        <w:t>◦</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rPr>
          <w:vertAlign w:val="superscript"/>
        </w:rPr>
        <w:t>◦</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rPr>
          <w:vertAlign w:val="superscript"/>
        </w:rPr>
        <w:t>◦</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rPr>
          <w:vertAlign w:val="superscript"/>
        </w:rPr>
        <w:t>◦</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rPr>
          <w:vertAlign w:val="superscript"/>
        </w:rPr>
        <w:t>◦</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rPr>
          <w:vertAlign w:val="superscript"/>
        </w:rPr>
        <w:t>◦</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rPr>
          <w:vertAlign w:val="superscript"/>
        </w:rPr>
        <w:t>◦</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rPr>
          <w:vertAlign w:val="superscript"/>
        </w:rPr>
        <w:t>◦</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rPr>
          <w:vertAlign w:val="superscript"/>
        </w:rPr>
        <w:t>◦</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rPr>
          <w:vertAlign w:val="superscript"/>
        </w:rPr>
        <w:t>◦</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rPr>
          <w:vertAlign w:val="superscript"/>
        </w:rPr>
        <w:t>◦</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rPr>
          <w:vertAlign w:val="superscript"/>
        </w:rPr>
        <w:t>◦</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rPr>
          <w:vertAlign w:val="superscript"/>
        </w:rPr>
        <w:t>◦</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rPr>
          <w:vertAlign w:val="superscript"/>
        </w:rPr>
        <w:t>◦</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rPr>
          <w:vertAlign w:val="superscript"/>
        </w:rPr>
        <w:t>◦</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rPr>
          <w:vertAlign w:val="superscript"/>
        </w:rPr>
        <w:t>◦</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rPr>
          <w:vertAlign w:val="superscript"/>
        </w:rPr>
        <w:t>◦</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rPr>
          <w:vertAlign w:val="superscript"/>
        </w:rPr>
        <w:t>◦</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rPr>
          <w:vertAlign w:val="superscript"/>
        </w:rPr>
        <w:t>◦</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rPr>
          <w:vertAlign w:val="superscript"/>
        </w:rPr>
        <w:t>◦</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rPr>
          <w:vertAlign w:val="superscript"/>
        </w:rPr>
        <w:t>◦</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rPr>
          <w:vertAlign w:val="superscript"/>
        </w:rPr>
        <w:t>◦</w:t>
      </w:r>
      <w:r>
        <w:t xml:space="preserve">, y actualizó su redacción sobre los derechos de las personas con discapacidad (el dato, en </w:t>
      </w:r>
      <w:r>
        <w:t>7.2</w:t>
      </w:r>
      <w:r>
        <w:t>, n.º 14).</w:t>
      </w:r>
      <w:r>
        <w:rPr>
          <w:vertAlign w:val="superscript"/>
        </w:rPr>
        <w:t>◦</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rPr>
          <w:vertAlign w:val="superscript"/>
        </w:rPr>
        <w:t>◦</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rPr>
          <w:vertAlign w:val="superscript"/>
        </w:rPr>
        <w:t>◦</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rPr>
          <w:vertAlign w:val="superscript"/>
        </w:rPr>
        <w:t>◦</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rPr>
          <w:vertAlign w:val="superscript"/>
        </w:rPr>
        <w:t>◦</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rPr>
          <w:vertAlign w:val="superscript"/>
        </w:rPr>
        <w:t>◦</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rPr>
          <w:vertAlign w:val="superscript"/>
        </w:rPr>
        <w:t>◦</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rPr>
          <w:vertAlign w:val="superscript"/>
        </w:rPr>
        <w:t>◦</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rPr>
          <w:vertAlign w:val="superscript"/>
        </w:rPr>
        <w:t>◦</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rPr>
          <w:vertAlign w:val="superscript"/>
        </w:rPr>
        <w:t>◦</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rPr>
          <w:vertAlign w:val="superscript"/>
        </w:rPr>
        <w:t>◦</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rPr>
          <w:vertAlign w:val="superscript"/>
        </w:rPr>
        <w:t>◦</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rPr>
          <w:vertAlign w:val="superscript"/>
        </w:rPr>
        <w:t>◦</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rPr>
          <w:vertAlign w:val="superscript"/>
        </w:rPr>
        <w:t>◦</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rPr>
          <w:vertAlign w:val="superscript"/>
        </w:rPr>
        <w:t>◦</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rPr>
          <w:vertAlign w:val="superscript"/>
        </w:rPr>
        <w:t>◦</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rPr>
          <w:vertAlign w:val="superscript"/>
        </w:rPr>
        <w:t>◦</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rPr>
          <w:vertAlign w:val="superscript"/>
        </w:rPr>
        <w:t>◦</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rPr>
          <w:vertAlign w:val="superscript"/>
        </w:rPr>
        <w:t>◦</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rPr>
          <w:vertAlign w:val="superscript"/>
        </w:rPr>
        <w:t>◦</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rPr>
          <w:vertAlign w:val="superscript"/>
        </w:rPr>
        <w:t>◦</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rPr>
          <w:vertAlign w:val="superscript"/>
        </w:rPr>
        <w:t>◦</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rPr>
          <w:vertAlign w:val="superscript"/>
        </w:rPr>
        <w:t>◦</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rPr>
          <w:vertAlign w:val="superscript"/>
        </w:rPr>
        <w:t>◦</w:t>
      </w:r>
    </w:p>
    <w:p>
      <w:r>
        <w:t>Cada caso con su fecha y su recurso está en el nivel completo.</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rPr>
          <w:vertAlign w:val="superscript"/>
        </w:rPr>
        <w:t>◦</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rPr>
          <w:vertAlign w:val="superscript"/>
        </w:rPr>
        <w:t>◦</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rPr>
          <w:vertAlign w:val="superscript"/>
        </w:rPr>
        <w:t>◦</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rPr>
          <w:vertAlign w:val="superscript"/>
        </w:rPr>
        <w:t>◦</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rPr>
          <w:vertAlign w:val="superscript"/>
        </w:rPr>
        <w:t>◦</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rPr>
          <w:vertAlign w:val="superscript"/>
        </w:rPr>
        <w:t>◦</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rPr>
          <w:vertAlign w:val="superscript"/>
        </w:rPr>
        <w:t>◦</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rPr>
          <w:vertAlign w:val="superscript"/>
        </w:rPr>
        <w:t>◦</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rPr>
          <w:vertAlign w:val="superscript"/>
        </w:rPr>
        <w:t>◦</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rPr>
          <w:vertAlign w:val="superscript"/>
        </w:rPr>
        <w:t>◦</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rPr>
          <w:vertAlign w:val="superscript"/>
        </w:rPr>
        <w:t>◦</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rPr>
          <w:vertAlign w:val="superscript"/>
        </w:rPr>
        <w:t>◦</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rPr>
          <w:vertAlign w:val="superscript"/>
        </w:rPr>
        <w:t>◦</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rPr>
          <w:vertAlign w:val="superscript"/>
        </w:rPr>
        <w:t>◦</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rPr>
          <w:vertAlign w:val="superscript"/>
        </w:rPr>
        <w:t>◦</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rPr>
          <w:vertAlign w:val="superscript"/>
        </w:rPr>
        <w:t>◦</w:t>
      </w:r>
    </w:p>
    <w:p>
      <w:r>
        <w:t>El procedimiento del Reglamento del Senado (art. 128) está en el nivel completo.</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rPr>
          <w:vertAlign w:val="superscript"/>
        </w:rPr>
        <w:t>◦</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rPr>
          <w:vertAlign w:val="superscript"/>
        </w:rPr>
        <w:t>◦</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rPr>
          <w:vertAlign w:val="superscript"/>
        </w:rPr>
        <w:t>◦</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rPr>
          <w:vertAlign w:val="superscript"/>
        </w:rPr>
        <w:t>◦</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rPr>
          <w:vertAlign w:val="superscript"/>
        </w:rPr>
        <w:t>◦</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rPr>
          <w:vertAlign w:val="superscript"/>
        </w:rPr>
        <w:t>◦</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rPr>
          <w:vertAlign w:val="superscript"/>
        </w:rPr>
        <w:t>◦</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rPr>
          <w:vertAlign w:val="superscript"/>
        </w:rPr>
        <w:t>◦</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rPr>
          <w:vertAlign w:val="superscript"/>
        </w:rPr>
        <w:t>◦</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rPr>
          <w:vertAlign w:val="superscript"/>
        </w:rPr>
        <w:t>◦</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rPr>
          <w:vertAlign w:val="superscript"/>
        </w:rPr>
        <w:t>◦</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rPr>
          <w:vertAlign w:val="superscript"/>
        </w:rPr>
        <w:t>◦</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rPr>
          <w:vertAlign w:val="superscript"/>
        </w:rPr>
        <w:t>◦</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rPr>
          <w:vertAlign w:val="superscript"/>
        </w:rPr>
        <w:t>◦</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rPr>
          <w:vertAlign w:val="superscript"/>
        </w:rPr>
        <w:t>◦</w:t>
      </w:r>
    </w:p>
    <w:p>
      <w:r>
        <w:t>Las sentencias con su fecha, su número y su recurso están en el nivel completo.</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rPr>
          <w:vertAlign w:val="superscript"/>
        </w:rPr>
        <w:t>◦</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rPr>
          <w:vertAlign w:val="superscript"/>
        </w:rPr>
        <w:t>◦</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rPr>
          <w:vertAlign w:val="superscript"/>
        </w:rPr>
        <w:t>◦</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rPr>
          <w:vertAlign w:val="superscript"/>
        </w:rPr>
        <w:t>◦</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rPr>
          <w:vertAlign w:val="superscript"/>
        </w:rPr>
        <w:t>◦</w:t>
      </w:r>
      <w:r>
        <w:t>.</w:t>
      </w:r>
      <w:r>
        <w:rPr>
          <w:vertAlign w:val="superscript"/>
        </w:rPr>
        <w:t>◦</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rPr>
          <w:vertAlign w:val="superscript"/>
        </w:rPr>
        <w:t>◦</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rPr>
          <w:vertAlign w:val="superscript"/>
        </w:rPr>
        <w:t>◦</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rPr>
          <w:vertAlign w:val="superscript"/>
        </w:rPr>
        <w:t>◦</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rPr>
          <w:vertAlign w:val="superscript"/>
        </w:rPr>
        <w:t>◦</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rPr>
          <w:vertAlign w:val="superscript"/>
        </w:rPr>
        <w:t>◦</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rPr>
          <w:vertAlign w:val="superscript"/>
        </w:rPr>
        <w:t>◦</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rPr>
          <w:vertAlign w:val="superscript"/>
        </w:rPr>
        <w:t>◦</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rPr>
          <w:vertAlign w:val="superscript"/>
        </w:rPr>
        <w:t>◦</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rPr>
          <w:vertAlign w:val="superscript"/>
        </w:rPr>
        <w:t>◦</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rPr>
          <w:vertAlign w:val="superscript"/>
        </w:rPr>
        <w:t>◦</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rPr>
          <w:vertAlign w:val="superscript"/>
        </w:rPr>
        <w:t>◦</w:t>
      </w:r>
      <w:r>
        <w:t xml:space="preserve"> A 23-IV-2026 había 726 preguntas sin responder pasados los 40 días, de más de 40.000 registradas en la legislatura en curso.</w:t>
      </w:r>
      <w:r>
        <w:rPr>
          <w:vertAlign w:val="superscript"/>
        </w:rPr>
        <w:t>◦</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rPr>
          <w:vertAlign w:val="superscript"/>
        </w:rPr>
        <w:t>◦</w:t>
      </w:r>
      <w:r>
        <w:t>, pero entre sus datos abiertos de iniciativas, que son cuatro conjuntos (iniciativas legislativas aprobadas, proyectos de ley, propuestas de reforma de estatuto de autonomía y proposiciones de ley), no figuran las preguntas escritas</w:t>
      </w:r>
      <w:r>
        <w:rPr>
          <w:vertAlign w:val="superscript"/>
        </w:rPr>
        <w:t>◦</w:t>
      </w:r>
      <w:r>
        <w:t>. Las cifras de plazos que se han podido leer son de terceros.</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rPr>
          <w:vertAlign w:val="superscript"/>
        </w:rPr>
        <w:t>◦</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rPr>
          <w:vertAlign w:val="superscript"/>
        </w:rPr>
        <w:t>◦</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rPr>
          <w:vertAlign w:val="superscript"/>
        </w:rPr>
        <w:t>◦</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rPr>
          <w:vertAlign w:val="superscript"/>
        </w:rPr>
        <w:t>◦</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rPr>
          <w:vertAlign w:val="superscript"/>
        </w:rPr>
        <w:t>◦</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rPr>
          <w:vertAlign w:val="superscript"/>
        </w:rPr>
        <w:t>◦</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rPr>
          <w:vertAlign w:val="superscript"/>
        </w:rPr>
        <w:t>◦</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rPr>
          <w:vertAlign w:val="superscript"/>
        </w:rPr>
        <w:t>◦</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rPr>
          <w:vertAlign w:val="superscript"/>
        </w:rPr>
        <w:t>◦</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rPr>
          <w:vertAlign w:val="superscript"/>
        </w:rPr>
        <w:t>◦</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rPr>
          <w:vertAlign w:val="superscript"/>
        </w:rPr>
        <w:t>◦</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rPr>
          <w:vertAlign w:val="superscript"/>
        </w:rPr>
        <w:t>◦</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rPr>
          <w:vertAlign w:val="superscript"/>
        </w:rPr>
        <w:t>◦</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rPr>
          <w:vertAlign w:val="superscript"/>
        </w:rPr>
        <w:t>◦</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rPr>
          <w:vertAlign w:val="superscript"/>
        </w:rPr>
        <w:t>◦</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rPr>
          <w:vertAlign w:val="superscript"/>
        </w:rPr>
        <w:t>◦</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rPr>
          <w:vertAlign w:val="superscript"/>
        </w:rPr>
        <w:t>◦</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rPr>
          <w:vertAlign w:val="superscript"/>
        </w:rPr>
        <w:t>◦</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rPr>
          <w:vertAlign w:val="superscript"/>
        </w:rPr>
        <w:t>◦</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rPr>
          <w:vertAlign w:val="superscript"/>
        </w:rPr>
        <w:t>◦</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rPr>
          <w:vertAlign w:val="superscript"/>
        </w:rPr>
        <w:t>◦</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rPr>
          <w:vertAlign w:val="superscript"/>
        </w:rPr>
        <w:t>◦</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rPr>
          <w:vertAlign w:val="superscript"/>
        </w:rPr>
        <w:t>◦</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rPr>
          <w:vertAlign w:val="superscript"/>
        </w:rPr>
        <w:t>◦</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rPr>
          <w:vertAlign w:val="superscript"/>
        </w:rPr>
        <w:t>◦</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rPr>
          <w:vertAlign w:val="superscript"/>
        </w:rPr>
        <w:t>◦</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rPr>
          <w:vertAlign w:val="superscript"/>
        </w:rPr>
        <w:t>◦</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rPr>
          <w:vertAlign w:val="superscript"/>
        </w:rPr>
        <w:t>◦</w:t>
      </w:r>
      <w:r>
        <w:t xml:space="preserve"> Un análisis jurídico de 2024 añade que el informe anual del Tribunal no tiene el contenido que prevé la ley.</w:t>
      </w:r>
      <w:r>
        <w:rPr>
          <w:vertAlign w:val="superscript"/>
        </w:rPr>
        <w:t>◦</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Las transferencias suman el 35,8 % de los ingresos de los gobiernos locales, y las del Estado, el 20,25 %.</w:t>
      </w:r>
      <w:r>
        <w:rPr>
          <w:vertAlign w:val="superscript"/>
        </w:rPr>
        <w:t>◦</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rPr>
          <w:vertAlign w:val="superscript"/>
        </w:rPr>
        <w:t>◦</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rPr>
          <w:vertAlign w:val="superscript"/>
        </w:rPr>
        <w:t>◦</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rPr>
          <w:vertAlign w:val="superscript"/>
        </w:rPr>
        <w:t>◦</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rPr>
          <w:vertAlign w:val="superscript"/>
        </w:rPr>
        <w:t>◦</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rPr>
          <w:vertAlign w:val="superscript"/>
        </w:rPr>
        <w:t>◦</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rPr>
          <w:vertAlign w:val="superscript"/>
        </w:rPr>
        <w:t>◦</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rPr>
          <w:vertAlign w:val="superscript"/>
        </w:rPr>
        <w:t>◦</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rPr>
          <w:vertAlign w:val="superscript"/>
        </w:rPr>
        <w:t>◦</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rPr>
          <w:vertAlign w:val="superscript"/>
        </w:rPr>
        <w:t>◦</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rPr>
          <w:vertAlign w:val="superscript"/>
        </w:rPr>
        <w:t>◦</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rPr>
          <w:vertAlign w:val="superscript"/>
        </w:rPr>
        <w:t>◦</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rPr>
          <w:vertAlign w:val="superscript"/>
        </w:rPr>
        <w:t>◦</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rPr>
          <w:vertAlign w:val="superscript"/>
        </w:rPr>
        <w:t>◦</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rPr>
          <w:vertAlign w:val="superscript"/>
        </w:rPr>
        <w:t>◦</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rPr>
          <w:vertAlign w:val="superscript"/>
        </w:rPr>
        <w:t>◦</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rPr>
          <w:vertAlign w:val="superscript"/>
        </w:rPr>
        <w:t>◦</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rPr>
          <w:vertAlign w:val="superscript"/>
        </w:rPr>
        <w:t>◦</w:t>
      </w:r>
      <w:r>
        <w:t>.</w:t>
      </w:r>
      <w:r>
        <w:rPr>
          <w:vertAlign w:val="superscript"/>
        </w:rPr>
        <w:t>◦</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rPr>
          <w:vertAlign w:val="superscript"/>
        </w:rPr>
        <w:t>◦</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rPr>
          <w:vertAlign w:val="superscript"/>
        </w:rPr>
        <w:t>◦</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rPr>
          <w:vertAlign w:val="superscript"/>
        </w:rPr>
        <w:t>◦</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rPr>
          <w:vertAlign w:val="superscript"/>
        </w:rPr>
        <w:t>◦</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rPr>
          <w:vertAlign w:val="superscript"/>
        </w:rPr>
        <w:t>◦</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rPr>
          <w:vertAlign w:val="superscript"/>
        </w:rPr>
        <w:t>◦</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rPr>
          <w:vertAlign w:val="superscript"/>
        </w:rPr>
        <w:t>◦</w:t>
      </w:r>
      <w:r>
        <w:t>. Tres de ellos fueron nombrados por los Reales Decretos 260, 262 y 263/2017, de 10 de marzo de 2017, y el cargo dura nueve años</w:t>
      </w:r>
      <w:r>
        <w:rPr>
          <w:vertAlign w:val="superscript"/>
        </w:rPr>
        <w:t>◦</w:t>
      </w:r>
      <w:r>
        <w:t>: el suyo se cumplió el 10 de marzo de 2026. El cuarto fue nombrado por el Real Decreto 757/2024, de 29 de julio, para cubrir una vacante, y la ley lo nombra «por el tiempo que a éste restase»</w:t>
      </w:r>
      <w:r>
        <w:rPr>
          <w:vertAlign w:val="superscript"/>
        </w:rPr>
        <w:t>◦</w:t>
      </w:r>
      <w:r>
        <w:t>; el decreto no dice qué vacante cubre. A 21 de septiembre de 2026, los cuatro seguían en la lista de magistrados del Tribunal, porque la ley les deja continuar «hasta que hayan tomado posesión quienes hubieren de sucederles»</w:t>
      </w:r>
      <w:r>
        <w:rPr>
          <w:vertAlign w:val="superscript"/>
        </w:rPr>
        <w:t>◦</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rPr>
          <w:vertAlign w:val="superscript"/>
        </w:rPr>
        <w:t>◦</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rPr>
          <w:vertAlign w:val="superscript"/>
        </w:rPr>
        <w:t>◦</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rPr>
          <w:vertAlign w:val="superscript"/>
        </w:rPr>
        <w:t>◦</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rPr>
          <w:vertAlign w:val="superscript"/>
        </w:rPr>
        <w:t>◦</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rPr>
          <w:vertAlign w:val="superscript"/>
        </w:rPr>
        <w:t>◦</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rPr>
          <w:vertAlign w:val="superscript"/>
        </w:rPr>
        <w:t>◦</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rPr>
          <w:vertAlign w:val="superscript"/>
        </w:rPr>
        <w:t>◦</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rPr>
          <w:vertAlign w:val="superscript"/>
        </w:rPr>
        <w:t>◦</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rPr>
          <w:vertAlign w:val="superscript"/>
        </w:rPr>
        <w:t>◦</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rPr>
          <w:vertAlign w:val="superscript"/>
        </w:rPr>
        <w:t>◦</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A. La auditoría completa de la Constitución: los 169 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A. La auditoría completa de la Constitución: los 169 artículos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