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completo</w:t>
      </w:r>
    </w:p>
    <w:p>
      <w:pPr>
        <w:pStyle w:val="Heading1"/>
      </w:pPr>
      <w:r>
        <w:t>0 Propósito, y cómo se lee esta obra</w:t>
      </w:r>
    </w:p>
    <w:p>
      <w:pPr>
        <w:spacing w:after="200"/>
      </w:pPr>
      <w:r>
        <w:rPr>
          <w:rFonts w:ascii="Segoe UI" w:hAnsi="Segoe UI" w:eastAsia="Segoe UI" w:cs="Segoe UI"/>
          <w:color w:val="6B665E"/>
          <w:sz w:val="17"/>
        </w:rPr>
        <w:t>Primera versión: 5 de octubre de 2026 · Última revisión: 12 de octubre de 2026 · Cambios anotados en el capítulo: 14 · Citas leídas en su fuente: 27</w:t>
      </w:r>
    </w:p>
    <w:p>
      <w:pPr>
        <w:keepNext/>
      </w:pPr>
      <w:r>
        <w:rPr>
          <w:rFonts w:ascii="Segoe UI" w:hAnsi="Segoe UI" w:eastAsia="Segoe UI" w:cs="Segoe UI"/>
          <w:b/>
          <w:color w:val="6B665E"/>
          <w:sz w:val="20"/>
        </w:rPr>
        <w:t>Notas de trabajo (estado y trazabilidad)</w:t>
      </w:r>
    </w:p>
    <w:p>
      <w:r>
        <w:t>Cambio del 12-oct-2026 (Kiko, chat de 08.26, 16:4x, pasado por 08.26 tal cual: «Este punto se tiene que presentar exactamente cómo los daños colaterales de un sistema, basado contra natura. Y aquí vemos los daños colaterales de la naturaleza.»; filas 600 y 604 de 08/01; el sitio, decidido por 08.26; borrador B20 bis de 10.34, b74d1fd): en 0.2, al principio de la «Lectura del autor» que va detrás de la conclusión, una frase con sus palabras: «lo que se pierde en el planeta son los daños colaterales de un sistema basado contra natura (5.2): aquí vemos los daños colaterales de la naturaleza.»; «por eso» pasa a «Por eso», porque ahora abre frase; y su remisión en la trazabilidad del párrafo. La conclusión y sus datos no cambian. Sin dato ni cita nuevos. Ninguna otra palabra cambia. Cambio del 12-oct-2026 (Kiko, chat de 08.26, pasado por 08.26 tal cual a la pregunta del B20: «SI»; fila 599 de 08/01; la decisión de fondo, fila 522: «añadir estado en cada una y si existe algun tipo de deterioro contaminacion etc... [...] con el matiz concuerdo»; borrador B20 de 10.33, verificado por 08.25, fila 591): en 0.2, la «Conclusión, lo que arrojan los datos» pasa a dos puntos: «El sistema», con su frase sin cambiar una palabra, y «El planeta», una línea por cosa (la vida silvestre, los bosques, el mar, el aire, el agua, el suelo, lo que se recupera y la natalidad, que remite a 8.8), cada cifra con lo que mide, sus años y su fuente leída, y al final «estas cifras miden el estado, no quién lo causa»; debajo, un {breve} y, solo en el nivel completo, la tabla de 25 filas (lo que se pierde, lo que se gana, el estado y el deterioro), con su línea de fuente. Leído hoy en su original: los diecisiete documentos del lote frutos_del_planeta_12oct de 10 FUENTES LEIDAS (comprobar_B20.py, 66 de 66 frases y 3 cálculos). Sin cita literal nueva. Ninguna otra palabra cambia. Cambio del 12-oct-2026 (Kiko, chat de 08.21, 11:0x, pasado por 08.21 tal cual, a «¿Entran así la pesa en 0.5 y la tabla de J.8?»: «si concuerdo»; la pesa calibrada, a las 10:5x: «concuerdo» y «si concuerdo»; parlamento de la balanza, 08/22, apartados 10 y 11): en 0.5, «La idea» lleva detrás la frase de la pesa que eligió Kiko («La pesa: ¿roca o arena? Y, por sus frutos, ¿sirve más allá de sí, se sirve, o no cuida ni cumple? Vale para quien pesa»), con «(lectura del autor)» al final; y en el cuerpo, detrás de «La vara» y antes de «La convergencia», dos bloques (borrador B17): «La balanza» (la vara, la pesa justa, el centro y el dial, un solo instrumento con cuatro nombres, con remisión a J) y «Lectura del autor: la pesa» (las palabras del autor tal cual y lo que significan en este libro; 0.4 no cambia). Sin dato ni cita nueva. Ninguna otra palabra cambia. Cambio del 12-oct-2026 (Kiko, chat de 08.19, 08:5x, pasado por 08.19 tal cual, a «¿entran así los tres textos, el de 0.2, el llamamiento y estas líneas de cierre?»: «si entran»; parlamento del hilo de la poda, 08/20, con la forma que Kiko decidió a las 08:0x): en 0.2, detrás de «Adónde lleva» y antes de «Lo que no hace», el propósito en el fondo (borrador B15): una lectura del autor (la poda de las ramas secas del árbol del conocimiento, el método, el árbol de la vida), una conclusión con las palabras de 9.1 (la causa de disolución; más años de vida, más normas y más trámites para obtener lo mismo) y otra lectura del autor (por eso la poda empieza por el Estado; el capitán y el timón, siempre por las puertas de la ley; el aliento de vida; el mapa de J.1). «No sostiene la vida» va como lectura y no como dato: 8.8 y 8.10 no afirman ninguna causa. Ninguna otra palabra cambia. Cambio del 12-oct-2026 (B13, punto 7 en otra forma; decisión de 08.18 sobre la frase que Kiko aprobó en el chat de 08.18, 06:3x: «si»; la vio 10.29): en 0.5, «lo dicen tradiciones que no se leyeron entre sí» pasa a «sin contacto documentado entre sí». Ninguna otra palabra cambia. Cambio del 12-oct-2026 (Kiko, chat de 08.18, 06:3x, pasado por 08.18 tal cual, a «¿das el sí a los nueve cambios de 07.6?»: «si»; borrador B13, el barrido de los cuantificadores vagos en las frases con dato): en 0.5, «La esclavitud estuvo en casi todos los pueblos» pasa a «La esclavitud estuvo muy extendida»: ninguna fuente de la obra da ese «casi todos». Ninguna otra palabra cambia. Cambio del 9-oct-2026 (Kiko: «Sí, ponlo en 1.5»; fila 29 de 04p): en 0.5, en «La condición», una frase tras el caso de la esclavitud que añade el robo hacia fuera de unos germanos y la mutilación genital femenina como casos que no pasan la vara y remite a 1.5. Cambio del 9-oct-2026 (Kiko: «si» al borrador F30; fila 30 de 04p, la regla de oro como apoyo del criterio de reciprocidad): en 0.5, tras «Lo dicen todas las tradiciones», un bloque nuevo, «La regla de oro»: cuatro ejemplos a la vista (Israel, el Evangelio, China, India) y cinco en el nivel completo (budismo, jainismo, Persia, Grecia, islam), con «coinciden» y no «convergen»; sin el taoísmo (forma actual tardía) ni Egipto (no se halló; el Campesino elocuente, sin leer en su fuente). «La idea» de 0.5 no cambia. Cambio del 9-oct-2026 (Kiko: «Sí al M6 con las tres recomendaciones» en el chat de 08 y «sí al M6, sí a P-11.6» en el de 07; borrador M6 de la carpeta 07; 04p filas 25, 27 y 35): en 0.6, una viñeta nueva al final de la lista: «El mapa del árbol», la segunda puerta de entrada de la obra (se abre desde el índice general). No cambia ningún dato. Cambio del 9-oct-2026 (Kiko: «Sí al M4 con las tres recomendaciones» en el chat de 08 y «Sí al M4, aplícalo» en el de 07; borrador M4 de la carpeta 07; 07/05 y fila 26 de 04p): en 0.3, «Tres maneras de leer» pasa a «Tres puertas, seis escalones» (lo que concluye, lo que lo sostiene y lo que lo confirma), con una «Lectura del autor» sobre Tomás (Jn 20:25, 27 y 29, leídos en la Reina-Valera 1909 local); y «En los tres niveles» pasa a «En todos los escalones». El lector se rehace con las tres puertas, las pestañas por apartado y el plegado. Cambio del 9-oct-2026 (Kiko: «Sí a todo el B3 y el B4, aplícalos» y «SÍ A TODO, LO PARLAMENTADO EN ESTE CONSENSO»; fila 1 de 04p; borrador B4 de la carpeta 07): en 0.6, la lista de anexos pasa de «A a I» a «A a J», con una viñeta nueva: la balanza equilibrada, el método con que se mide hacia dónde apunta cada cosa, con lo que las tradiciones guardaron como centro. Cambio del 9-oct-2026 (Kiko: «Sí al B1, aplícalo en 06»; borrador B1 de la carpeta 07; filas 3, 4 y 36 de 04p y definición de «ley escrita»): en 0.4, un párrafo nuevo «La presunción, en la ley»: la ley exige un hecho de partida admitido o probado (Ley de Enjuiciamiento Civil, arts. 385.1 y 386.1, leída en el BOE), y la obra toma esa regla como vara. No cambia la definición de la presunción. Cambio del 8-oct-2026 (lectura de la dirección de la obra, aviso PASO 4.8): en 0.2, «Como dice el Pórtico» pasa a «Se resume así»: el Pórtico era una pieza de la Biblioteca que el lector todavía no conoce (anclaje). La cita no cambia. Cambio del 8-oct-2026 (parlamento sobre los mitos; Kiko: «sí a las tres, con tus recomendaciones» y el añadido del método de medir): 0.3 («lo que no se ha podido comprobar no entra») pasa a «no entra como hecho» y explica la etiqueta «presunción»; 0.4 la nombra; 0.6 llama al anexo E «lo que se afirma sin documento». ESTADO: APROBADO por Kiko el 5-oct-2026 («sí a las tres»). Su material está marcado en el inventario (04 CAPITULOS/marcas/marcas del capitulo 0.txt). Cualquier cambio posterior, con su aprobación. Trazabilidad: al final de cada párrafo, entre corchetes, de dónde sale (código del inventario de procedencia, entrada del glosario único o del archivo del Arca). Al aprobarse, esas entradas se marcan [x] en el inventario. Anclaje comprobado con mapa_anclaje.py: ningún concepto de capítulos posteriores se usa antes del mapa (0.6), salvo «orden natural» dentro de la cita literal del autor (0.2). Conceptos que ancla este capítulo: la revelación (el nombre); la Biblioteca y la edición; la constancia escrita; el Registro de los frutos; el juicio popular de la verdad; la metamorfosis del Estado; las capas (hechos, «Conclusión, lo que arrojan los datos», «Lectura del autor», «La mejor defensa del Estado y los contrapuntos», «Límite honesto de la prueba»); la dirección de los hechos; las dos fórmulas de la lectura del autor (el padre de la mentira; lo que clama al cielo); la escala verdad, presunción, falso y mentira; por sus frutos; la vara; la convergencia y la pata coja; los tres niveles de lectura. TRES NIVELES (Kiko, 5-oct-2026, «sí a las dos»; libreta 72, puntos 112 y 113): pasado al formato de tres niveles sin cambiar ningún dato ni ninguna cita. Añadido: «En pocas palabras», «La idea» de cada apartado, «Para recordar» y, en 0.3, «Tres maneras de leer». En 0.2, «cada párrafo dice de qué pieza sale» pasa a «en el nivel completo». Marcas: {fuente: …} niveles 2 y 3; {original: …} nivel 3; [trazabilidad] nivel 3; {completo} solo nivel 3; {breve} solo niveles 1 y 2.</w:t>
      </w:r>
    </w:p>
    <w:p>
      <w:pPr>
        <w:pBdr>
          <w:left w:val="single" w:sz="24" w:space="6" w:color="E2DED6"/>
        </w:pBdr>
        <w:shd w:val="clear" w:color="auto" w:fill="F1EEE8"/>
        <w:spacing w:before="80" w:after="160"/>
        <w:ind w:left="142" w:right="142"/>
      </w:pPr>
      <w:r>
        <w:rPr>
          <w:b/>
        </w:rPr>
        <w:t>En pocas palabras:</w:t>
      </w:r>
    </w:p>
    <w:p>
      <w:pPr>
        <w:pStyle w:val="ListBullet"/>
      </w:pPr>
      <w:r>
        <w:t>Esta obra revela cómo funciona el sistema, que está a la vista de todos, pero escondido en su complejidad, y lo mide con la ley que todos los pueblos guardaron por encima de toda ley.</w:t>
      </w:r>
    </w:p>
    <w:p>
      <w:pPr>
        <w:pStyle w:val="ListBullet"/>
      </w:pPr>
      <w:r>
        <w:t>Cada afirmación lleva su fuente. El lector elige cuánto quiere ver de ella.</w:t>
      </w:r>
    </w:p>
    <w:p>
      <w:pPr>
        <w:pStyle w:val="ListBullet"/>
      </w:pPr>
      <w:r>
        <w:t>Separa siempre el dato de la interpretación, y da al Estado su mejor defensa, en el juicio.</w:t>
      </w:r>
    </w:p>
    <w:p>
      <w:pPr>
        <w:pStyle w:val="ListBullet"/>
      </w:pPr>
      <w:r>
        <w:t>Mide en dos pasos, la verdad de los hechos y sus frutos, y solo tiene por sólido lo que coincide en tradiciones independientes.</w:t>
      </w:r>
    </w:p>
    <w:p>
      <w:pPr>
        <w:pStyle w:val="ListBullet"/>
      </w:pPr>
      <w:r>
        <w:t>Lleva a cuatro puertas, todas dentro de la ley: la constancia escrita, el Registro de los frutos, el juicio popular de la verdad y la metamorfosis del Estado.</w:t>
      </w:r>
    </w:p>
    <w:p>
      <w:pPr>
        <w:pStyle w:val="Heading2"/>
      </w:pPr>
      <w:r>
        <w:t>0.1 Lo que la humanidad ha guardado con más celo</w:t>
      </w:r>
    </w:p>
    <w:p>
      <w:pPr>
        <w:pBdr>
          <w:left w:val="single" w:sz="24" w:space="6" w:color="E2DED6"/>
        </w:pBdr>
        <w:shd w:val="clear" w:color="auto" w:fill="F1EEE8"/>
        <w:spacing w:before="80" w:after="160"/>
        <w:ind w:left="142" w:right="142"/>
      </w:pPr>
      <w:r>
        <w:rPr>
          <w:b/>
        </w:rPr>
        <w:t>La idea: lo que los pueblos guardaron con más celo muestra lo que tenían por ley por encima de toda ley, y en lo esencial coincide.</w:t>
      </w:r>
    </w:p>
    <w:p>
      <w:r>
        <w:t>La humanidad guarda con más celo lo que más valora:</w:t>
      </w:r>
    </w:p>
    <w:p>
      <w:pPr>
        <w:pStyle w:val="ListBullet"/>
      </w:pPr>
      <w:r>
        <w:rPr>
          <w:b/>
        </w:rPr>
        <w:t>El libro de Isaías</w:t>
      </w:r>
      <w:r>
        <w:t xml:space="preserve"> se copió con tanto cuidado que el rollo hallado en Qumrán, de hace más de dos mil años, coincide en general con los códices que se copiaban mil años después</w:t>
      </w:r>
      <w:r>
        <w:t xml:space="preserve"> (Museo de Israel, «The Digital Dead Sea Scrolls»)</w:t>
      </w:r>
      <w:r>
        <w:t>.</w:t>
      </w:r>
    </w:p>
    <w:p>
      <w:pPr>
        <w:pStyle w:val="ListBullet"/>
      </w:pPr>
      <w:r>
        <w:rPr>
          <w:b/>
        </w:rPr>
        <w:t>Los Vedas</w:t>
      </w:r>
      <w:r>
        <w:t xml:space="preserve"> se han transmitido de memoria durante miles de años, cuidando que no cambie el sonido de cada palabra</w:t>
      </w:r>
      <w:r>
        <w:t xml:space="preserve"> (UNESCO, ficha de la tradición del canto védico)</w:t>
      </w:r>
      <w:r>
        <w:t>.</w:t>
      </w:r>
    </w:p>
    <w:p>
      <w:pPr>
        <w:pStyle w:val="ListBullet"/>
      </w:pPr>
      <w:r>
        <w:rPr>
          <w:b/>
        </w:rPr>
        <w:t>Los Evangelios de Garima,</w:t>
      </w:r>
      <w:r>
        <w:t xml:space="preserve"> escritos hace unos mil quinientos años, todavía se veneran en su monasterio de Etiopía</w:t>
      </w:r>
      <w:r>
        <w:t xml:space="preserve"> (Ethiopian Heritage Fund)</w:t>
      </w:r>
      <w:r>
        <w:t>.</w:t>
      </w:r>
    </w:p>
    <w:p>
      <w:r>
        <w:t xml:space="preserve">Ese celo es un testimonio: muestra lo que los pueblos han tenido por ley por encima de toda ley. Da igual el nombre que cada pueblo dé a Dios: lo que todos guardaron coincide en lo esencial. </w:t>
      </w:r>
      <w:r>
        <w:t>[00.0-1.1, corregido: véase la nota al pie del apartado]</w:t>
      </w:r>
    </w:p>
    <w:p>
      <w:r>
        <w:t>Los hechos que lo sostienen, leídos en su fuente original:</w:t>
      </w:r>
    </w:p>
    <w:p>
      <w:pPr>
        <w:pStyle w:val="ListBullet"/>
      </w:pPr>
      <w:r>
        <w:rPr>
          <w:b/>
        </w:rPr>
        <w:t>El gran rollo de Isaías.</w:t>
      </w:r>
      <w:r>
        <w:t xml:space="preserve"> </w:t>
      </w:r>
    </w:p>
    <w:p>
      <w:pPr>
        <w:pStyle w:val="ListBullet2"/>
      </w:pPr>
      <w:r>
        <w:t>Se halló en Qumrán en 1947 y es de hacia el año 125 antes de Cristo, «some one thousand years older than the oldest manuscripts of the Hebrew Bible known to us before the scrolls' discovery» (unos mil años más antiguo que los manuscritos de la Biblia hebrea más antiguos que se conocían antes de su descubrimiento).</w:t>
      </w:r>
    </w:p>
    <w:p>
      <w:pPr>
        <w:pStyle w:val="ListBullet2"/>
      </w:pPr>
      <w:r>
        <w:t>Su texto coincide en general con el de los códices medievales, como el de Alepo, «but it contains many variant readings, alternative spellings, scribal errors, and corrections» (pero tiene muchas variantes de lectura, grafías distintas, errores de copista y correcciones).</w:t>
      </w:r>
    </w:p>
    <w:p>
      <w:pPr>
        <w:pStyle w:val="ListBullet2"/>
      </w:pPr>
      <w:r>
        <w:t>Fuente: Museo de Israel, «The Digital Dead Sea Scrolls» (Los manuscritos del mar Muerto, en digital).</w:t>
      </w:r>
    </w:p>
    <w:p>
      <w:pPr>
        <w:pStyle w:val="ListBullet"/>
      </w:pPr>
      <w:r>
        <w:rPr>
          <w:b/>
        </w:rPr>
        <w:t>Los Vedas.</w:t>
      </w:r>
      <w:r>
        <w:t xml:space="preserve"> </w:t>
      </w:r>
    </w:p>
    <w:p>
      <w:pPr>
        <w:pStyle w:val="ListBullet2"/>
      </w:pPr>
      <w:r>
        <w:t>Se transmiten de memoria. Para que «the sound of each word remains unaltered» (el sonido de cada palabra no cambie), se enseñan desde la niñez técnicas de recitación muy complejas.</w:t>
      </w:r>
    </w:p>
    <w:p>
      <w:pPr>
        <w:pStyle w:val="ListBullet2"/>
      </w:pPr>
      <w:r>
        <w:t>La UNESCO proclamó esta tradición en 2003, y en 2008 la inscribió en la Lista Representativa del Patrimonio Cultural Inmaterial de la Humanidad.</w:t>
      </w:r>
    </w:p>
    <w:p>
      <w:pPr>
        <w:pStyle w:val="ListBullet2"/>
      </w:pPr>
      <w:r>
        <w:t>Fuente: UNESCO, ficha de la tradición del canto védico.</w:t>
      </w:r>
    </w:p>
    <w:p>
      <w:pPr>
        <w:pStyle w:val="ListBullet"/>
      </w:pPr>
      <w:r>
        <w:rPr>
          <w:b/>
        </w:rPr>
        <w:t>Los Evangelios de Garima.</w:t>
      </w:r>
      <w:r>
        <w:t xml:space="preserve"> </w:t>
      </w:r>
    </w:p>
    <w:p>
      <w:pPr>
        <w:pStyle w:val="ListBullet2"/>
      </w:pPr>
      <w:r>
        <w:t>El monasterio de Abuna Garima, en Etiopía, conserva dos libros de los evangelios que los cristianos del lugar todavía veneran como reliquias.</w:t>
      </w:r>
    </w:p>
    <w:p>
      <w:pPr>
        <w:pStyle w:val="ListBullet2"/>
      </w:pPr>
      <w:r>
        <w:t>Se creían de hacia el año 1000. Dos análisis de radiocarbono los sitúan entre finales del siglo V y principios del VII: el segundo dio los años 390 a 570 para Garima 2, y 550 a 660 para Garima 1.</w:t>
      </w:r>
    </w:p>
    <w:p>
      <w:pPr>
        <w:pStyle w:val="ListBullet2"/>
      </w:pPr>
      <w:r>
        <w:t>Están «among the very earliest extant manuscripts illustrated with Christian images» (entre los manuscritos más antiguos que se conservan con imágenes cristianas).</w:t>
      </w:r>
    </w:p>
    <w:p>
      <w:pPr>
        <w:pStyle w:val="ListBullet2"/>
      </w:pPr>
      <w:r>
        <w:t>Fuente: Ethiopian Heritage Fund (Fondo del Patrimonio Etíope), la entidad que encargó los análisis.</w:t>
      </w:r>
    </w:p>
    <w:p>
      <w:pPr>
        <w:pStyle w:val="ListBullet"/>
      </w:pPr>
      <w:r>
        <w:rPr>
          <w:b/>
        </w:rPr>
        <w:t>El canon de la Iglesia etíope.</w:t>
      </w:r>
      <w:r>
        <w:t xml:space="preserve"> </w:t>
      </w:r>
    </w:p>
    <w:p>
      <w:pPr>
        <w:pStyle w:val="ListBullet2"/>
      </w:pPr>
      <w:r>
        <w:t>Tiene 81 libros: «46 books of the Old Testament and 35 books of the New Testament» (46 del Antiguo Testamento y 35 del Nuevo). Entre ellos están Enoc y Jubileos.</w:t>
      </w:r>
    </w:p>
    <w:p>
      <w:pPr>
        <w:pStyle w:val="ListBullet2"/>
      </w:pPr>
      <w:r>
        <w:t>Del segundo dice la propia Iglesia que «has also been preserved entire only in the Ethiopic version» (también se ha conservado entero solo en la versión etíope). El «también» se refiere a Enoc, del que acaba de hablar.</w:t>
      </w:r>
    </w:p>
    <w:p>
      <w:pPr>
        <w:pStyle w:val="ListBullet2"/>
      </w:pPr>
      <w:r>
        <w:t>Fuente: Iglesia ortodoxa Tewahedo de Etiopía, ethiopianorthodox.org.</w:t>
      </w:r>
    </w:p>
    <w:p>
      <w:r>
        <w:t xml:space="preserve">[00.0-1.2; 00.0-1.5. Fuentes originales leídas el 5-oct-2026. </w:t>
      </w:r>
      <w:r>
        <w:rPr>
          <w:i/>
        </w:rPr>
        <w:t>Nota de trazabilidad:</w:t>
      </w:r>
      <w:r>
        <w:t xml:space="preserve"> corregido respecto al Pórtico I de la Biblioteca. Garima se creía de hacia el año 1000, no del 1100, y sus análisis dan 390-660, no 330-650 ni «desde el siglo IV». Las diferencias del rollo de Isaías no son «sobre todo de ortografía», sino también variantes de lectura, errores y correcciones. De la UNESCO consta el año, 2003, pero no el día. Y «ninguna ley humana…» se sustituye por los hechos, que sí se pueden comprobar.]</w:t>
      </w:r>
    </w:p>
    <w:p>
      <w:pPr>
        <w:pStyle w:val="Heading2"/>
      </w:pPr>
      <w:r>
        <w:t>0.2 Adónde lleva esta obra</w:t>
      </w:r>
    </w:p>
    <w:p>
      <w:pPr>
        <w:pBdr>
          <w:left w:val="single" w:sz="24" w:space="6" w:color="E2DED6"/>
        </w:pBdr>
        <w:shd w:val="clear" w:color="auto" w:fill="F1EEE8"/>
        <w:spacing w:before="80" w:after="160"/>
        <w:ind w:left="142" w:right="142"/>
      </w:pPr>
      <w:r>
        <w:rPr>
          <w:b/>
        </w:rPr>
        <w:t>La idea: esta obra revela cómo funciona el sistema, lo mide con la ley que todos los pueblos guardaron y lleva a cuatro puertas, todas dentro de la ley.</w:t>
      </w:r>
    </w:p>
    <w:p>
      <w:r>
        <w:rPr>
          <w:b/>
        </w:rPr>
        <w:t>El nombre.</w:t>
      </w:r>
      <w:r>
        <w:t xml:space="preserve"> «Apocalipsis» viene del griego </w:t>
      </w:r>
      <w:r>
        <w:rPr>
          <w:i/>
        </w:rPr>
        <w:t>apokálypsis</w:t>
      </w:r>
      <w:r>
        <w:t>, «revelación». Y revelar es «descubrir o manifestar lo ignorado o secreto»</w:t>
      </w:r>
      <w:r>
        <w:t xml:space="preserve"> (Diccionario de la lengua española)</w:t>
      </w:r>
      <w:r>
        <w:t xml:space="preserve">. La obra usa la palabra en ese sentido: descubrir cómo funciona el sistema, que está a la vista de todos, pero escondido en su complejidad. No anuncia el fin del mundo. </w:t>
      </w:r>
      <w:r>
        <w:t>[glosario 1.1]</w:t>
      </w:r>
    </w:p>
    <w:p>
      <w:r>
        <w:rPr>
          <w:b/>
        </w:rPr>
        <w:t>Qué hace.</w:t>
      </w:r>
      <w:r>
        <w:t xml:space="preserve"> Esta obra mide el sistema, es decir, el Estado y las normas con que gobierna, tomando España como caso. Lo mide con la ley que todos los pueblos guardaron por encima de toda ley. Y lo hace con hechos comprobables, cada uno con su fuente. Cada afirmación remite al lugar donde está su prueba. </w:t>
      </w:r>
      <w:r>
        <w:t>[00.0-0.0.2; 00.00-1.3; título de la 14.00]</w:t>
      </w:r>
    </w:p>
    <w:p>
      <w:r>
        <w:rPr>
          <w:b/>
        </w:rPr>
        <w:t>Por qué.</w:t>
      </w:r>
      <w:r>
        <w:t xml:space="preserve"> En palabras del autor: «No lo he inventado yo; tan solo lo pretendo presentar a mis hermanos en orden, ya que nadie lo hace. Me veo en la obligación moral de ordenarlo yo mismo, para que todo quede desvelado y recuperar lo que es del orden natural». </w:t>
      </w:r>
      <w:r>
        <w:t>[glosario 0, palabras de Kiko del 5-oct]</w:t>
      </w:r>
    </w:p>
    <w:p>
      <w:r>
        <w:rPr>
          <w:b/>
        </w:rPr>
        <w:t>El autor.</w:t>
      </w:r>
      <w:r>
        <w:t xml:space="preserve"> Kiko Orozco Rocamora. El autor firma el orden y la lectura, no las verdades, que son de todos. Se resume así: «El dictamen es del autor; los hechos son de todos». El lector tiene delante las mismas pruebas, con su fuente y el lugar donde comprobarlas, para sacar sus propias conclusiones: «esta obra no pide fe, la somete a examen». </w:t>
      </w:r>
      <w:r>
        <w:t>[glosario 1.1 y 1.4; 00.0-0.0.4]</w:t>
      </w:r>
    </w:p>
    <w:p>
      <w:r>
        <w:rPr>
          <w:b/>
        </w:rPr>
        <w:t>Adónde lleva.</w:t>
      </w:r>
      <w:r>
        <w:t xml:space="preserve"> El camino de la obra termina en cuatro cosas. Aquí se dicen en breve; cada una se explica entera al final del libro.</w:t>
      </w:r>
    </w:p>
    <w:p>
      <w:pPr>
        <w:pStyle w:val="ListBullet"/>
      </w:pPr>
      <w:r>
        <w:rPr>
          <w:b/>
        </w:rPr>
        <w:t>La constancia escrita:</w:t>
      </w:r>
      <w:r>
        <w:t xml:space="preserve"> dejar por escrito lo que se pide y lo que se responde, o el silencio. Quien deja constancia ya no puede ser ignorado sin que quede registrado (se explica en </w:t>
      </w:r>
      <w:r>
        <w:t>10.4</w:t>
      </w:r>
      <w:r>
        <w:t xml:space="preserve">). </w:t>
      </w:r>
      <w:r>
        <w:t>[00.0-10.11; glosario 8.5]</w:t>
      </w:r>
    </w:p>
    <w:p>
      <w:pPr>
        <w:pStyle w:val="ListBullet"/>
      </w:pPr>
      <w:r>
        <w:rPr>
          <w:b/>
        </w:rPr>
        <w:t>El Registro de los frutos:</w:t>
      </w:r>
      <w:r>
        <w:t xml:space="preserve"> el archivo público que la obra propone. Cada ciudadano dejará constancia de sus escritos al Estado y de la respuesta o el silencio, con un código para que cualquiera lo compruebe. Sus datos personales solo se publicarán si lo autoriza. Hoy es una propuesta, no un archivo en marcha (se explica en </w:t>
      </w:r>
      <w:r>
        <w:t>10.8</w:t>
      </w:r>
      <w:r>
        <w:t xml:space="preserve">). </w:t>
      </w:r>
      <w:r>
        <w:t>[00.0-10.12; 00.00-10.4; glosario 8.6]</w:t>
      </w:r>
    </w:p>
    <w:p>
      <w:pPr>
        <w:pStyle w:val="ListBullet"/>
      </w:pPr>
      <w:r>
        <w:rPr>
          <w:b/>
        </w:rPr>
        <w:t>El juicio popular de la verdad:</w:t>
      </w:r>
      <w:r>
        <w:t xml:space="preserve"> un tribunal de opinión, sin carácter oficial y sin fuerza legal, y que lo declara desde el principio. Un jurado elegido por sorteo juzga al Estado acusación por acusación, institución por institución, y nunca a personas con nombre. Su fuerza es la verdad documentada, a la vista de todos (se explica en el </w:t>
      </w:r>
      <w:r>
        <w:t>capítulo 11</w:t>
      </w:r>
      <w:r>
        <w:t xml:space="preserve">). </w:t>
      </w:r>
      <w:r>
        <w:t>[00.0-10.13; 00.00-10.5; glosario 8.10]</w:t>
      </w:r>
    </w:p>
    <w:p>
      <w:pPr>
        <w:pStyle w:val="ListBullet"/>
      </w:pPr>
      <w:r>
        <w:rPr>
          <w:b/>
        </w:rPr>
        <w:t>La metamorfosis del Estado:</w:t>
      </w:r>
      <w:r>
        <w:t xml:space="preserve"> no se reclama un Estado nuevo. La obra invita a que el Estado que tenemos se alinee con la ley que está por encima de la suya y sirva al bien común, porque solo así recupera su legitimidad (se explica en </w:t>
      </w:r>
      <w:r>
        <w:t>10.2</w:t>
      </w:r>
      <w:r>
        <w:t xml:space="preserve">). </w:t>
      </w:r>
      <w:r>
        <w:t>[00.0-10.15; 00.0-7.3; glosario 8.1]</w:t>
      </w:r>
    </w:p>
    <w:p>
      <w:r>
        <w:rPr>
          <w:b/>
        </w:rPr>
        <w:t>Lectura del autor: el propósito en el fondo.</w:t>
      </w:r>
      <w:r>
        <w:t xml:space="preserve"> Esta obra poda las ramas secas del árbol del conocimiento, las que nos alejan del árbol de la vida: comprueba cada afirmación en su fuente y la juzga por sus frutos. Lo hace con el Estado, el primer campo, para que cualquiera pueda repetirlo en el suyo. Una rama seca es la que ya no bebe de la raíz, de lo recibido (</w:t>
      </w:r>
      <w:r>
        <w:t>J.1</w:t>
      </w:r>
      <w:r>
        <w:t>), y se conoce por sus frutos (</w:t>
      </w:r>
      <w:r>
        <w:t>0.5</w:t>
      </w:r>
      <w:r>
        <w:t>); podar no es talar (</w:t>
      </w:r>
      <w:r>
        <w:t>10.2</w:t>
      </w:r>
      <w:r>
        <w:t>). Y el árbol de la vida es, en palabras del autor, «aquello que fomenta la vida».</w:t>
      </w:r>
    </w:p>
    <w:p>
      <w:r>
        <w:rPr>
          <w:b/>
        </w:rPr>
        <w:t>Conclusión, lo que arrojan los datos:</w:t>
      </w:r>
    </w:p>
    <w:p>
      <w:pPr>
        <w:pStyle w:val="ListBullet"/>
      </w:pPr>
      <w:r>
        <w:rPr>
          <w:b/>
        </w:rPr>
        <w:t>El sistema:</w:t>
      </w:r>
      <w:r>
        <w:t xml:space="preserve"> medido con la regla que aplica a cualquier empresa, el sistema estaría en causa de disolución, y cada generación necesita más años de vida, más normas y más trámites para obtener lo mismo (</w:t>
      </w:r>
      <w:r>
        <w:t>9.1</w:t>
      </w:r>
      <w:r>
        <w:t>).</w:t>
      </w:r>
    </w:p>
    <w:p>
      <w:pPr>
        <w:pStyle w:val="ListBullet"/>
      </w:pPr>
      <w:r>
        <w:rPr>
          <w:b/>
        </w:rPr>
        <w:t>El planeta:</w:t>
      </w:r>
      <w:r>
        <w:t xml:space="preserve"> medido con fuentes oficiales, cada cifra con lo que mide y sus años: </w:t>
      </w:r>
    </w:p>
    <w:p>
      <w:pPr>
        <w:pStyle w:val="ListBullet2"/>
      </w:pPr>
      <w:r>
        <w:rPr>
          <w:b/>
        </w:rPr>
        <w:t>la vida silvestre:</w:t>
      </w:r>
      <w:r>
        <w:t xml:space="preserve"> en el mundo, el tamaño medio de las poblaciones de vertebrados que se siguen, un 73,2 % menos de 1970 a 2022 (no es el número de animales, y la mitad de esas poblaciones está estable o sube); en Europa y Asia Central, sin el mar, un 23 % menos (el informe de 2024 daba un 35 % hasta 2020)</w:t>
      </w:r>
      <w:r>
        <w:t xml:space="preserve"> (WWF y ZSL, Informe Planeta Vivo 2026 y 2024)</w:t>
      </w:r>
      <w:r>
        <w:t>; en España, 1.855 especies amenazadas y el 74 % de los tipos de hábitat en estado desfavorable (2013-2018), cifra que sube sobre todo porque hay menos evaluaciones con resultado desconocido</w:t>
      </w:r>
      <w:r>
        <w:t xml:space="preserve"> (MITECO, informes del Patrimonio Natural y de la Biodiversidad 2024 y 2020)</w:t>
      </w:r>
      <w:r>
        <w:t>;</w:t>
      </w:r>
    </w:p>
    <w:p>
      <w:pPr>
        <w:pStyle w:val="ListBullet2"/>
      </w:pPr>
      <w:r>
        <w:rPr>
          <w:b/>
        </w:rPr>
        <w:t>los bosques:</w:t>
      </w:r>
      <w:r>
        <w:t xml:space="preserve"> el del mundo mengua, cada vez más despacio; el de España crece un 37,6 % de 1990 a 2025 (cálculo de la edición), sobre todo el que se regenera solo</w:t>
      </w:r>
      <w:r>
        <w:t xml:space="preserve"> (FAO, Evaluación de los recursos forestales mundiales 2025)</w:t>
      </w:r>
      <w:r>
        <w:t>, pero en 2024 casi una cuarta parte de sus árboles muestreados había perdido más de la cuarta parte de sus hojas, sobre todo por la sequía</w:t>
      </w:r>
      <w:r>
        <w:t xml:space="preserve"> (MITECO, informe del Patrimonio Natural y de la Biodiversidad 2024)</w:t>
      </w:r>
      <w:r>
        <w:t>;</w:t>
      </w:r>
    </w:p>
    <w:p>
      <w:pPr>
        <w:pStyle w:val="ListBullet2"/>
      </w:pPr>
      <w:r>
        <w:rPr>
          <w:b/>
        </w:rPr>
        <w:t>el mar:</w:t>
      </w:r>
      <w:r>
        <w:t xml:space="preserve"> las poblaciones marinas que se siguen, un 59 % menos de 1970 a 2022</w:t>
      </w:r>
      <w:r>
        <w:t xml:space="preserve"> (WWF y ZSL, 2026)</w:t>
      </w:r>
      <w:r>
        <w:t>; las pesquerías sobreexplotadas, del 10 % al 37,7 % de las poblaciones evaluadas de 1974 a 2021; el Mediterráneo y el mar Negro, entre lo peor, pero mejoran</w:t>
      </w:r>
      <w:r>
        <w:t xml:space="preserve"> (FAO, El estado mundial de la pesca y la acuicultura 2024; Comisión General de Pesca del Mediterráneo, 2023)</w:t>
      </w:r>
      <w:r>
        <w:t>; en los mares de Europa, el 80 % de las zonas evaluadas, con problemas por contaminantes</w:t>
      </w:r>
      <w:r>
        <w:t xml:space="preserve"> (Agencia Europea de Medio Ambiente)</w:t>
      </w:r>
      <w:r>
        <w:t>;</w:t>
      </w:r>
    </w:p>
    <w:p>
      <w:pPr>
        <w:pStyle w:val="ListBullet2"/>
      </w:pPr>
      <w:r>
        <w:rPr>
          <w:b/>
        </w:rPr>
        <w:t>el aire:</w:t>
      </w:r>
      <w:r>
        <w:t xml:space="preserve"> en España, casi ninguna zona por encima de los valores legales, salvo el ozono (20 de 132 zonas en 2024)</w:t>
      </w:r>
      <w:r>
        <w:t xml:space="preserve"> (MITECO, Evaluación de la calidad del aire en España 2024)</w:t>
      </w:r>
      <w:r>
        <w:t>; con los valores guía de la OMS, más exigentes, más del 90 % de la población urbana de la UE, por encima; y la contaminación baja desde hace dos décadas</w:t>
      </w:r>
      <w:r>
        <w:t xml:space="preserve"> (Agencia Europea de Medio Ambiente, 2026)</w:t>
      </w:r>
      <w:r>
        <w:t>;</w:t>
      </w:r>
    </w:p>
    <w:p>
      <w:pPr>
        <w:pStyle w:val="ListBullet2"/>
      </w:pPr>
      <w:r>
        <w:rPr>
          <w:b/>
        </w:rPr>
        <w:t>el agua:</w:t>
      </w:r>
      <w:r>
        <w:t xml:space="preserve"> en España, en buen estado, el 50,2 % de las masas superficiales y el 54,1 % de las subterráneas (2023; cálculo de la edición)</w:t>
      </w:r>
      <w:r>
        <w:t xml:space="preserve"> (MITECO, informe del Patrimonio Natural y de la Biodiversidad 2024)</w:t>
      </w:r>
      <w:r>
        <w:t>;</w:t>
      </w:r>
    </w:p>
    <w:p>
      <w:pPr>
        <w:pStyle w:val="ListBullet2"/>
      </w:pPr>
      <w:r>
        <w:rPr>
          <w:b/>
        </w:rPr>
        <w:t>el suelo:</w:t>
      </w:r>
      <w:r>
        <w:t xml:space="preserve"> en España, el 24,8 % de la superficie erosionable, con erosión media o alta</w:t>
      </w:r>
      <w:r>
        <w:t xml:space="preserve"> (MITECO, informe del Patrimonio Natural y de la Biodiversidad 2024)</w:t>
      </w:r>
      <w:r>
        <w:t>; en la UE, más del 60 % de los suelos, probablemente degradado</w:t>
      </w:r>
      <w:r>
        <w:t xml:space="preserve"> (Centro Común de Investigación de la Comisión Europea, 2024)</w:t>
      </w:r>
      <w:r>
        <w:t>;</w:t>
      </w:r>
    </w:p>
    <w:p>
      <w:pPr>
        <w:pStyle w:val="ListBullet2"/>
      </w:pPr>
      <w:r>
        <w:rPr>
          <w:b/>
        </w:rPr>
        <w:t>lo que se recupera:</w:t>
      </w:r>
      <w:r>
        <w:t xml:space="preserve"> en España, el lince ibérico, de unos 100 ejemplares en 2011 a más de 600 en 2017, y el águila imperial, el quebrantahuesos y el oso pardo</w:t>
      </w:r>
      <w:r>
        <w:t xml:space="preserve"> (MITECO, informe del Patrimonio Natural y de la Biodiversidad 2020)</w:t>
      </w:r>
      <w:r>
        <w:t>;</w:t>
      </w:r>
    </w:p>
    <w:p>
      <w:pPr>
        <w:pStyle w:val="ListBullet2"/>
      </w:pPr>
      <w:r>
        <w:rPr>
          <w:b/>
        </w:rPr>
        <w:t>y nacen menos:</w:t>
      </w:r>
      <w:r>
        <w:t xml:space="preserve"> 1,10 hijos por mujer en España (</w:t>
      </w:r>
      <w:r>
        <w:t>8.8</w:t>
      </w:r>
      <w:r>
        <w:t>), 1,34 en la UE y 2,25 en el mundo, en 2024</w:t>
      </w:r>
      <w:r>
        <w:t xml:space="preserve"> (Eurostat, estadísticas de fecundidad; Naciones Unidas, Perspectivas de la población mundial 2024)</w:t>
      </w:r>
      <w:r>
        <w:t>;</w:t>
      </w:r>
    </w:p>
    <w:p>
      <w:pPr>
        <w:pStyle w:val="ListBullet2"/>
      </w:pPr>
      <w:r>
        <w:rPr>
          <w:b/>
        </w:rPr>
        <w:t>lo que no dicen:</w:t>
      </w:r>
      <w:r>
        <w:t xml:space="preserve"> estas cifras miden el estado, no quién lo causa.</w:t>
      </w:r>
    </w:p>
    <w:p>
      <w:r>
        <w:rPr>
          <w:b/>
        </w:rPr>
        <w:t>Los frutos del planeta, cosa por cosa</w:t>
      </w:r>
      <w:r>
        <w:t xml:space="preserve"> (cada cifra, con su fuente leída; «sin dato leído» donde la fuente no lo da):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1312"/>
        <w:gridCol w:w="1312"/>
        <w:gridCol w:w="1312"/>
        <w:gridCol w:w="1312"/>
        <w:gridCol w:w="1312"/>
        <w:gridCol w:w="1312"/>
        <w:gridCol w:w="1312"/>
      </w:tblGrid>
      <w:tr>
        <w:tc>
          <w:tcPr>
            <w:tcW w:type="dxa" w:w="1312"/>
            <w:shd w:val="clear" w:color="auto" w:fill="F1EEE8"/>
          </w:tcPr>
          <w:p>
            <w:pPr>
              <w:spacing w:after="20" w:line="264" w:lineRule="auto"/>
            </w:pPr>
            <w:r>
              <w:rPr>
                <w:b/>
              </w:rPr>
            </w:r>
            <w:r>
              <w:rPr>
                <w:rFonts w:ascii="Segoe UI" w:hAnsi="Segoe UI" w:eastAsia="Segoe UI" w:cs="Segoe UI"/>
                <w:b/>
                <w:color w:val="1F1D1A"/>
                <w:sz w:val="18"/>
              </w:rPr>
              <w:t>Qué se mide</w:t>
            </w:r>
          </w:p>
        </w:tc>
        <w:tc>
          <w:tcPr>
            <w:tcW w:type="dxa" w:w="1312"/>
            <w:shd w:val="clear" w:color="auto" w:fill="F1EEE8"/>
          </w:tcPr>
          <w:p>
            <w:pPr>
              <w:spacing w:after="20" w:line="264" w:lineRule="auto"/>
            </w:pPr>
            <w:r>
              <w:rPr>
                <w:b/>
              </w:rPr>
            </w:r>
            <w:r>
              <w:rPr>
                <w:rFonts w:ascii="Segoe UI" w:hAnsi="Segoe UI" w:eastAsia="Segoe UI" w:cs="Segoe UI"/>
                <w:b/>
                <w:color w:val="1F1D1A"/>
                <w:sz w:val="18"/>
              </w:rPr>
              <w:t>Dónde y cuándo</w:t>
            </w:r>
          </w:p>
        </w:tc>
        <w:tc>
          <w:tcPr>
            <w:tcW w:type="dxa" w:w="1312"/>
            <w:shd w:val="clear" w:color="auto" w:fill="F1EEE8"/>
          </w:tcPr>
          <w:p>
            <w:pPr>
              <w:spacing w:after="20" w:line="264" w:lineRule="auto"/>
            </w:pPr>
            <w:r>
              <w:rPr>
                <w:b/>
              </w:rPr>
            </w:r>
            <w:r>
              <w:rPr>
                <w:rFonts w:ascii="Segoe UI" w:hAnsi="Segoe UI" w:eastAsia="Segoe UI" w:cs="Segoe UI"/>
                <w:b/>
                <w:color w:val="1F1D1A"/>
                <w:sz w:val="18"/>
              </w:rPr>
              <w:t>Se pierde o se gana</w:t>
            </w:r>
          </w:p>
        </w:tc>
        <w:tc>
          <w:tcPr>
            <w:tcW w:type="dxa" w:w="1312"/>
            <w:shd w:val="clear" w:color="auto" w:fill="F1EEE8"/>
          </w:tcPr>
          <w:p>
            <w:pPr>
              <w:spacing w:after="20" w:line="264" w:lineRule="auto"/>
            </w:pPr>
            <w:r>
              <w:rPr>
                <w:b/>
              </w:rPr>
            </w:r>
            <w:r>
              <w:rPr>
                <w:rFonts w:ascii="Segoe UI" w:hAnsi="Segoe UI" w:eastAsia="Segoe UI" w:cs="Segoe UI"/>
                <w:b/>
                <w:color w:val="1F1D1A"/>
                <w:sz w:val="18"/>
              </w:rPr>
              <w:t>La cifra</w:t>
            </w:r>
          </w:p>
        </w:tc>
        <w:tc>
          <w:tcPr>
            <w:tcW w:type="dxa" w:w="1312"/>
            <w:shd w:val="clear" w:color="auto" w:fill="F1EEE8"/>
          </w:tcPr>
          <w:p>
            <w:pPr>
              <w:spacing w:after="20" w:line="264" w:lineRule="auto"/>
            </w:pPr>
            <w:r>
              <w:rPr>
                <w:b/>
              </w:rPr>
            </w:r>
            <w:r>
              <w:rPr>
                <w:rFonts w:ascii="Segoe UI" w:hAnsi="Segoe UI" w:eastAsia="Segoe UI" w:cs="Segoe UI"/>
                <w:b/>
                <w:color w:val="1F1D1A"/>
                <w:sz w:val="18"/>
              </w:rPr>
              <w:t>Estado</w:t>
            </w:r>
          </w:p>
        </w:tc>
        <w:tc>
          <w:tcPr>
            <w:tcW w:type="dxa" w:w="1312"/>
            <w:shd w:val="clear" w:color="auto" w:fill="F1EEE8"/>
          </w:tcPr>
          <w:p>
            <w:pPr>
              <w:spacing w:after="20" w:line="264" w:lineRule="auto"/>
            </w:pPr>
            <w:r>
              <w:rPr>
                <w:b/>
              </w:rPr>
            </w:r>
            <w:r>
              <w:rPr>
                <w:rFonts w:ascii="Segoe UI" w:hAnsi="Segoe UI" w:eastAsia="Segoe UI" w:cs="Segoe UI"/>
                <w:b/>
                <w:color w:val="1F1D1A"/>
                <w:sz w:val="18"/>
              </w:rPr>
              <w:t>Deterioro</w:t>
            </w:r>
          </w:p>
        </w:tc>
        <w:tc>
          <w:tcPr>
            <w:tcW w:type="dxa" w:w="1312"/>
            <w:shd w:val="clear" w:color="auto" w:fill="F1EEE8"/>
          </w:tcPr>
          <w:p>
            <w:pPr>
              <w:spacing w:after="20" w:line="264" w:lineRule="auto"/>
            </w:pPr>
            <w:r>
              <w:rPr>
                <w:b/>
              </w:rPr>
            </w:r>
            <w:r>
              <w:rPr>
                <w:rFonts w:ascii="Segoe UI" w:hAnsi="Segoe UI" w:eastAsia="Segoe UI" w:cs="Segoe UI"/>
                <w:b/>
                <w:color w:val="1F1D1A"/>
                <w:sz w:val="18"/>
              </w:rPr>
              <w:t>Fuente</w:t>
            </w:r>
          </w:p>
        </w:tc>
      </w:tr>
      <w:tr>
        <w:tc>
          <w:tcPr>
            <w:tcW w:type="dxa" w:w="1312"/>
          </w:tcPr>
          <w:p>
            <w:pPr>
              <w:spacing w:after="20" w:line="264" w:lineRule="auto"/>
            </w:pPr>
            <w:r/>
            <w:r>
              <w:rPr>
                <w:rFonts w:ascii="Segoe UI" w:hAnsi="Segoe UI" w:eastAsia="Segoe UI" w:cs="Segoe UI"/>
                <w:color w:val="1F1D1A"/>
                <w:sz w:val="18"/>
              </w:rPr>
              <w:t>Poblaciones de vertebrados que se siguen (tamaño medio, no número de animales)</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−73,2 %; agua dulce, −85 %; tierra, −69 %; mar, −59 %</w:t>
            </w:r>
          </w:p>
        </w:tc>
        <w:tc>
          <w:tcPr>
            <w:tcW w:type="dxa" w:w="1312"/>
          </w:tcPr>
          <w:p>
            <w:pPr>
              <w:spacing w:after="20" w:line="264" w:lineRule="auto"/>
            </w:pPr>
            <w:r/>
            <w:r>
              <w:rPr>
                <w:rFonts w:ascii="Segoe UI" w:hAnsi="Segoe UI" w:eastAsia="Segoe UI" w:cs="Segoe UI"/>
                <w:color w:val="1F1D1A"/>
                <w:sz w:val="18"/>
              </w:rPr>
              <w:t>La mitad baja; la otra mitad, estable o 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Informe Planeta Vivo 2026</w:t>
            </w:r>
          </w:p>
        </w:tc>
      </w:tr>
      <w:tr>
        <w:tc>
          <w:tcPr>
            <w:tcW w:type="dxa" w:w="1312"/>
          </w:tcPr>
          <w:p>
            <w:pPr>
              <w:spacing w:after="20" w:line="264" w:lineRule="auto"/>
            </w:pPr>
            <w:r/>
            <w:r>
              <w:rPr>
                <w:rFonts w:ascii="Segoe UI" w:hAnsi="Segoe UI" w:eastAsia="Segoe UI" w:cs="Segoe UI"/>
                <w:color w:val="1F1D1A"/>
                <w:sz w:val="18"/>
              </w:rPr>
              <w:t>Lo mismo, sin el mar</w:t>
            </w:r>
          </w:p>
        </w:tc>
        <w:tc>
          <w:tcPr>
            <w:tcW w:type="dxa" w:w="1312"/>
          </w:tcPr>
          <w:p>
            <w:pPr>
              <w:spacing w:after="20" w:line="264" w:lineRule="auto"/>
            </w:pPr>
            <w:r/>
            <w:r>
              <w:rPr>
                <w:rFonts w:ascii="Segoe UI" w:hAnsi="Segoe UI" w:eastAsia="Segoe UI" w:cs="Segoe UI"/>
                <w:color w:val="1F1D1A"/>
                <w:sz w:val="18"/>
              </w:rPr>
              <w:t>Europa y Asia Central,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−23 % (el informe de 2024 daba −35 % para 1970-2020; el de 2026 no explica la diferencia en esta región)</w:t>
            </w:r>
          </w:p>
        </w:tc>
        <w:tc>
          <w:tcPr>
            <w:tcW w:type="dxa" w:w="1312"/>
          </w:tcPr>
          <w:p>
            <w:pPr>
              <w:spacing w:after="20" w:line="264" w:lineRule="auto"/>
            </w:pPr>
            <w:r/>
            <w:r>
              <w:rPr>
                <w:rFonts w:ascii="Segoe UI" w:hAnsi="Segoe UI" w:eastAsia="Segoe UI" w:cs="Segoe UI"/>
                <w:color w:val="1F1D1A"/>
                <w:sz w:val="18"/>
              </w:rPr>
              <w:t>Ya estaba peor en 1970; vuelven muchas especies de mamíferos y aves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 y 2024</w:t>
            </w:r>
          </w:p>
        </w:tc>
      </w:tr>
      <w:tr>
        <w:tc>
          <w:tcPr>
            <w:tcW w:type="dxa" w:w="1312"/>
          </w:tcPr>
          <w:p>
            <w:pPr>
              <w:spacing w:after="20" w:line="264" w:lineRule="auto"/>
            </w:pPr>
            <w:r/>
            <w:r>
              <w:rPr>
                <w:rFonts w:ascii="Segoe UI" w:hAnsi="Segoe UI" w:eastAsia="Segoe UI" w:cs="Segoe UI"/>
                <w:color w:val="1F1D1A"/>
                <w:sz w:val="18"/>
              </w:rPr>
              <w:t>Especies que se enfrentan a la extinción</w:t>
            </w:r>
          </w:p>
        </w:tc>
        <w:tc>
          <w:tcPr>
            <w:tcW w:type="dxa" w:w="1312"/>
          </w:tcPr>
          <w:p>
            <w:pPr>
              <w:spacing w:after="20" w:line="264" w:lineRule="auto"/>
            </w:pPr>
            <w:r/>
            <w:r>
              <w:rPr>
                <w:rFonts w:ascii="Segoe UI" w:hAnsi="Segoe UI" w:eastAsia="Segoe UI" w:cs="Segoe UI"/>
                <w:color w:val="1F1D1A"/>
                <w:sz w:val="18"/>
              </w:rPr>
              <w:t>Mundo, evaluación de 2019</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Alrededor de un millón (estimación)</w:t>
            </w:r>
          </w:p>
        </w:tc>
        <w:tc>
          <w:tcPr>
            <w:tcW w:type="dxa" w:w="1312"/>
          </w:tcPr>
          <w:p>
            <w:pPr>
              <w:spacing w:after="20" w:line="264" w:lineRule="auto"/>
            </w:pPr>
            <w:r/>
            <w:r>
              <w:rPr>
                <w:rFonts w:ascii="Segoe UI" w:hAnsi="Segoe UI" w:eastAsia="Segoe UI" w:cs="Segoe UI"/>
                <w:color w:val="1F1D1A"/>
                <w:sz w:val="18"/>
              </w:rPr>
              <w:t>Amenazadas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Biomasa de los mamíferos salvajes</w:t>
            </w:r>
          </w:p>
        </w:tc>
        <w:tc>
          <w:tcPr>
            <w:tcW w:type="dxa" w:w="1312"/>
          </w:tcPr>
          <w:p>
            <w:pPr>
              <w:spacing w:after="20" w:line="264" w:lineRule="auto"/>
            </w:pPr>
            <w:r/>
            <w:r>
              <w:rPr>
                <w:rFonts w:ascii="Segoe UI" w:hAnsi="Segoe UI" w:eastAsia="Segoe UI" w:cs="Segoe UI"/>
                <w:color w:val="1F1D1A"/>
                <w:sz w:val="18"/>
              </w:rPr>
              <w:t>Mundo, tierra y mar</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−82 % (la fuente no da el periodo en esa frase)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IPBES, 2019</w:t>
            </w:r>
          </w:p>
        </w:tc>
      </w:tr>
      <w:tr>
        <w:tc>
          <w:tcPr>
            <w:tcW w:type="dxa" w:w="1312"/>
          </w:tcPr>
          <w:p>
            <w:pPr>
              <w:spacing w:after="20" w:line="264" w:lineRule="auto"/>
            </w:pPr>
            <w:r/>
            <w:r>
              <w:rPr>
                <w:rFonts w:ascii="Segoe UI" w:hAnsi="Segoe UI" w:eastAsia="Segoe UI" w:cs="Segoe UI"/>
                <w:color w:val="1F1D1A"/>
                <w:sz w:val="18"/>
              </w:rPr>
              <w:t>Especies amenazadas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1.855 de las 63.375 especies silvestres conocidas</w:t>
            </w:r>
          </w:p>
        </w:tc>
        <w:tc>
          <w:tcPr>
            <w:tcW w:type="dxa" w:w="1312"/>
          </w:tcPr>
          <w:p>
            <w:pPr>
              <w:spacing w:after="20" w:line="264" w:lineRule="auto"/>
            </w:pPr>
            <w:r/>
            <w:r>
              <w:rPr>
                <w:rFonts w:ascii="Segoe UI" w:hAnsi="Segoe UI" w:eastAsia="Segoe UI" w:cs="Segoe UI"/>
                <w:color w:val="1F1D1A"/>
                <w:sz w:val="18"/>
              </w:rPr>
              <w:t>Con algún grado de amenaza</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Aves comunes de ambientes agrícolas</w:t>
            </w:r>
          </w:p>
        </w:tc>
        <w:tc>
          <w:tcPr>
            <w:tcW w:type="dxa" w:w="1312"/>
          </w:tcPr>
          <w:p>
            <w:pPr>
              <w:spacing w:after="20" w:line="264" w:lineRule="auto"/>
            </w:pPr>
            <w:r/>
            <w:r>
              <w:rPr>
                <w:rFonts w:ascii="Segoe UI" w:hAnsi="Segoe UI" w:eastAsia="Segoe UI" w:cs="Segoe UI"/>
                <w:color w:val="1F1D1A"/>
                <w:sz w:val="18"/>
              </w:rPr>
              <w:t>España, desde 2000 (informe de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En torno al −34 %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Lince ibérico, águila imperial, quebrantahuesos y oso pardo</w:t>
            </w:r>
          </w:p>
        </w:tc>
        <w:tc>
          <w:tcPr>
            <w:tcW w:type="dxa" w:w="1312"/>
          </w:tcPr>
          <w:p>
            <w:pPr>
              <w:spacing w:after="20" w:line="264" w:lineRule="auto"/>
            </w:pPr>
            <w:r/>
            <w:r>
              <w:rPr>
                <w:rFonts w:ascii="Segoe UI" w:hAnsi="Segoe UI" w:eastAsia="Segoe UI" w:cs="Segoe UI"/>
                <w:color w:val="1F1D1A"/>
                <w:sz w:val="18"/>
              </w:rPr>
              <w:t>España, de 1970-2011 a 2017-2018</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Lince, de unos 100 (2011) a más de 600 (2017); águila imperial, de unas decenas de parejas en los años setenta a 520 (2017); quebrantahuesos, de 22 parejas (1982) a 133 (2018); oso pardo, de 100-120 (1989) a 310-350 (2018)</w:t>
            </w:r>
          </w:p>
        </w:tc>
        <w:tc>
          <w:tcPr>
            <w:tcW w:type="dxa" w:w="1312"/>
          </w:tcPr>
          <w:p>
            <w:pPr>
              <w:spacing w:after="20" w:line="264" w:lineRule="auto"/>
            </w:pPr>
            <w:r/>
            <w:r>
              <w:rPr>
                <w:rFonts w:ascii="Segoe UI" w:hAnsi="Segoe UI" w:eastAsia="Segoe UI" w:cs="Segoe UI"/>
                <w:color w:val="1F1D1A"/>
                <w:sz w:val="18"/>
              </w:rPr>
              <w:t>Se recuperan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Tipos de hábitat de interés comunitario</w:t>
            </w:r>
          </w:p>
        </w:tc>
        <w:tc>
          <w:tcPr>
            <w:tcW w:type="dxa" w:w="1312"/>
          </w:tcPr>
          <w:p>
            <w:pPr>
              <w:spacing w:after="20" w:line="264" w:lineRule="auto"/>
            </w:pPr>
            <w:r/>
            <w:r>
              <w:rPr>
                <w:rFonts w:ascii="Segoe UI" w:hAnsi="Segoe UI" w:eastAsia="Segoe UI" w:cs="Segoe UI"/>
                <w:color w:val="1F1D1A"/>
                <w:sz w:val="18"/>
              </w:rPr>
              <w:t>España, 2013-2018</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74 % en estado desfavorable (62 % en 2007-2012; sube sobre todo porque hay menos evaluaciones con resultado desconocido; solo la región atlántica parece empeorar de verdad)</w:t>
            </w:r>
          </w:p>
        </w:tc>
        <w:tc>
          <w:tcPr>
            <w:tcW w:type="dxa" w:w="1312"/>
          </w:tcPr>
          <w:p>
            <w:pPr>
              <w:spacing w:after="20" w:line="264" w:lineRule="auto"/>
            </w:pPr>
            <w:r/>
            <w:r>
              <w:rPr>
                <w:rFonts w:ascii="Segoe UI" w:hAnsi="Segoe UI" w:eastAsia="Segoe UI" w:cs="Segoe UI"/>
                <w:color w:val="1F1D1A"/>
                <w:sz w:val="18"/>
              </w:rPr>
              <w:t>Los bosques y, sobre todo, las turberas, los peores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2020</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Mundo, 1990-2025</w:t>
            </w:r>
          </w:p>
        </w:tc>
        <w:tc>
          <w:tcPr>
            <w:tcW w:type="dxa" w:w="1312"/>
          </w:tcPr>
          <w:p>
            <w:pPr>
              <w:spacing w:after="20" w:line="264" w:lineRule="auto"/>
            </w:pPr>
            <w:r/>
            <w:r>
              <w:rPr>
                <w:rFonts w:ascii="Segoe UI" w:hAnsi="Segoe UI" w:eastAsia="Segoe UI" w:cs="Segoe UI"/>
                <w:color w:val="1F1D1A"/>
                <w:sz w:val="18"/>
              </w:rPr>
              <w:t>Se pierde (neto)</w:t>
            </w:r>
          </w:p>
        </w:tc>
        <w:tc>
          <w:tcPr>
            <w:tcW w:type="dxa" w:w="1312"/>
          </w:tcPr>
          <w:p>
            <w:pPr>
              <w:spacing w:after="20" w:line="264" w:lineRule="auto"/>
            </w:pPr>
            <w:r/>
            <w:r>
              <w:rPr>
                <w:rFonts w:ascii="Segoe UI" w:hAnsi="Segoe UI" w:eastAsia="Segoe UI" w:cs="Segoe UI"/>
                <w:color w:val="1F1D1A"/>
                <w:sz w:val="18"/>
              </w:rPr>
              <w:t>De 4.343.534 a 4.140.217 miles de hectáreas; la pérdida neta por año baja de 10,7 millones de hectáreas (1990-2000) a 4,12 (2015-2025)</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Evaluación de los recursos forestales mundiales 2025</w:t>
            </w:r>
          </w:p>
        </w:tc>
      </w:tr>
      <w:tr>
        <w:tc>
          <w:tcPr>
            <w:tcW w:type="dxa" w:w="1312"/>
          </w:tcPr>
          <w:p>
            <w:pPr>
              <w:spacing w:after="20" w:line="264" w:lineRule="auto"/>
            </w:pPr>
            <w:r/>
            <w:r>
              <w:rPr>
                <w:rFonts w:ascii="Segoe UI" w:hAnsi="Segoe UI" w:eastAsia="Segoe UI" w:cs="Segoe UI"/>
                <w:color w:val="1F1D1A"/>
                <w:sz w:val="18"/>
              </w:rPr>
              <w:t>Bosque, superficie</w:t>
            </w:r>
          </w:p>
        </w:tc>
        <w:tc>
          <w:tcPr>
            <w:tcW w:type="dxa" w:w="1312"/>
          </w:tcPr>
          <w:p>
            <w:pPr>
              <w:spacing w:after="20" w:line="264" w:lineRule="auto"/>
            </w:pPr>
            <w:r/>
            <w:r>
              <w:rPr>
                <w:rFonts w:ascii="Segoe UI" w:hAnsi="Segoe UI" w:eastAsia="Segoe UI" w:cs="Segoe UI"/>
                <w:color w:val="1F1D1A"/>
                <w:sz w:val="18"/>
              </w:rPr>
              <w:t>Europa, con Rusia, 1990-2025</w:t>
            </w:r>
          </w:p>
        </w:tc>
        <w:tc>
          <w:tcPr>
            <w:tcW w:type="dxa" w:w="1312"/>
          </w:tcPr>
          <w:p>
            <w:pPr>
              <w:spacing w:after="20" w:line="264" w:lineRule="auto"/>
            </w:pPr>
            <w:r/>
            <w:r>
              <w:rPr>
                <w:rFonts w:ascii="Segoe UI" w:hAnsi="Segoe UI" w:eastAsia="Segoe UI" w:cs="Segoe UI"/>
                <w:color w:val="1F1D1A"/>
                <w:sz w:val="18"/>
              </w:rPr>
              <w:t>Se gana</w:t>
            </w:r>
          </w:p>
        </w:tc>
        <w:tc>
          <w:tcPr>
            <w:tcW w:type="dxa" w:w="1312"/>
          </w:tcPr>
          <w:p>
            <w:pPr>
              <w:spacing w:after="20" w:line="264" w:lineRule="auto"/>
            </w:pPr>
            <w:r/>
            <w:r>
              <w:rPr>
                <w:rFonts w:ascii="Segoe UI" w:hAnsi="Segoe UI" w:eastAsia="Segoe UI" w:cs="Segoe UI"/>
                <w:color w:val="1F1D1A"/>
                <w:sz w:val="18"/>
              </w:rPr>
              <w:t>Sube</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2025</w:t>
            </w:r>
          </w:p>
        </w:tc>
      </w:tr>
      <w:tr>
        <w:tc>
          <w:tcPr>
            <w:tcW w:type="dxa" w:w="1312"/>
          </w:tcPr>
          <w:p>
            <w:pPr>
              <w:spacing w:after="20" w:line="264" w:lineRule="auto"/>
            </w:pPr>
            <w:r/>
            <w:r>
              <w:rPr>
                <w:rFonts w:ascii="Segoe UI" w:hAnsi="Segoe UI" w:eastAsia="Segoe UI" w:cs="Segoe UI"/>
                <w:color w:val="1F1D1A"/>
                <w:sz w:val="18"/>
              </w:rPr>
              <w:t>Bosque, superficie y cómo es</w:t>
            </w:r>
          </w:p>
        </w:tc>
        <w:tc>
          <w:tcPr>
            <w:tcW w:type="dxa" w:w="1312"/>
          </w:tcPr>
          <w:p>
            <w:pPr>
              <w:spacing w:after="20" w:line="264" w:lineRule="auto"/>
            </w:pPr>
            <w:r/>
            <w:r>
              <w:rPr>
                <w:rFonts w:ascii="Segoe UI" w:hAnsi="Segoe UI" w:eastAsia="Segoe UI" w:cs="Segoe UI"/>
                <w:color w:val="1F1D1A"/>
                <w:sz w:val="18"/>
              </w:rPr>
              <w:t>España, 1990-2025</w:t>
            </w:r>
          </w:p>
        </w:tc>
        <w:tc>
          <w:tcPr>
            <w:tcW w:type="dxa" w:w="1312"/>
          </w:tcPr>
          <w:p>
            <w:pPr>
              <w:spacing w:after="20" w:line="264" w:lineRule="auto"/>
            </w:pPr>
            <w:r/>
            <w:r>
              <w:rPr>
                <w:rFonts w:ascii="Segoe UI" w:hAnsi="Segoe UI" w:eastAsia="Segoe UI" w:cs="Segoe UI"/>
                <w:color w:val="1F1D1A"/>
                <w:sz w:val="18"/>
              </w:rPr>
              <w:t>Se gana, sobre todo el que se regenera solo</w:t>
            </w:r>
          </w:p>
        </w:tc>
        <w:tc>
          <w:tcPr>
            <w:tcW w:type="dxa" w:w="1312"/>
          </w:tcPr>
          <w:p>
            <w:pPr>
              <w:spacing w:after="20" w:line="264" w:lineRule="auto"/>
            </w:pPr>
            <w:r/>
            <w:r>
              <w:rPr>
                <w:rFonts w:ascii="Segoe UI" w:hAnsi="Segoe UI" w:eastAsia="Segoe UI" w:cs="Segoe UI"/>
                <w:color w:val="1F1D1A"/>
                <w:sz w:val="18"/>
              </w:rPr>
              <w:t>+37,6 % (cálculo: de 13.905 a 19.133 miles de hectáreas); el que se regenera solo, de 11.959 a 16.314; el plantado, de 1.945 a 2.819</w:t>
            </w:r>
          </w:p>
        </w:tc>
        <w:tc>
          <w:tcPr>
            <w:tcW w:type="dxa" w:w="1312"/>
          </w:tcPr>
          <w:p>
            <w:pPr>
              <w:spacing w:after="20" w:line="264" w:lineRule="auto"/>
            </w:pPr>
            <w:r/>
            <w:r>
              <w:rPr>
                <w:rFonts w:ascii="Segoe UI" w:hAnsi="Segoe UI" w:eastAsia="Segoe UI" w:cs="Segoe UI"/>
                <w:color w:val="1F1D1A"/>
                <w:sz w:val="18"/>
              </w:rPr>
              <w:t>De lo plantado, el 37 % es plantación de gestión intensiva (en Europa, en torno al 6 %); los hábitats de bosque, entre los peores (2013-2018)</w:t>
            </w:r>
          </w:p>
        </w:tc>
        <w:tc>
          <w:tcPr>
            <w:tcW w:type="dxa" w:w="1312"/>
          </w:tcPr>
          <w:p>
            <w:pPr>
              <w:spacing w:after="20" w:line="264" w:lineRule="auto"/>
            </w:pPr>
            <w:r/>
            <w:r>
              <w:rPr>
                <w:rFonts w:ascii="Segoe UI" w:hAnsi="Segoe UI" w:eastAsia="Segoe UI" w:cs="Segoe UI"/>
                <w:color w:val="1F1D1A"/>
                <w:sz w:val="18"/>
              </w:rPr>
              <w:t>En 2024, casi una cuarta parte de los árboles muestreados había perdido más de la cuarta parte de sus hojas (defoliación moderada o grave), sobre todo por daños ligados a la sequía</w:t>
            </w:r>
          </w:p>
        </w:tc>
        <w:tc>
          <w:tcPr>
            <w:tcW w:type="dxa" w:w="1312"/>
          </w:tcPr>
          <w:p>
            <w:pPr>
              <w:spacing w:after="20" w:line="264" w:lineRule="auto"/>
            </w:pPr>
            <w:r/>
            <w:r>
              <w:rPr>
                <w:rFonts w:ascii="Segoe UI" w:hAnsi="Segoe UI" w:eastAsia="Segoe UI" w:cs="Segoe UI"/>
                <w:color w:val="1F1D1A"/>
                <w:sz w:val="18"/>
              </w:rPr>
              <w:t>FAO, 2025; MITECO, informes del Patrimonio Natural y de la Biodiversidad 2020 y 2024</w:t>
            </w:r>
          </w:p>
        </w:tc>
      </w:tr>
      <w:tr>
        <w:tc>
          <w:tcPr>
            <w:tcW w:type="dxa" w:w="1312"/>
          </w:tcPr>
          <w:p>
            <w:pPr>
              <w:spacing w:after="20" w:line="264" w:lineRule="auto"/>
            </w:pPr>
            <w:r/>
            <w:r>
              <w:rPr>
                <w:rFonts w:ascii="Segoe UI" w:hAnsi="Segoe UI" w:eastAsia="Segoe UI" w:cs="Segoe UI"/>
                <w:color w:val="1F1D1A"/>
                <w:sz w:val="18"/>
              </w:rPr>
              <w:t>Poblaciones marinas que se siguen (abundancia, no biomasa)</w:t>
            </w:r>
          </w:p>
        </w:tc>
        <w:tc>
          <w:tcPr>
            <w:tcW w:type="dxa" w:w="1312"/>
          </w:tcPr>
          <w:p>
            <w:pPr>
              <w:spacing w:after="20" w:line="264" w:lineRule="auto"/>
            </w:pPr>
            <w:r/>
            <w:r>
              <w:rPr>
                <w:rFonts w:ascii="Segoe UI" w:hAnsi="Segoe UI" w:eastAsia="Segoe UI" w:cs="Segoe UI"/>
                <w:color w:val="1F1D1A"/>
                <w:sz w:val="18"/>
              </w:rPr>
              <w:t>Mundo, 1970-2022</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−59 %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WWF y ZSL, 2026</w:t>
            </w:r>
          </w:p>
        </w:tc>
      </w:tr>
      <w:tr>
        <w:tc>
          <w:tcPr>
            <w:tcW w:type="dxa" w:w="1312"/>
          </w:tcPr>
          <w:p>
            <w:pPr>
              <w:spacing w:after="20" w:line="264" w:lineRule="auto"/>
            </w:pPr>
            <w:r/>
            <w:r>
              <w:rPr>
                <w:rFonts w:ascii="Segoe UI" w:hAnsi="Segoe UI" w:eastAsia="Segoe UI" w:cs="Segoe UI"/>
                <w:color w:val="1F1D1A"/>
                <w:sz w:val="18"/>
              </w:rPr>
              <w:t>Pesquerías sobreexplotadas</w:t>
            </w:r>
          </w:p>
        </w:tc>
        <w:tc>
          <w:tcPr>
            <w:tcW w:type="dxa" w:w="1312"/>
          </w:tcPr>
          <w:p>
            <w:pPr>
              <w:spacing w:after="20" w:line="264" w:lineRule="auto"/>
            </w:pPr>
            <w:r/>
            <w:r>
              <w:rPr>
                <w:rFonts w:ascii="Segoe UI" w:hAnsi="Segoe UI" w:eastAsia="Segoe UI" w:cs="Segoe UI"/>
                <w:color w:val="1F1D1A"/>
                <w:sz w:val="18"/>
              </w:rPr>
              <w:t>Mundo, 1974-2021</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Del 10 % al 37,7 % de las poblaciones evaluadas (cuenta poblaciones, no capturas)</w:t>
            </w:r>
          </w:p>
        </w:tc>
        <w:tc>
          <w:tcPr>
            <w:tcW w:type="dxa" w:w="1312"/>
          </w:tcPr>
          <w:p>
            <w:pPr>
              <w:spacing w:after="20" w:line="264" w:lineRule="auto"/>
            </w:pPr>
            <w:r/>
            <w:r>
              <w:rPr>
                <w:rFonts w:ascii="Segoe UI" w:hAnsi="Segoe UI" w:eastAsia="Segoe UI" w:cs="Segoe UI"/>
                <w:color w:val="1F1D1A"/>
                <w:sz w:val="18"/>
              </w:rPr>
              <w:t>El 76,9 % de lo desembarcado en 2021 viene de poblaciones sostenibles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El estado mundial de la pesca y la acuicultura 2024</w:t>
            </w:r>
          </w:p>
        </w:tc>
      </w:tr>
      <w:tr>
        <w:tc>
          <w:tcPr>
            <w:tcW w:type="dxa" w:w="1312"/>
          </w:tcPr>
          <w:p>
            <w:pPr>
              <w:spacing w:after="20" w:line="264" w:lineRule="auto"/>
            </w:pPr>
            <w:r/>
            <w:r>
              <w:rPr>
                <w:rFonts w:ascii="Segoe UI" w:hAnsi="Segoe UI" w:eastAsia="Segoe UI" w:cs="Segoe UI"/>
                <w:color w:val="1F1D1A"/>
                <w:sz w:val="18"/>
              </w:rPr>
              <w:t>Pesquerías del Mediterráneo y el mar Negro</w:t>
            </w:r>
          </w:p>
        </w:tc>
        <w:tc>
          <w:tcPr>
            <w:tcW w:type="dxa" w:w="1312"/>
          </w:tcPr>
          <w:p>
            <w:pPr>
              <w:spacing w:after="20" w:line="264" w:lineRule="auto"/>
            </w:pPr>
            <w:r/>
            <w:r>
              <w:rPr>
                <w:rFonts w:ascii="Segoe UI" w:hAnsi="Segoe UI" w:eastAsia="Segoe UI" w:cs="Segoe UI"/>
                <w:color w:val="1F1D1A"/>
                <w:sz w:val="18"/>
              </w:rPr>
              <w:t>2012-2021</w:t>
            </w:r>
          </w:p>
        </w:tc>
        <w:tc>
          <w:tcPr>
            <w:tcW w:type="dxa" w:w="1312"/>
          </w:tcPr>
          <w:p>
            <w:pPr>
              <w:spacing w:after="20" w:line="264" w:lineRule="auto"/>
            </w:pPr>
            <w:r/>
            <w:r>
              <w:rPr>
                <w:rFonts w:ascii="Segoe UI" w:hAnsi="Segoe UI" w:eastAsia="Segoe UI" w:cs="Segoe UI"/>
                <w:color w:val="1F1D1A"/>
                <w:sz w:val="18"/>
              </w:rPr>
              <w:t>Se pierde en el nivel; se gana en la tendencia</w:t>
            </w:r>
          </w:p>
        </w:tc>
        <w:tc>
          <w:tcPr>
            <w:tcW w:type="dxa" w:w="1312"/>
          </w:tcPr>
          <w:p>
            <w:pPr>
              <w:spacing w:after="20" w:line="264" w:lineRule="auto"/>
            </w:pPr>
            <w:r/>
            <w:r>
              <w:rPr>
                <w:rFonts w:ascii="Segoe UI" w:hAnsi="Segoe UI" w:eastAsia="Segoe UI" w:cs="Segoe UI"/>
                <w:color w:val="1F1D1A"/>
                <w:sz w:val="18"/>
              </w:rPr>
              <w:t>El 37,5 % de las poblaciones, en niveles sostenibles (2021)</w:t>
            </w:r>
          </w:p>
        </w:tc>
        <w:tc>
          <w:tcPr>
            <w:tcW w:type="dxa" w:w="1312"/>
          </w:tcPr>
          <w:p>
            <w:pPr>
              <w:spacing w:after="20" w:line="264" w:lineRule="auto"/>
            </w:pPr>
            <w:r/>
            <w:r>
              <w:rPr>
                <w:rFonts w:ascii="Segoe UI" w:hAnsi="Segoe UI" w:eastAsia="Segoe UI" w:cs="Segoe UI"/>
                <w:color w:val="1F1D1A"/>
                <w:sz w:val="18"/>
              </w:rPr>
              <w:t>Las sobreexplotadas, del 73 % (2020) al 58 % (2021); la presión pesquera, un 31 % menos desde 2012</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FAO, 2024; Comisión General de Pesca del Mediterráneo, 2023</w:t>
            </w:r>
          </w:p>
        </w:tc>
      </w:tr>
      <w:tr>
        <w:tc>
          <w:tcPr>
            <w:tcW w:type="dxa" w:w="1312"/>
          </w:tcPr>
          <w:p>
            <w:pPr>
              <w:spacing w:after="20" w:line="264" w:lineRule="auto"/>
            </w:pPr>
            <w:r/>
            <w:r>
              <w:rPr>
                <w:rFonts w:ascii="Segoe UI" w:hAnsi="Segoe UI" w:eastAsia="Segoe UI" w:cs="Segoe UI"/>
                <w:color w:val="1F1D1A"/>
                <w:sz w:val="18"/>
              </w:rPr>
              <w:t>Los mares de Europa</w:t>
            </w:r>
          </w:p>
        </w:tc>
        <w:tc>
          <w:tcPr>
            <w:tcW w:type="dxa" w:w="1312"/>
          </w:tcPr>
          <w:p>
            <w:pPr>
              <w:spacing w:after="20" w:line="264" w:lineRule="auto"/>
            </w:pPr>
            <w:r/>
            <w:r>
              <w:rPr>
                <w:rFonts w:ascii="Segoe UI" w:hAnsi="Segoe UI" w:eastAsia="Segoe UI" w:cs="Segoe UI"/>
                <w:color w:val="1F1D1A"/>
                <w:sz w:val="18"/>
              </w:rPr>
              <w:t>Europa; las basuras, con datos de 2010 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general, malo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Contaminantes, el 80 % de las zonas evaluadas; exceso de nutrientes, casi una cuarta parte; basuras, casi el 75 % (2010-2021); hay indicios de que la basura plástica en el mar puede estar bajando</w:t>
            </w:r>
          </w:p>
        </w:tc>
        <w:tc>
          <w:tcPr>
            <w:tcW w:type="dxa" w:w="1312"/>
          </w:tcPr>
          <w:p>
            <w:pPr>
              <w:spacing w:after="20" w:line="264" w:lineRule="auto"/>
            </w:pPr>
            <w:r/>
            <w:r>
              <w:rPr>
                <w:rFonts w:ascii="Segoe UI" w:hAnsi="Segoe UI" w:eastAsia="Segoe UI" w:cs="Segoe UI"/>
                <w:color w:val="1F1D1A"/>
                <w:sz w:val="18"/>
              </w:rPr>
              <w:t>Agencia Europea de Medio Ambiente</w:t>
            </w:r>
          </w:p>
        </w:tc>
      </w:tr>
      <w:tr>
        <w:tc>
          <w:tcPr>
            <w:tcW w:type="dxa" w:w="1312"/>
          </w:tcPr>
          <w:p>
            <w:pPr>
              <w:spacing w:after="20" w:line="264" w:lineRule="auto"/>
            </w:pPr>
            <w:r/>
            <w:r>
              <w:rPr>
                <w:rFonts w:ascii="Segoe UI" w:hAnsi="Segoe UI" w:eastAsia="Segoe UI" w:cs="Segoe UI"/>
                <w:color w:val="1F1D1A"/>
                <w:sz w:val="18"/>
              </w:rPr>
              <w:t>Basuras en las playas</w:t>
            </w:r>
          </w:p>
        </w:tc>
        <w:tc>
          <w:tcPr>
            <w:tcW w:type="dxa" w:w="1312"/>
          </w:tcPr>
          <w:p>
            <w:pPr>
              <w:spacing w:after="20" w:line="264" w:lineRule="auto"/>
            </w:pPr>
            <w:r/>
            <w:r>
              <w:rPr>
                <w:rFonts w:ascii="Segoe UI" w:hAnsi="Segoe UI" w:eastAsia="Segoe UI" w:cs="Segoe UI"/>
                <w:color w:val="1F1D1A"/>
                <w:sz w:val="18"/>
              </w:rPr>
              <w:t>España, 29 playas,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316 objetos de media por muestreo, en tramos de 100 metros</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Basuras</w:t>
            </w:r>
          </w:p>
        </w:tc>
        <w:tc>
          <w:tcPr>
            <w:tcW w:type="dxa" w:w="1312"/>
          </w:tcPr>
          <w:p>
            <w:pPr>
              <w:spacing w:after="20" w:line="264" w:lineRule="auto"/>
            </w:pPr>
            <w:r/>
            <w:r>
              <w:rPr>
                <w:rFonts w:ascii="Segoe UI" w:hAnsi="Segoe UI" w:eastAsia="Segoe UI" w:cs="Segoe UI"/>
                <w:color w:val="1F1D1A"/>
                <w:sz w:val="18"/>
              </w:rPr>
              <w:t>MITECO, resultados de 2023 del seguimiento de basuras en playas</w:t>
            </w:r>
          </w:p>
        </w:tc>
      </w:tr>
      <w:tr>
        <w:tc>
          <w:tcPr>
            <w:tcW w:type="dxa" w:w="1312"/>
          </w:tcPr>
          <w:p>
            <w:pPr>
              <w:spacing w:after="20" w:line="264" w:lineRule="auto"/>
            </w:pPr>
            <w:r/>
            <w:r>
              <w:rPr>
                <w:rFonts w:ascii="Segoe UI" w:hAnsi="Segoe UI" w:eastAsia="Segoe UI" w:cs="Segoe UI"/>
                <w:color w:val="1F1D1A"/>
                <w:sz w:val="18"/>
              </w:rPr>
              <w:t>El aire, con los valores legales</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Por encima del valor límite: dióxido de nitrógeno, 0 de 133 zonas; PM2,5, 0 de 137; PM10, 1 de 137. Ozono, por encima del valor objetivo para la salud: 20 de 132 (14 en 2023)</w:t>
            </w:r>
          </w:p>
        </w:tc>
        <w:tc>
          <w:tcPr>
            <w:tcW w:type="dxa" w:w="1312"/>
          </w:tcPr>
          <w:p>
            <w:pPr>
              <w:spacing w:after="20" w:line="264" w:lineRule="auto"/>
            </w:pPr>
            <w:r/>
            <w:r>
              <w:rPr>
                <w:rFonts w:ascii="Segoe UI" w:hAnsi="Segoe UI" w:eastAsia="Segoe UI" w:cs="Segoe UI"/>
                <w:color w:val="1F1D1A"/>
                <w:sz w:val="18"/>
              </w:rPr>
              <w:t>La exposición media a las PM2,5, un 18,44 % menos que en 2011</w:t>
            </w:r>
          </w:p>
        </w:tc>
        <w:tc>
          <w:tcPr>
            <w:tcW w:type="dxa" w:w="1312"/>
          </w:tcPr>
          <w:p>
            <w:pPr>
              <w:spacing w:after="20" w:line="264" w:lineRule="auto"/>
            </w:pPr>
            <w:r/>
            <w:r>
              <w:rPr>
                <w:rFonts w:ascii="Segoe UI" w:hAnsi="Segoe UI" w:eastAsia="Segoe UI" w:cs="Segoe UI"/>
                <w:color w:val="1F1D1A"/>
                <w:sz w:val="18"/>
              </w:rPr>
              <w:t>El ozono</w:t>
            </w:r>
          </w:p>
        </w:tc>
        <w:tc>
          <w:tcPr>
            <w:tcW w:type="dxa" w:w="1312"/>
          </w:tcPr>
          <w:p>
            <w:pPr>
              <w:spacing w:after="20" w:line="264" w:lineRule="auto"/>
            </w:pPr>
            <w:r/>
            <w:r>
              <w:rPr>
                <w:rFonts w:ascii="Segoe UI" w:hAnsi="Segoe UI" w:eastAsia="Segoe UI" w:cs="Segoe UI"/>
                <w:color w:val="1F1D1A"/>
                <w:sz w:val="18"/>
              </w:rPr>
              <w:t>MITECO, Evaluación de la calidad del aire en España 2024</w:t>
            </w:r>
          </w:p>
        </w:tc>
      </w:tr>
      <w:tr>
        <w:tc>
          <w:tcPr>
            <w:tcW w:type="dxa" w:w="1312"/>
          </w:tcPr>
          <w:p>
            <w:pPr>
              <w:spacing w:after="20" w:line="264" w:lineRule="auto"/>
            </w:pPr>
            <w:r/>
            <w:r>
              <w:rPr>
                <w:rFonts w:ascii="Segoe UI" w:hAnsi="Segoe UI" w:eastAsia="Segoe UI" w:cs="Segoe UI"/>
                <w:color w:val="1F1D1A"/>
                <w:sz w:val="18"/>
              </w:rPr>
              <w:t>El aire, con los valores guía de la OMS</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90 % de la población urbana, expuesta por encima de ellos</w:t>
            </w:r>
          </w:p>
        </w:tc>
        <w:tc>
          <w:tcPr>
            <w:tcW w:type="dxa" w:w="1312"/>
          </w:tcPr>
          <w:p>
            <w:pPr>
              <w:spacing w:after="20" w:line="264" w:lineRule="auto"/>
            </w:pPr>
            <w:r/>
            <w:r>
              <w:rPr>
                <w:rFonts w:ascii="Segoe UI" w:hAnsi="Segoe UI" w:eastAsia="Segoe UI" w:cs="Segoe UI"/>
                <w:color w:val="1F1D1A"/>
                <w:sz w:val="18"/>
              </w:rPr>
              <w:t>La contaminación baja desde hace dos décadas</w:t>
            </w:r>
          </w:p>
        </w:tc>
        <w:tc>
          <w:tcPr>
            <w:tcW w:type="dxa" w:w="1312"/>
          </w:tcPr>
          <w:p>
            <w:pPr>
              <w:spacing w:after="20" w:line="264" w:lineRule="auto"/>
            </w:pPr>
            <w:r/>
            <w:r>
              <w:rPr>
                <w:rFonts w:ascii="Segoe UI" w:hAnsi="Segoe UI" w:eastAsia="Segoe UI" w:cs="Segoe UI"/>
                <w:color w:val="1F1D1A"/>
                <w:sz w:val="18"/>
              </w:rPr>
              <w:t>Hasta un 20 % de las estaciones, por encima de las normas legales de la UE</w:t>
            </w:r>
          </w:p>
        </w:tc>
        <w:tc>
          <w:tcPr>
            <w:tcW w:type="dxa" w:w="1312"/>
          </w:tcPr>
          <w:p>
            <w:pPr>
              <w:spacing w:after="20" w:line="264" w:lineRule="auto"/>
            </w:pPr>
            <w:r/>
            <w:r>
              <w:rPr>
                <w:rFonts w:ascii="Segoe UI" w:hAnsi="Segoe UI" w:eastAsia="Segoe UI" w:cs="Segoe UI"/>
                <w:color w:val="1F1D1A"/>
                <w:sz w:val="18"/>
              </w:rPr>
              <w:t>Agencia Europea de Medio Ambiente, 2026</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España, seguimiento de 2023</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En buen estado, el 50,2 % de las masas superficiales (2.745 de 5.470) y el 54,1 % de las subterráneas (435 de 804); cálculo de la edición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agua</w:t>
            </w:r>
          </w:p>
        </w:tc>
        <w:tc>
          <w:tcPr>
            <w:tcW w:type="dxa" w:w="1312"/>
          </w:tcPr>
          <w:p>
            <w:pPr>
              <w:spacing w:after="20" w:line="264" w:lineRule="auto"/>
            </w:pPr>
            <w:r/>
            <w:r>
              <w:rPr>
                <w:rFonts w:ascii="Segoe UI" w:hAnsi="Segoe UI" w:eastAsia="Segoe UI" w:cs="Segoe UI"/>
                <w:color w:val="1F1D1A"/>
                <w:sz w:val="18"/>
              </w:rPr>
              <w:t>Europa, 2021</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Estado ecológico bueno o muy bueno, el 37 % de las aguas superficiales; buen estado químico, el 29 %</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Agencia Europea de Medio Ambiente,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España</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El 24,8 % de la superficie erosionable, con erosión media o alta (más de 10 toneladas por hectárea y año)</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erosión</w:t>
            </w:r>
          </w:p>
        </w:tc>
        <w:tc>
          <w:tcPr>
            <w:tcW w:type="dxa" w:w="1312"/>
          </w:tcPr>
          <w:p>
            <w:pPr>
              <w:spacing w:after="20" w:line="264" w:lineRule="auto"/>
            </w:pPr>
            <w:r/>
            <w:r>
              <w:rPr>
                <w:rFonts w:ascii="Segoe UI" w:hAnsi="Segoe UI" w:eastAsia="Segoe UI" w:cs="Segoe UI"/>
                <w:color w:val="1F1D1A"/>
                <w:sz w:val="18"/>
              </w:rPr>
              <w:t>MITECO, informe del Patrimonio Natural y de la Biodiversidad 2024</w:t>
            </w:r>
          </w:p>
        </w:tc>
      </w:tr>
      <w:tr>
        <w:tc>
          <w:tcPr>
            <w:tcW w:type="dxa" w:w="1312"/>
          </w:tcPr>
          <w:p>
            <w:pPr>
              <w:spacing w:after="20" w:line="264" w:lineRule="auto"/>
            </w:pPr>
            <w:r/>
            <w:r>
              <w:rPr>
                <w:rFonts w:ascii="Segoe UI" w:hAnsi="Segoe UI" w:eastAsia="Segoe UI" w:cs="Segoe UI"/>
                <w:color w:val="1F1D1A"/>
                <w:sz w:val="18"/>
              </w:rPr>
              <w:t>El suelo</w:t>
            </w:r>
          </w:p>
        </w:tc>
        <w:tc>
          <w:tcPr>
            <w:tcW w:type="dxa" w:w="1312"/>
          </w:tcPr>
          <w:p>
            <w:pPr>
              <w:spacing w:after="20" w:line="264" w:lineRule="auto"/>
            </w:pPr>
            <w:r/>
            <w:r>
              <w:rPr>
                <w:rFonts w:ascii="Segoe UI" w:hAnsi="Segoe UI" w:eastAsia="Segoe UI" w:cs="Segoe UI"/>
                <w:color w:val="1F1D1A"/>
                <w:sz w:val="18"/>
              </w:rPr>
              <w:t>UE, 2024</w:t>
            </w:r>
          </w:p>
        </w:tc>
        <w:tc>
          <w:tcPr>
            <w:tcW w:type="dxa" w:w="1312"/>
          </w:tcPr>
          <w:p>
            <w:pPr>
              <w:spacing w:after="20" w:line="264" w:lineRule="auto"/>
            </w:pPr>
            <w:r/>
            <w:r>
              <w:rPr>
                <w:rFonts w:ascii="Segoe UI" w:hAnsi="Segoe UI" w:eastAsia="Segoe UI" w:cs="Segoe UI"/>
                <w:color w:val="1F1D1A"/>
                <w:sz w:val="18"/>
              </w:rPr>
              <w:t>Estado</w:t>
            </w:r>
          </w:p>
        </w:tc>
        <w:tc>
          <w:tcPr>
            <w:tcW w:type="dxa" w:w="1312"/>
          </w:tcPr>
          <w:p>
            <w:pPr>
              <w:spacing w:after="20" w:line="264" w:lineRule="auto"/>
            </w:pPr>
            <w:r/>
            <w:r>
              <w:rPr>
                <w:rFonts w:ascii="Segoe UI" w:hAnsi="Segoe UI" w:eastAsia="Segoe UI" w:cs="Segoe UI"/>
                <w:color w:val="1F1D1A"/>
                <w:sz w:val="18"/>
              </w:rPr>
              <w:t>Más del 60 %, probablemente no sano (basta un proceso de degradación)</w:t>
            </w:r>
          </w:p>
        </w:tc>
        <w:tc>
          <w:tcPr>
            <w:tcW w:type="dxa" w:w="1312"/>
          </w:tcPr>
          <w:p>
            <w:pPr>
              <w:spacing w:after="20" w:line="264" w:lineRule="auto"/>
            </w:pPr>
            <w:r/>
            <w:r>
              <w:rPr>
                <w:rFonts w:ascii="Segoe UI" w:hAnsi="Segoe UI" w:eastAsia="Segoe UI" w:cs="Segoe UI"/>
                <w:color w:val="1F1D1A"/>
                <w:sz w:val="18"/>
              </w:rPr>
              <w:t>Sin dato leído</w:t>
            </w:r>
          </w:p>
        </w:tc>
        <w:tc>
          <w:tcPr>
            <w:tcW w:type="dxa" w:w="1312"/>
          </w:tcPr>
          <w:p>
            <w:pPr>
              <w:spacing w:after="20" w:line="264" w:lineRule="auto"/>
            </w:pPr>
            <w:r/>
            <w:r>
              <w:rPr>
                <w:rFonts w:ascii="Segoe UI" w:hAnsi="Segoe UI" w:eastAsia="Segoe UI" w:cs="Segoe UI"/>
                <w:color w:val="1F1D1A"/>
                <w:sz w:val="18"/>
              </w:rPr>
              <w:t>La degradación</w:t>
            </w:r>
          </w:p>
        </w:tc>
        <w:tc>
          <w:tcPr>
            <w:tcW w:type="dxa" w:w="1312"/>
          </w:tcPr>
          <w:p>
            <w:pPr>
              <w:spacing w:after="20" w:line="264" w:lineRule="auto"/>
            </w:pPr>
            <w:r/>
            <w:r>
              <w:rPr>
                <w:rFonts w:ascii="Segoe UI" w:hAnsi="Segoe UI" w:eastAsia="Segoe UI" w:cs="Segoe UI"/>
                <w:color w:val="1F1D1A"/>
                <w:sz w:val="18"/>
              </w:rPr>
              <w:t>Centro Común de Investigación de la Comisión Europea, 2024</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España, 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1,10 (</w:t>
            </w:r>
            <w:r>
              <w:rPr>
                <w:rFonts w:ascii="Segoe UI" w:hAnsi="Segoe UI" w:eastAsia="Segoe UI" w:cs="Segoe UI"/>
                <w:color w:val="1F1D1A"/>
                <w:sz w:val="18"/>
              </w:rPr>
              <w:t>8.8</w:t>
            </w:r>
            <w:r>
              <w:rPr>
                <w:rFonts w:ascii="Segoe UI" w:hAnsi="Segoe UI" w:eastAsia="Segoe UI" w:cs="Segoe UI"/>
                <w:color w:val="1F1D1A"/>
                <w:sz w:val="18"/>
              </w:rPr>
              <w:t>)</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INE (</w:t>
            </w:r>
            <w:r>
              <w:rPr>
                <w:rFonts w:ascii="Segoe UI" w:hAnsi="Segoe UI" w:eastAsia="Segoe UI" w:cs="Segoe UI"/>
                <w:color w:val="1F1D1A"/>
                <w:sz w:val="18"/>
              </w:rPr>
              <w:t>8.8</w:t>
            </w:r>
            <w:r>
              <w:rPr>
                <w:rFonts w:ascii="Segoe UI" w:hAnsi="Segoe UI" w:eastAsia="Segoe UI" w:cs="Segoe UI"/>
                <w:color w:val="1F1D1A"/>
                <w:sz w:val="18"/>
              </w:rPr>
              <w: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UE, 2001-2024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1,43 a 1,34, su mínimo</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Eurostat</w:t>
            </w:r>
          </w:p>
        </w:tc>
      </w:tr>
      <w:tr>
        <w:tc>
          <w:tcPr>
            <w:tcW w:type="dxa" w:w="1312"/>
          </w:tcPr>
          <w:p>
            <w:pPr>
              <w:spacing w:after="20" w:line="264" w:lineRule="auto"/>
            </w:pPr>
            <w:r/>
            <w:r>
              <w:rPr>
                <w:rFonts w:ascii="Segoe UI" w:hAnsi="Segoe UI" w:eastAsia="Segoe UI" w:cs="Segoe UI"/>
                <w:color w:val="1F1D1A"/>
                <w:sz w:val="18"/>
              </w:rPr>
              <w:t>Hijos por mujer</w:t>
            </w:r>
          </w:p>
        </w:tc>
        <w:tc>
          <w:tcPr>
            <w:tcW w:type="dxa" w:w="1312"/>
          </w:tcPr>
          <w:p>
            <w:pPr>
              <w:spacing w:after="20" w:line="264" w:lineRule="auto"/>
            </w:pPr>
            <w:r/>
            <w:r>
              <w:rPr>
                <w:rFonts w:ascii="Segoe UI" w:hAnsi="Segoe UI" w:eastAsia="Segoe UI" w:cs="Segoe UI"/>
                <w:color w:val="1F1D1A"/>
                <w:sz w:val="18"/>
              </w:rPr>
              <w:t>Mundo, 1970-2024</w:t>
            </w:r>
          </w:p>
        </w:tc>
        <w:tc>
          <w:tcPr>
            <w:tcW w:type="dxa" w:w="1312"/>
          </w:tcPr>
          <w:p>
            <w:pPr>
              <w:spacing w:after="20" w:line="264" w:lineRule="auto"/>
            </w:pPr>
            <w:r/>
            <w:r>
              <w:rPr>
                <w:rFonts w:ascii="Segoe UI" w:hAnsi="Segoe UI" w:eastAsia="Segoe UI" w:cs="Segoe UI"/>
                <w:color w:val="1F1D1A"/>
                <w:sz w:val="18"/>
              </w:rPr>
              <w:t>Se pierde</w:t>
            </w:r>
          </w:p>
        </w:tc>
        <w:tc>
          <w:tcPr>
            <w:tcW w:type="dxa" w:w="1312"/>
          </w:tcPr>
          <w:p>
            <w:pPr>
              <w:spacing w:after="20" w:line="264" w:lineRule="auto"/>
            </w:pPr>
            <w:r/>
            <w:r>
              <w:rPr>
                <w:rFonts w:ascii="Segoe UI" w:hAnsi="Segoe UI" w:eastAsia="Segoe UI" w:cs="Segoe UI"/>
                <w:color w:val="1F1D1A"/>
                <w:sz w:val="18"/>
              </w:rPr>
              <w:t>De 4,83 a 2,25 (1970, estimación; 2024, primer año de la proyección)</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No aplica</w:t>
            </w:r>
          </w:p>
        </w:tc>
        <w:tc>
          <w:tcPr>
            <w:tcW w:type="dxa" w:w="1312"/>
          </w:tcPr>
          <w:p>
            <w:pPr>
              <w:spacing w:after="20" w:line="264" w:lineRule="auto"/>
            </w:pPr>
            <w:r/>
            <w:r>
              <w:rPr>
                <w:rFonts w:ascii="Segoe UI" w:hAnsi="Segoe UI" w:eastAsia="Segoe UI" w:cs="Segoe UI"/>
                <w:color w:val="1F1D1A"/>
                <w:sz w:val="18"/>
              </w:rPr>
              <w:t>Naciones Unidas, Perspectivas de la población mundial 2024</w:t>
            </w:r>
          </w:p>
        </w:tc>
      </w:tr>
    </w:tbl>
    <w:p>
      <w:pPr>
        <w:spacing w:after="80"/>
      </w:pPr>
    </w:p>
    <w:p>
      <w:r>
        <w:t>Sin leer en su fuente, y por eso fuera de la tabla: la biomasa de los peces del mar, el buen estado del mar de España por descriptores, los plásticos que entran al mar en el mundo, el estado del suelo del mundo y la superficie del eucalipto en España.</w:t>
      </w:r>
    </w:p>
    <w:p>
      <w:r>
        <w:t>[encargo de fuentes «frutos del planeta», lotes A a D, 12-oct-2026 (</w:t>
      </w:r>
      <w:r>
        <w:rPr>
          <w:rFonts w:ascii="Consolas" w:hAnsi="Consolas" w:eastAsia="Consolas" w:cs="Consolas"/>
          <w:color w:val="1F1D1A"/>
          <w:sz w:val="19"/>
        </w:rPr>
        <w:t>07/fuentes/frutos_del_planeta</w:t>
      </w:r>
      <w:r>
        <w:t>), verificados por programa; cada cifra, vuelta a buscar en su archivo (</w:t>
      </w:r>
      <w:r>
        <w:rPr>
          <w:rFonts w:ascii="Consolas" w:hAnsi="Consolas" w:eastAsia="Consolas" w:cs="Consolas"/>
          <w:color w:val="1F1D1A"/>
          <w:sz w:val="19"/>
        </w:rPr>
        <w:t>comprobar_B20.py</w:t>
      </w:r>
      <w:r>
        <w:t>, 66 de 66); borrador B20]</w:t>
      </w:r>
    </w:p>
    <w:p>
      <w:r>
        <w:rPr>
          <w:b/>
        </w:rPr>
        <w:t>Lectura del autor:</w:t>
      </w:r>
      <w:r>
        <w:t xml:space="preserve"> lo que se pierde en el planeta son los daños colaterales de un sistema basado contra natura (</w:t>
      </w:r>
      <w:r>
        <w:t>5.2</w:t>
      </w:r>
      <w:r>
        <w:t>): aquí vemos los daños colaterales de la naturaleza. Por eso la poda empieza por el Estado, que gestiona el bien común. Un sistema así no sostiene la vida: está desalineado de lo que la fomenta, camuflado en sus formas y en su complejidad. Si no avanza al ritmo del pueblo, ¿a quién sirve? (</w:t>
      </w:r>
      <w:r>
        <w:t>1.1</w:t>
      </w:r>
      <w:r>
        <w:t>). Y si, como un capitán, ha perdido el rumbo, primero se le pide una contestación motivada, de buena fe, por si él mismo decide alinearse (</w:t>
      </w:r>
      <w:r>
        <w:t>10.4</w:t>
      </w:r>
      <w:r>
        <w:t xml:space="preserve">; </w:t>
      </w:r>
      <w:r>
        <w:t>10.2</w:t>
      </w:r>
      <w:r>
        <w:t>); si no, se le aparta del timón como la historia muestra que se hace, cuando el pueblo deja de sostenerlo (</w:t>
      </w:r>
      <w:r>
        <w:t>9.2</w:t>
      </w:r>
      <w:r>
        <w:t>), y siempre por las puertas que la ley ya tiene (</w:t>
      </w:r>
      <w:r>
        <w:t>capítulo 10</w:t>
      </w:r>
      <w:r>
        <w:t>). El ente sin cuerpo no tiene aliento de vida (</w:t>
      </w:r>
      <w:r>
        <w:t>2.1</w:t>
      </w:r>
      <w:r>
        <w:t xml:space="preserve">; </w:t>
      </w:r>
      <w:r>
        <w:t>anexo D</w:t>
      </w:r>
      <w:r>
        <w:t>): por eso la contestación se pide a las personas que le prestan el suyo. Se señala el hecho, no a nadie. Lo que se señala es aquello que nació del padre de la mentira en el juego de la doble polaridad, lo que torció el rumbo y secó las ramas (</w:t>
      </w:r>
      <w:r>
        <w:t>4.4</w:t>
      </w:r>
      <w:r>
        <w:t xml:space="preserve">; </w:t>
      </w:r>
      <w:r>
        <w:t>J.3</w:t>
      </w:r>
      <w:r>
        <w:t xml:space="preserve">). Qué parte del árbol mira cada capítulo está en el mapa de J.1. </w:t>
      </w:r>
      <w:r>
        <w:t>[Kiko, chats de 08.18 y 08.19, 12-oct-2026; parlamento del hilo de la poda (08/20), apartados 5.1, 11 y 12; borrador B15; lectura del autor y una conclusión con las palabras de 9.1; sin dato nuevo; los daños colaterales, con las palabras de Kiko en el chat de 08.26, 12-oct-2026 (B20 bis)]</w:t>
      </w:r>
    </w:p>
    <w:p>
      <w:r>
        <w:rPr>
          <w:b/>
        </w:rPr>
        <w:t>Lo que no hace.</w:t>
      </w:r>
      <w:r>
        <w:t xml:space="preserve"> La obra no exime de ninguna obligación vigente: mientras el Estado no cambie, las obligaciones vigentes siguen vigentes</w:t>
      </w:r>
      <w:r>
        <w:t xml:space="preserve"> (Constitución, art. 9.1)</w:t>
      </w:r>
      <w:r>
        <w:t xml:space="preserve">. Tampoco invita a desobedecer. Juzga instituciones y diseños legales, nunca personas ni colectivos. Y no da consejo financiero ni de inversión. </w:t>
      </w:r>
      <w:r>
        <w:t>[00.0-7.4; libro de estilo §4]</w:t>
      </w:r>
    </w:p>
    <w:p>
      <w:r>
        <w:rPr>
          <w:b/>
        </w:rPr>
        <w:t>La Biblioteca y esta edición.</w:t>
      </w:r>
      <w:r>
        <w:t xml:space="preserve"> La obra existe de dos formas:</w:t>
      </w:r>
    </w:p>
    <w:p>
      <w:pPr>
        <w:pStyle w:val="ListBullet"/>
      </w:pPr>
      <w:r>
        <w:rPr>
          <w:b/>
        </w:rPr>
        <w:t>la Biblioteca:</w:t>
      </w:r>
      <w:r>
        <w:t xml:space="preserve"> las 40 piezas, con la auditoría completa y todas sus fuentes. Queda como archivo, sin tocar;</w:t>
      </w:r>
    </w:p>
    <w:p>
      <w:pPr>
        <w:pStyle w:val="ListBullet"/>
      </w:pPr>
      <w:r>
        <w:rPr>
          <w:b/>
        </w:rPr>
        <w:t>esta edición,</w:t>
      </w:r>
      <w:r>
        <w:t xml:space="preserve"> escrita para leerse de seguido. No añade datos. En el nivel completo, cada párrafo dice de qué pieza sale, con su número. Por ejemplo, 08.00 es la pieza «Reflexión filosófica propia sobre el cuerpo, la conciencia y el respeto». Así cualquiera puede ir al original y comprobarlo.</w:t>
      </w:r>
    </w:p>
    <w:p>
      <w:r>
        <w:t>[glosario 1.2 y 1.3; plan de la edición]</w:t>
      </w:r>
    </w:p>
    <w:p>
      <w:r>
        <w:rPr>
          <w:b/>
        </w:rPr>
        <w:t>Cómo se hizo.</w:t>
      </w:r>
      <w:r>
        <w:t xml:space="preserve"> La obra se ordenó con ayuda de herramientas de inteligencia artificial: Claude Code, Sofía, el asistente de inteligencia artificial de Google y NotebookLM. Las reglas con que se hizo, para que cualquiera pueda repetirla en otro país, están en el </w:t>
      </w:r>
      <w:r>
        <w:t>anexo G</w:t>
      </w:r>
      <w:r>
        <w:t xml:space="preserve">. </w:t>
      </w:r>
      <w:r>
        <w:t>[glosario 1.4]</w:t>
      </w:r>
    </w:p>
    <w:p>
      <w:pPr>
        <w:pStyle w:val="Heading2"/>
      </w:pPr>
      <w:r>
        <w:t>0.3 Cómo se lee cada capítulo</w:t>
      </w:r>
    </w:p>
    <w:p>
      <w:pPr>
        <w:pBdr>
          <w:left w:val="single" w:sz="24" w:space="6" w:color="E2DED6"/>
        </w:pBdr>
        <w:shd w:val="clear" w:color="auto" w:fill="F1EEE8"/>
        <w:spacing w:before="80" w:after="160"/>
        <w:ind w:left="142" w:right="142"/>
      </w:pPr>
      <w:r>
        <w:rPr>
          <w:b/>
        </w:rPr>
        <w:t>La idea: cada capítulo separa siempre el dato de la interpretación, y el lector elige a qué nivel lee.</w:t>
      </w:r>
    </w:p>
    <w:p>
      <w:r>
        <w:rPr>
          <w:b/>
        </w:rPr>
        <w:t>Tres puertas, seis escalones.</w:t>
      </w:r>
      <w:r>
        <w:t xml:space="preserve"> El lector elige arriba por qué puerta entra y, dentro de cada puerta, cuánto quiere ver; puede cambiar cuando quiera, y el lector recuerda su elección:</w:t>
      </w:r>
    </w:p>
    <w:p>
      <w:pPr>
        <w:pStyle w:val="ListBullet"/>
      </w:pPr>
      <w:r>
        <w:rPr>
          <w:b/>
        </w:rPr>
        <w:t>Lo que concluye.</w:t>
      </w:r>
      <w:r>
        <w:t xml:space="preserve"> Primero, las conclusiones: «La idea» de cada apartado, «En pocas palabras» y «Para recordar», el esqueleto de la obra en cinco minutos. Después, la lectura entera, en español; una marca pequeña (◦) junto a cada cita avisa de que tiene fuente, y al pasar el ratón la dice.</w:t>
      </w:r>
    </w:p>
    <w:p>
      <w:pPr>
        <w:pStyle w:val="ListBullet"/>
      </w:pPr>
      <w:r>
        <w:rPr>
          <w:b/>
        </w:rPr>
        <w:t>Lo que lo sostiene.</w:t>
      </w:r>
      <w:r>
        <w:t xml:space="preserve"> Primero, de dónde sale cada cita: el libro, el artículo o el versículo. Después, el texto completo: el original de cada cita en su lengua (latín, griego, hebreo, árabe, chino…), dónde se leyó, las tablas y los textos completos, y el código que lleva a la pieza de la Biblioteca de donde sale cada párrafo.</w:t>
      </w:r>
    </w:p>
    <w:p>
      <w:pPr>
        <w:pStyle w:val="ListBullet"/>
      </w:pPr>
      <w:r>
        <w:rPr>
          <w:b/>
        </w:rPr>
        <w:t>Lo que lo confirma.</w:t>
      </w:r>
      <w:r>
        <w:t xml:space="preserve"> Primero, la prueba: junto a cada cita, el pasaje tal como está en su fuente, el archivo donde se leyó y el lugar exacto, sacados del archivo de pasajes por programa, nunca a mano; lo que se ha leído en su fuente lleva su marca, y lo que todavía no, también se dice. Después, lo extenso: lo que no cabe en el texto, como los demás pasajes de una tradición o las fichas enteras.</w:t>
      </w:r>
    </w:p>
    <w:p>
      <w:r>
        <w:rPr>
          <w:b/>
        </w:rPr>
        <w:t>Lectura del autor: para quien necesita ver y tocar.</w:t>
      </w:r>
      <w:r>
        <w:t xml:space="preserve"> Tomás no creyó por lo que le contaron: «Si no viere en sus manos la señal de los clavos, y metiere mi dedo en el lugar de los clavos, y metiere mi mano en su costado, no creeré»</w:t>
      </w:r>
      <w:r>
        <w:t xml:space="preserve"> (Jn 20:25)</w:t>
      </w:r>
      <w:r>
        <w:t>. Y no se le reprendió: «Mete tu dedo aquí, y ve mis manos: y alarga acá tu mano, y métela en mi costado»</w:t>
      </w:r>
      <w:r>
        <w:t xml:space="preserve"> (Jn 20:27)</w:t>
      </w:r>
      <w:r>
        <w:t>; «bienaventurados los que no vieron y creyeron»</w:t>
      </w:r>
      <w:r>
        <w:t xml:space="preserve"> (Jn 20:29)</w:t>
      </w:r>
      <w:r>
        <w:t>. La tercera puerta es para Tomás, y es un punto lícito. Quien necesita más pruebas no es menos: las necesita según su endurecimiento, que es el daño colateral de vivir en un sistema contra natura (</w:t>
      </w:r>
      <w:r>
        <w:t>10.9</w:t>
      </w:r>
      <w:r>
        <w:t>). Por eso la obra no reúne todo lo que existe, sino lo que ha leído y ha tenido por más relevante; si a alguien le falta algo que cambie una conclusión, que aporte dónde está, y se examinará con la misma vara.</w:t>
      </w:r>
    </w:p>
    <w:p>
      <w:r>
        <w:t xml:space="preserve">[Kiko, 9-oct-2026: las tres puertas y la versión D («Sí a las dos, concuerdo»; </w:t>
      </w:r>
      <w:r>
        <w:rPr>
          <w:rFonts w:ascii="Consolas" w:hAnsi="Consolas" w:eastAsia="Consolas" w:cs="Consolas"/>
          <w:color w:val="1F1D1A"/>
          <w:sz w:val="19"/>
        </w:rPr>
        <w:t>07/05</w:t>
      </w:r>
      <w:r>
        <w:t xml:space="preserve">) y, en el chat de 08, «el ejemplo de santo Tomás: si no lo veo y no lo palpo, no me lo creo; quien necesita más pruebas según su endurecimiento, como daño colateral de coexistir en un sistema totalmente contra natura»; Jn 20:25, 27 y 29 en la Reina-Valera 1909 de </w:t>
      </w:r>
      <w:r>
        <w:rPr>
          <w:rFonts w:ascii="Consolas" w:hAnsi="Consolas" w:eastAsia="Consolas" w:cs="Consolas"/>
          <w:color w:val="1F1D1A"/>
          <w:sz w:val="19"/>
        </w:rPr>
        <w:t>06</w:t>
      </w:r>
      <w:r>
        <w:t xml:space="preserve"> (</w:t>
      </w:r>
      <w:r>
        <w:rPr>
          <w:rFonts w:ascii="Consolas" w:hAnsi="Consolas" w:eastAsia="Consolas" w:cs="Consolas"/>
          <w:color w:val="1F1D1A"/>
          <w:sz w:val="19"/>
        </w:rPr>
        <w:t>spaRV1909_vpl.txt</w:t>
      </w:r>
      <w:r>
        <w:t>, leídos hoy); «contra natura» se dice de normas e instituciones, nunca de personas (5.2)]</w:t>
      </w:r>
    </w:p>
    <w:p>
      <w:r>
        <w:rPr>
          <w:b/>
        </w:rPr>
        <w:t>Las traducciones.</w:t>
      </w:r>
      <w:r>
        <w:t xml:space="preserve"> Cuando una cita tiene traductor publicado, se nombra: la Reina-Valera para la Biblia, Julio Cortés para el Corán, y así cada una. Cuando no se nombra traductor, la traducción al español es de esta edición, y el texto del que se ha hecho va al lado, en el nivel completo, para que cualquiera pueda comprobarla: el original o, cuando así se dice, una traducción reconocida. </w:t>
      </w:r>
      <w:r>
        <w:t>[Kiko, 5-oct-2026; libreta 72, punto 120]</w:t>
      </w:r>
    </w:p>
    <w:p>
      <w:r>
        <w:t xml:space="preserve">En todos los escalones se ven siempre los rótulos que separan el dato de la interpretación. Cada capítulo empieza con «En pocas palabras» y termina con «Para recordar», y cada apartado se abre con su idea en una frase. </w:t>
      </w:r>
      <w:r>
        <w:t>[decisión de Kiko del 5-oct; libreta 72, punto 112]</w:t>
      </w:r>
    </w:p>
    <w:p>
      <w:r>
        <w:rPr>
          <w:b/>
        </w:rPr>
        <w:t>Los rótulos.</w:t>
      </w:r>
      <w:r>
        <w:t xml:space="preserve"> Cada capítulo separa siempre lo que es dato de lo que es interpretación. Lo hace con rótulos fijos:</w:t>
      </w:r>
    </w:p>
    <w:p>
      <w:pPr>
        <w:spacing w:after="60"/>
        <w:ind w:left="510" w:hanging="397"/>
      </w:pPr>
      <w:r>
        <w:rPr>
          <w:b w:val="0"/>
        </w:rPr>
        <w:t xml:space="preserve">1. </w:t>
      </w:r>
      <w:r>
        <w:rPr>
          <w:b/>
        </w:rPr>
        <w:t>Los hechos,</w:t>
      </w:r>
      <w:r>
        <w:t xml:space="preserve"> cada uno con su fuente y su fecha: </w:t>
      </w:r>
    </w:p>
    <w:p>
      <w:pPr>
        <w:pStyle w:val="ListBullet2"/>
      </w:pPr>
      <w:r>
        <w:t>lo que se ha leído en su fuente original no lleva marca;</w:t>
      </w:r>
    </w:p>
    <w:p>
      <w:pPr>
        <w:pStyle w:val="ListBullet2"/>
      </w:pPr>
      <w:r>
        <w:t>lo que sale de fuentes secundarias fiables lleva la marca «fuente secundaria»;</w:t>
      </w:r>
    </w:p>
    <w:p>
      <w:pPr>
        <w:pStyle w:val="ListBullet2"/>
      </w:pPr>
      <w:r>
        <w:t>lo que no se ha podido comprobar no entra como hecho: si hay que mencionarlo, porque circula, se dice como afirmación y lleva la etiqueta «presunción» (</w:t>
      </w:r>
      <w:r>
        <w:t>0.4</w:t>
      </w:r>
      <w:r>
        <w:t>).</w:t>
      </w:r>
    </w:p>
    <w:p>
      <w:pPr>
        <w:spacing w:after="60"/>
        <w:ind w:left="510" w:hanging="397"/>
      </w:pPr>
      <w:r>
        <w:rPr>
          <w:b w:val="0"/>
        </w:rPr>
        <w:t xml:space="preserve">2. </w:t>
      </w:r>
      <w:r>
        <w:rPr>
          <w:b/>
        </w:rPr>
        <w:t>«Conclusión, lo que arrojan los datos»:</w:t>
      </w:r>
      <w:r>
        <w:t xml:space="preserve"> solo lo que se sigue de esos hechos. </w:t>
      </w:r>
    </w:p>
    <w:p>
      <w:pPr>
        <w:pStyle w:val="ListBullet2"/>
      </w:pPr>
      <w:r>
        <w:t>Cuando varios hechos, puestos en orden de fechas, marcan un camino, se dice qué dirección llevan. Por sus frutos se analiza; no se juzga la intención de nadie, porque un patrón no prueba una intención.</w:t>
      </w:r>
    </w:p>
    <w:p>
      <w:pPr>
        <w:pStyle w:val="ListBullet2"/>
      </w:pPr>
      <w:r>
        <w:t>Se dicen también los hechos que no encajan con esa dirección.</w:t>
      </w:r>
    </w:p>
    <w:p>
      <w:pPr>
        <w:spacing w:after="60"/>
        <w:ind w:left="510" w:hanging="397"/>
      </w:pPr>
      <w:r>
        <w:rPr>
          <w:b w:val="0"/>
        </w:rPr>
        <w:t xml:space="preserve">3. </w:t>
      </w:r>
      <w:r>
        <w:rPr>
          <w:b/>
        </w:rPr>
        <w:t>«Lectura del autor»:</w:t>
      </w:r>
      <w:r>
        <w:t xml:space="preserve"> la interpretación del autor, siempre marcada como suya. Las intenciones, las analogías y lo que el autor ve detrás de los hechos van aquí, nunca como dato.</w:t>
      </w:r>
    </w:p>
    <w:p>
      <w:pPr>
        <w:spacing w:after="60"/>
        <w:ind w:left="510" w:hanging="397"/>
      </w:pPr>
      <w:r>
        <w:rPr>
          <w:b w:val="0"/>
        </w:rPr>
        <w:t xml:space="preserve">4. </w:t>
      </w:r>
      <w:r>
        <w:rPr>
          <w:b/>
        </w:rPr>
        <w:t>«Límite honesto de la prueba»:</w:t>
      </w:r>
      <w:r>
        <w:t xml:space="preserve"> lo que los datos no permiten afirmar, y lo que la obra concede. Va en el mismo capítulo, junto a lo que se afirma, para que nada se diga con más fuerza de la que tiene su prueba.</w:t>
      </w:r>
    </w:p>
    <w:p>
      <w:pPr>
        <w:spacing w:after="60"/>
        <w:ind w:left="510" w:hanging="397"/>
      </w:pPr>
      <w:r>
        <w:rPr>
          <w:b w:val="0"/>
        </w:rPr>
        <w:t xml:space="preserve">5. </w:t>
      </w:r>
      <w:r>
        <w:rPr>
          <w:b/>
        </w:rPr>
        <w:t>«La mejor defensa del Estado y los contrapuntos de la obra»:</w:t>
      </w:r>
      <w:r>
        <w:t xml:space="preserve"> </w:t>
      </w:r>
    </w:p>
    <w:p>
      <w:pPr>
        <w:pStyle w:val="ListBullet2"/>
      </w:pPr>
      <w:r>
        <w:rPr>
          <w:b/>
        </w:rPr>
        <w:t>la defensa:</w:t>
      </w:r>
      <w:r>
        <w:t xml:space="preserve"> la mejor que podría dar el Estado, escrita en su propia jerga, con sus leyes, su doctrina y sus sentencias;</w:t>
      </w:r>
    </w:p>
    <w:p>
      <w:pPr>
        <w:pStyle w:val="ListBullet2"/>
      </w:pPr>
      <w:r>
        <w:rPr>
          <w:b/>
        </w:rPr>
        <w:t>los contrapuntos:</w:t>
      </w:r>
      <w:r>
        <w:t xml:space="preserve"> la respuesta de la obra. Concede lo que es cierto, responde primero con la propia ley del Estado y después con las leyes que están por encima de ella, y dice también dónde la defensa aguanta.</w:t>
      </w:r>
    </w:p>
    <w:p>
      <w:pPr>
        <w:pStyle w:val="ListBullet2"/>
      </w:pPr>
      <w:r>
        <w:t>«Una tortilla necesita sus dos caras»: el lector juzga mejor cuando oye a las dos partes.</w:t>
      </w:r>
    </w:p>
    <w:p>
      <w:pPr>
        <w:pStyle w:val="ListBullet2"/>
      </w:pPr>
      <w:r>
        <w:t>Para que el libro se lea de seguido, y para que cada objeción se responda una sola vez, las defensas no van al final de cada capítulo. Se reúnen en el juicio (</w:t>
      </w:r>
      <w:r>
        <w:t>capítulo 11</w:t>
      </w:r>
      <w:r>
        <w:t>), cargo por cargo. Cada cargo termina dándole al Estado la última palabra, como hace su propia ley con todo acusado.</w:t>
      </w:r>
    </w:p>
    <w:p>
      <w:pPr>
        <w:pStyle w:val="ListBullet2"/>
      </w:pPr>
      <w:r>
        <w:t>En cada capítulo queda una línea que dice dónde se oye su defensa.</w:t>
      </w:r>
    </w:p>
    <w:p>
      <w:r>
        <w:t>[00.0-0.0.3; 00.0-10.7; 01.00-17.1; glosario 5.5 y 8.13; libro de estilo §2 y §3]</w:t>
      </w:r>
    </w:p>
    <w:p>
      <w:r>
        <w:rPr>
          <w:b/>
        </w:rPr>
        <w:t>Las dos fórmulas de la lectura del autor.</w:t>
      </w:r>
    </w:p>
    <w:p>
      <w:pPr>
        <w:pStyle w:val="ListBullet"/>
      </w:pPr>
      <w:r>
        <w:rPr>
          <w:b/>
        </w:rPr>
        <w:t>Cuando un hecho muestra un engaño,</w:t>
      </w:r>
      <w:r>
        <w:t xml:space="preserve"> la lectura del autor lo dice siempre con la misma frase: «esto apunta hacia el padre de la mentira (Jn 8:44)». </w:t>
      </w:r>
    </w:p>
    <w:p>
      <w:pPr>
        <w:pStyle w:val="ListBullet2"/>
      </w:pPr>
      <w:r>
        <w:t>La expresión es del Evangelio de Juan, que dice del diablo: «es mentiroso, y padre de mentira»</w:t>
      </w:r>
      <w:r>
        <w:t xml:space="preserve"> (Jn 8:44)</w:t>
      </w:r>
      <w:r>
        <w:t>.</w:t>
      </w:r>
    </w:p>
    <w:p>
      <w:pPr>
        <w:pStyle w:val="ListBullet2"/>
      </w:pPr>
      <w:r>
        <w:t>«Apunta hacia» dice la dirección que se ve en los frutos, no un origen que nadie puede probar.</w:t>
      </w:r>
    </w:p>
    <w:p>
      <w:pPr>
        <w:pStyle w:val="ListBullet2"/>
      </w:pPr>
      <w:r>
        <w:t xml:space="preserve">Se explica en </w:t>
      </w:r>
      <w:r>
        <w:t>4.4</w:t>
      </w:r>
      <w:r>
        <w:t>.</w:t>
      </w:r>
    </w:p>
    <w:p>
      <w:pPr>
        <w:pStyle w:val="ListBullet"/>
      </w:pPr>
      <w:r>
        <w:rPr>
          <w:b/>
        </w:rPr>
        <w:t>Cuando un hecho clama al cielo,</w:t>
      </w:r>
      <w:r>
        <w:t xml:space="preserve"> la lectura del autor lo dice con otra fórmula. El criterio no es de la obra: es la lista que la tradición llama «pecados que claman al cielo»</w:t>
      </w:r>
      <w:r>
        <w:t xml:space="preserve"> (Catecismo de la Iglesia católica, n.º 1867)</w:t>
      </w:r>
      <w:r>
        <w:t xml:space="preserve">. La obra toma de ella los tres que tocan al Estado: </w:t>
      </w:r>
    </w:p>
    <w:p>
      <w:pPr>
        <w:pStyle w:val="ListBullet2"/>
      </w:pPr>
      <w:r>
        <w:t>«el clamor del pueblo oprimido»;</w:t>
      </w:r>
    </w:p>
    <w:p>
      <w:pPr>
        <w:pStyle w:val="ListBullet2"/>
      </w:pPr>
      <w:r>
        <w:t>«el lamento del extranjero, de la viuda y el huérfano»;</w:t>
      </w:r>
    </w:p>
    <w:p>
      <w:pPr>
        <w:pStyle w:val="ListBullet2"/>
      </w:pPr>
      <w:r>
        <w:t>«la injusticia para con el asalariado». En esos casos, y solo con el hecho comprobado en su fuente original, la lectura del autor dice «esto clama al cielo». Recuerda también que quizá no fue del todo culpa de quienes lo decidieron, y que es un aviso para rectificar. El texto completo se da la primera vez que se usa.</w:t>
      </w:r>
    </w:p>
    <w:p>
      <w:pPr>
        <w:pStyle w:val="ListBullet"/>
      </w:pPr>
      <w:r>
        <w:rPr>
          <w:b/>
        </w:rPr>
        <w:t>Ninguna de las dos fórmulas se aplica nunca a una persona ni a un colectivo con nombre.</w:t>
      </w:r>
    </w:p>
    <w:p>
      <w:r>
        <w:t>[glosario 9.1 y 9.3; libro de estilo §3 y §4; Jn 8:44, Reina-Valera Antigua]</w:t>
      </w:r>
    </w:p>
    <w:p>
      <w:pPr>
        <w:pStyle w:val="Heading2"/>
      </w:pPr>
      <w:r>
        <w:t>0.4 Verdad, presunción, falso y mentira</w:t>
      </w:r>
    </w:p>
    <w:p>
      <w:pPr>
        <w:pBdr>
          <w:left w:val="single" w:sz="24" w:space="6" w:color="E2DED6"/>
        </w:pBdr>
        <w:shd w:val="clear" w:color="auto" w:fill="F1EEE8"/>
        <w:spacing w:before="80" w:after="160"/>
        <w:ind w:left="142" w:right="142"/>
      </w:pPr>
      <w:r>
        <w:rPr>
          <w:b/>
        </w:rPr>
        <w:t>La idea: verdad, presunción, falso y mentira son cuatro cosas distintas, y esta obra no las mezcla.</w:t>
      </w:r>
    </w:p>
    <w:p>
      <w:r>
        <w:t>Esta obra usa cuatro palabras con un sentido fijo, para no llamar mentira a lo que todavía no se ha probado falso:</w:t>
      </w:r>
    </w:p>
    <w:p>
      <w:pPr>
        <w:spacing w:after="60"/>
        <w:ind w:left="510" w:hanging="397"/>
      </w:pPr>
      <w:r>
        <w:rPr>
          <w:b w:val="0"/>
        </w:rPr>
        <w:t xml:space="preserve">1. </w:t>
      </w:r>
      <w:r>
        <w:rPr>
          <w:b/>
        </w:rPr>
        <w:t>La verdad:</w:t>
      </w:r>
      <w:r>
        <w:t xml:space="preserve"> lo que se comprueba con su fuente.</w:t>
      </w:r>
    </w:p>
    <w:p>
      <w:pPr>
        <w:spacing w:after="60"/>
        <w:ind w:left="510" w:hanging="397"/>
      </w:pPr>
      <w:r>
        <w:rPr>
          <w:b w:val="0"/>
        </w:rPr>
        <w:t xml:space="preserve">2. </w:t>
      </w:r>
      <w:r>
        <w:rPr>
          <w:b/>
        </w:rPr>
        <w:t>La presunción:</w:t>
      </w:r>
      <w:r>
        <w:t xml:space="preserve"> lo que se da por cierto sin haberlo probado. Todavía no se sabe si es verdad o falso. Cuando esta obra menciona algo sin documento que lo avale, lo marca con la etiqueta «presunción» (</w:t>
      </w:r>
      <w:r>
        <w:t>anexo E</w:t>
      </w:r>
      <w:r>
        <w:t>).</w:t>
      </w:r>
    </w:p>
    <w:p>
      <w:pPr>
        <w:spacing w:after="60"/>
        <w:ind w:left="510" w:hanging="397"/>
      </w:pPr>
      <w:r>
        <w:rPr>
          <w:b w:val="0"/>
        </w:rPr>
        <w:t xml:space="preserve">3. </w:t>
      </w:r>
      <w:r>
        <w:rPr>
          <w:b/>
        </w:rPr>
        <w:t>Lo falso:</w:t>
      </w:r>
      <w:r>
        <w:t xml:space="preserve"> lo que la norma o el dato demuestran que no es así. Se dice como «Conclusión, lo que arrojan los datos».</w:t>
      </w:r>
    </w:p>
    <w:p>
      <w:pPr>
        <w:spacing w:after="60"/>
        <w:ind w:left="510" w:hanging="397"/>
      </w:pPr>
      <w:r>
        <w:rPr>
          <w:b w:val="0"/>
        </w:rPr>
        <w:t xml:space="preserve">4. </w:t>
      </w:r>
      <w:r>
        <w:rPr>
          <w:b/>
        </w:rPr>
        <w:t>La mentira:</w:t>
      </w:r>
      <w:r>
        <w:t xml:space="preserve"> lo falso dicho sabiendo que es falso. </w:t>
      </w:r>
    </w:p>
    <w:p>
      <w:pPr>
        <w:pStyle w:val="ListBullet2"/>
      </w:pPr>
      <w:r>
        <w:t>Tomás de Aquino lo explica así: «es contra la naturaleza, e indebido, que alguien diga con su palabra lo que no tiene en la mente»</w:t>
      </w:r>
      <w:r>
        <w:t xml:space="preserve"> [original: «innaturale est et indebitum quod aliquis voce significet id quod non habet in mente»]</w:t>
      </w:r>
      <w:r>
        <w:t xml:space="preserve"> (Suma teológica II-II, q. 110, a. 3)</w:t>
      </w:r>
      <w:r>
        <w:t>.</w:t>
      </w:r>
    </w:p>
    <w:p>
      <w:pPr>
        <w:pStyle w:val="ListBullet2"/>
      </w:pPr>
      <w:r>
        <w:t>Como supone saber lo que hay en la mente de quien lo dice, solo se afirma cuando hay constancia de que se sabía. Si no, va como «Lectura del autor».</w:t>
      </w:r>
    </w:p>
    <w:p>
      <w:r>
        <w:rPr>
          <w:b/>
        </w:rPr>
        <w:t>La presunción, en la ley.</w:t>
      </w:r>
      <w:r>
        <w:t xml:space="preserve"> La ley usa la palabra con más cuidado. Una presunción legal dispensa de probar un hecho, pero solo si el hecho del que parte está probado o admitido: «Tales presunciones sólo serán admisibles cuando la certeza del hecho indicio del que parte la presunción haya quedado establecida mediante admisión o prueba»</w:t>
      </w:r>
      <w:r>
        <w:t xml:space="preserve"> (Ley de Enjuiciamiento Civil, art. 385.1)</w:t>
      </w:r>
      <w:r>
        <w:t>. Y el tribunal que presume un hecho necesita otro «admitido o probado», un «enlace preciso y directo» entre los dos, y debe razonarlo en la sentencia</w:t>
      </w:r>
      <w:r>
        <w:t xml:space="preserve"> (Ley de Enjuiciamiento Civil, art. 386.1)</w:t>
      </w:r>
      <w:r>
        <w:t xml:space="preserve">. Esa ley habla de los pleitos civiles; esta obra usa la palabra en su sentido de siempre y toma la regla de la ley como vara, no su aplicación: no dice que toda afirmación del Estado sea una presunción legal. Llama </w:t>
      </w:r>
      <w:r>
        <w:rPr>
          <w:b/>
        </w:rPr>
        <w:t>presunción</w:t>
      </w:r>
      <w:r>
        <w:t xml:space="preserve"> a lo que se da por cierto sin que conste el hecho del que parte, y pregunta por él.</w:t>
      </w:r>
    </w:p>
    <w:p>
      <w:r>
        <w:t>[glosario 3.4 y 3.5; Ley de Enjuiciamiento Civil, arts. 385.1 y 386.1, leídos en el BOE; borrador B1, 9-oct; 04p fila 36]</w:t>
      </w:r>
    </w:p>
    <w:p>
      <w:pPr>
        <w:pStyle w:val="Heading2"/>
      </w:pPr>
      <w:r>
        <w:t>0.5 La vara: la verdad de los hechos y sus frutos</w:t>
      </w:r>
    </w:p>
    <w:p>
      <w:pPr>
        <w:pBdr>
          <w:left w:val="single" w:sz="24" w:space="6" w:color="E2DED6"/>
        </w:pBdr>
        <w:shd w:val="clear" w:color="auto" w:fill="F1EEE8"/>
        <w:spacing w:before="80" w:after="160"/>
        <w:ind w:left="142" w:right="142"/>
      </w:pPr>
      <w:r>
        <w:rPr>
          <w:b/>
        </w:rPr>
        <w:t>La idea: esta obra mide en dos pasos, la verdad de los hechos y sus frutos, y solo tiene por sólido lo que coincide en tradiciones independientes. La pesa: ¿roca o arena? Y, por sus frutos, ¿sirve más allá de sí, se sirve, o no cuida ni cumple? Vale para quien pesa (lectura del autor).</w:t>
      </w:r>
    </w:p>
    <w:p>
      <w:r>
        <w:rPr>
          <w:b/>
        </w:rPr>
        <w:t>Por sus frutos los conoceréis.</w:t>
      </w:r>
      <w:r>
        <w:t xml:space="preserve"> La fórmula de esta obra es una cita literal: «Por sus frutos los conoceréis»</w:t>
      </w:r>
      <w:r>
        <w:t xml:space="preserve"> (Mt 7:16)</w:t>
      </w:r>
      <w:r>
        <w:t>.</w:t>
      </w:r>
    </w:p>
    <w:p>
      <w:pPr>
        <w:pStyle w:val="ListBullet"/>
      </w:pPr>
      <w:r>
        <w:t>En el griego del Evangelio dice «por sus frutos los reconoceréis»</w:t>
      </w:r>
      <w:r>
        <w:t xml:space="preserve"> [original: «ἀπὸ τῶν καρπῶν αὐτῶν ἐπιγνώσεσθε αὐτούς»]</w:t>
      </w:r>
      <w:r>
        <w:t xml:space="preserve">. El verbo es </w:t>
      </w:r>
      <w:r>
        <w:rPr>
          <w:i/>
        </w:rPr>
        <w:t>epiginóskō</w:t>
      </w:r>
      <w:r>
        <w:t>, «reconocer».</w:t>
      </w:r>
    </w:p>
    <w:p>
      <w:pPr>
        <w:pStyle w:val="ListBullet"/>
      </w:pPr>
      <w:r>
        <w:t>No es el mismo verbo de «No juzguéis, para que no seáis juzgados»</w:t>
      </w:r>
      <w:r>
        <w:t xml:space="preserve"> (Mt 7:1)</w:t>
      </w:r>
      <w:r>
        <w:t xml:space="preserve">, que es </w:t>
      </w:r>
      <w:r>
        <w:rPr>
          <w:i/>
        </w:rPr>
        <w:t>krínō</w:t>
      </w:r>
      <w:r>
        <w:t>, «juzgar». En Lucas, ese «no juzguéis» va con «no condenéis»</w:t>
      </w:r>
      <w:r>
        <w:t xml:space="preserve"> (Lc 6:37)</w:t>
      </w:r>
      <w:r>
        <w:t>.</w:t>
      </w:r>
    </w:p>
    <w:p>
      <w:r>
        <w:t>Son dos cosas distintas:</w:t>
      </w:r>
    </w:p>
    <w:p>
      <w:pPr>
        <w:pStyle w:val="ListBullet"/>
      </w:pPr>
      <w:r>
        <w:t>condenar a alguien por lo que cree o por lo que es, que esta obra no hace;</w:t>
      </w:r>
    </w:p>
    <w:p>
      <w:pPr>
        <w:pStyle w:val="ListBullet"/>
      </w:pPr>
      <w:r>
        <w:t>y reconocer por los actos, comprobables y con fuente, que sí hace.</w:t>
      </w:r>
    </w:p>
    <w:p>
      <w:r>
        <w:t>El mismo Evangelio pide discernir, pero con justicia: «No juzguéis según lo que parece, mas juzgad justo juicio»</w:t>
      </w:r>
      <w:r>
        <w:t xml:space="preserve"> (Jn 7:24)</w:t>
      </w:r>
      <w:r>
        <w:t>. Por eso esta obra es un análisis, no un juicio.</w:t>
      </w:r>
    </w:p>
    <w:p>
      <w:r>
        <w:t>[00.00-2.1; 00.0-10.5; glosario 5.3; Mt 7:1, Mt 7:16, Lc 6:37 y Jn 7:24, Reina-Valera Antigua]</w:t>
      </w:r>
    </w:p>
    <w:p>
      <w:r>
        <w:rPr>
          <w:b/>
        </w:rPr>
        <w:t>Lo dicen todas las tradiciones.</w:t>
      </w:r>
      <w:r>
        <w:t xml:space="preserve"> Que a una persona o a una institución se la conoce por sus hechos, y no por sus palabras, lo dicen tradiciones sin contacto documentado entre sí. Algunos ejemplos:</w:t>
      </w:r>
    </w:p>
    <w:p>
      <w:pPr>
        <w:pStyle w:val="ListBullet"/>
      </w:pPr>
      <w:r>
        <w:rPr>
          <w:b/>
        </w:rPr>
        <w:t>Corán:</w:t>
      </w:r>
      <w:r>
        <w:t xml:space="preserve"> «¡Creyentes! ¿Por qué decís lo que no hacéis?»</w:t>
      </w:r>
      <w:r>
        <w:t xml:space="preserve"> (Corán 61:2, traducción de Julio Cortés)</w:t>
      </w:r>
      <w:r>
        <w:t>.</w:t>
      </w:r>
    </w:p>
    <w:p>
      <w:pPr>
        <w:pStyle w:val="ListBullet"/>
      </w:pPr>
      <w:r>
        <w:rPr>
          <w:b/>
        </w:rPr>
        <w:t>Judaísmo:</w:t>
      </w:r>
      <w:r>
        <w:t xml:space="preserve"> «no es el estudio lo principal, sino la acción»</w:t>
      </w:r>
      <w:r>
        <w:t xml:space="preserve"> [original: «וְלֹא הַמִּדְרָשׁ הוּא הָעִקָּר, אֶלָּא הַמַּעֲשֶׂה»]</w:t>
      </w:r>
      <w:r>
        <w:t xml:space="preserve"> (Pirkei Avot 1:17)</w:t>
      </w:r>
      <w:r>
        <w:t>.</w:t>
      </w:r>
    </w:p>
    <w:p>
      <w:pPr>
        <w:pStyle w:val="ListBullet"/>
      </w:pPr>
      <w:r>
        <w:rPr>
          <w:b/>
        </w:rPr>
        <w:t>Primera carta de Juan:</w:t>
      </w:r>
      <w:r>
        <w:t xml:space="preserve"> «no amemos de palabra ni de lengua, sino de obra y en verdad»</w:t>
      </w:r>
      <w:r>
        <w:t xml:space="preserve"> (1 Jn 3:18)</w:t>
      </w:r>
      <w:r>
        <w:t>.</w:t>
      </w:r>
    </w:p>
    <w:p>
      <w:pPr>
        <w:pStyle w:val="ListBullet"/>
      </w:pPr>
      <w:r>
        <w:rPr>
          <w:b/>
        </w:rPr>
        <w:t>Aristóteles:</w:t>
      </w:r>
      <w:r>
        <w:t xml:space="preserve"> «la verdad, en materia de conducta, se juzga por los hechos y por la vida real»</w:t>
      </w:r>
      <w:r>
        <w:t xml:space="preserve"> [original: «truth, in matters of moral action, is judged from facts and from actual life», en la traducción inglesa de Chase]</w:t>
      </w:r>
      <w:r>
        <w:t xml:space="preserve"> (Ética a Nicómaco X, 8)</w:t>
      </w:r>
      <w:r>
        <w:t>.</w:t>
      </w:r>
    </w:p>
    <w:p>
      <w:r>
        <w:t>Y con la misma coincidencia, el criterio de no hacer daño al otro: «amarás á tu prójimo como á ti mismo»</w:t>
      </w:r>
      <w:r>
        <w:t xml:space="preserve"> (Lv 19:18)</w:t>
      </w:r>
      <w:r>
        <w:t>; «La caridad no hace mal al prójimo: así que, el cumplimento de la ley es la caridad»</w:t>
      </w:r>
      <w:r>
        <w:t xml:space="preserve"> (Rm 13:10)</w:t>
      </w:r>
      <w:r>
        <w:t>.</w:t>
      </w:r>
    </w:p>
    <w:p>
      <w:r>
        <w:t>[00.00-2.2 a 2.14; glosario 5.3; las citas, comprobadas en su fuente]</w:t>
      </w:r>
    </w:p>
    <w:p>
      <w:r>
        <w:rPr>
          <w:b/>
        </w:rPr>
        <w:t>La regla de oro.</w:t>
      </w:r>
      <w:r>
        <w:t xml:space="preserve"> El criterio de no hacer al otro lo que uno no quiere para sí está escrito, con palabras distintas, en tradiciones de regiones y épocas muy separadas. Algunos ejemplos:</w:t>
      </w:r>
    </w:p>
    <w:p>
      <w:pPr>
        <w:pStyle w:val="ListBullet"/>
      </w:pPr>
      <w:r>
        <w:rPr>
          <w:b/>
        </w:rPr>
        <w:t>Israel:</w:t>
      </w:r>
      <w:r>
        <w:t xml:space="preserve"> «amarás á tu prójimo como á ti mismo»</w:t>
      </w:r>
      <w:r>
        <w:t xml:space="preserve"> (Lv 19:18)</w:t>
      </w:r>
      <w:r>
        <w:t>. Y Hillel, a quien pedían la Torá entera, respondió: «Lo que te es odioso no lo hagas a otro; eso es toda la Torá, y el resto es su explicación»</w:t>
      </w:r>
      <w:r>
        <w:t xml:space="preserve"> [original: «That which is hateful to you do not do to another; that is the entire Torah, and the rest is its interpretation. Go study.», en la traducción inglesa de Sefaria]</w:t>
      </w:r>
      <w:r>
        <w:t xml:space="preserve"> (Talmud de Babilonia, Shabat 31a)</w:t>
      </w:r>
      <w:r>
        <w:t>.</w:t>
      </w:r>
    </w:p>
    <w:p>
      <w:pPr>
        <w:pStyle w:val="ListBullet"/>
      </w:pPr>
      <w:r>
        <w:rPr>
          <w:b/>
        </w:rPr>
        <w:t>El Evangelio:</w:t>
      </w:r>
      <w:r>
        <w:t xml:space="preserve"> «todas las cosas que quisierais que los hombres hiciesen con vosotros, así también haced vosotros con ellos; porque esta es la ley y los profetas»</w:t>
      </w:r>
      <w:r>
        <w:t xml:space="preserve"> (Mt 7:12)</w:t>
      </w:r>
      <w:r>
        <w:t>.</w:t>
      </w:r>
    </w:p>
    <w:p>
      <w:pPr>
        <w:pStyle w:val="ListBullet"/>
      </w:pPr>
      <w:r>
        <w:rPr>
          <w:b/>
        </w:rPr>
        <w:t>China:</w:t>
      </w:r>
      <w:r>
        <w:t xml:space="preserve"> Confucio, preguntado si hay una palabra que sirva de regla para toda la vida: «¿No es la reciprocidad? Lo que no quieras que te hagan, no se lo hagas a otros»</w:t>
      </w:r>
      <w:r>
        <w:t xml:space="preserve"> [original: «子曰、其恕乎、己所不欲、勿施於人。»]</w:t>
      </w:r>
      <w:r>
        <w:t xml:space="preserve"> (Analectas 15, 23, en la edición de Legge)</w:t>
      </w:r>
      <w:r>
        <w:t>.</w:t>
      </w:r>
    </w:p>
    <w:p>
      <w:pPr>
        <w:pStyle w:val="ListBullet"/>
      </w:pPr>
      <w:r>
        <w:rPr>
          <w:b/>
        </w:rPr>
        <w:t>India:</w:t>
      </w:r>
      <w:r>
        <w:t xml:space="preserve"> «No debe hacerse nunca a otro lo que uno tiene por dañino para sí mismo. Esta es, en breve, la regla de la Rectitud»</w:t>
      </w:r>
      <w:r>
        <w:t xml:space="preserve"> [original: «One should never do that to another which one regards as injurious to one's own self. This, in brief, is the rule of Righteousness.», en la traducción inglesa de Ganguli]</w:t>
      </w:r>
      <w:r>
        <w:t xml:space="preserve"> (Mahabharata, Anushasana Parva, sección 113)</w:t>
      </w:r>
      <w:r>
        <w:t>.</w:t>
      </w:r>
    </w:p>
    <w:p>
      <w:pPr>
        <w:pStyle w:val="ListBullet"/>
      </w:pPr>
      <w:r>
        <w:rPr>
          <w:b/>
        </w:rPr>
        <w:t>El budismo,</w:t>
      </w:r>
      <w:r>
        <w:t xml:space="preserve"> en el </w:t>
      </w:r>
      <w:r>
        <w:rPr>
          <w:i/>
        </w:rPr>
        <w:t>Udanavarga</w:t>
      </w:r>
      <w:r>
        <w:t>: «como lo que es querido para ti lo es también para los otros, no hieras a otros con lo que te duele a ti»</w:t>
      </w:r>
      <w:r>
        <w:t xml:space="preserve"> [original: «as it is the same thing that is dear to you and to others, hurt not others with what pains yourself», en la traducción inglesa de Rockhill]</w:t>
      </w:r>
      <w:r>
        <w:t xml:space="preserve"> (Udanavarga V, 18)</w:t>
      </w:r>
      <w:r>
        <w:t>.</w:t>
      </w:r>
    </w:p>
    <w:p>
      <w:pPr>
        <w:pStyle w:val="ListBullet"/>
      </w:pPr>
      <w:r>
        <w:rPr>
          <w:b/>
        </w:rPr>
        <w:t>El jainismo:</w:t>
      </w:r>
      <w:r>
        <w:t xml:space="preserve"> «tratar a todos los seres del mundo como uno mismo querría ser tratado»</w:t>
      </w:r>
      <w:r>
        <w:t xml:space="preserve"> [original: «treating all creatures in the world so as he himself would be treated», en la traducción inglesa de Jacobi]</w:t>
      </w:r>
      <w:r>
        <w:t xml:space="preserve"> (Sutrakritanga I, 11)</w:t>
      </w:r>
      <w:r>
        <w:t>.</w:t>
      </w:r>
    </w:p>
    <w:p>
      <w:pPr>
        <w:pStyle w:val="ListBullet"/>
      </w:pPr>
      <w:r>
        <w:rPr>
          <w:b/>
        </w:rPr>
        <w:t>Persia (zoroastrismo):</w:t>
      </w:r>
      <w:r>
        <w:t xml:space="preserve"> la naturaleza es buena solo cuando «no hace a otro lo que no es bueno para sí misma»</w:t>
      </w:r>
      <w:r>
        <w:t xml:space="preserve"> [original: «shall not do unto another whatever is not good for its own self», en la traducción inglesa de West]</w:t>
      </w:r>
      <w:r>
        <w:t xml:space="preserve"> (Dadistan-i-Dinik 94, 5)</w:t>
      </w:r>
      <w:r>
        <w:t>.</w:t>
      </w:r>
    </w:p>
    <w:p>
      <w:pPr>
        <w:pStyle w:val="ListBullet"/>
      </w:pPr>
      <w:r>
        <w:rPr>
          <w:b/>
        </w:rPr>
        <w:t>Grecia:</w:t>
      </w:r>
      <w:r>
        <w:t xml:space="preserve"> «No hagas a otros lo que te irrita que te hagan a ti»</w:t>
      </w:r>
      <w:r>
        <w:t xml:space="preserve"> [original: «Do not do to others that which angers you when they do it to you.», en la traducción inglesa de Norlin]</w:t>
      </w:r>
      <w:r>
        <w:t xml:space="preserve"> (Isócrates, Nicocles 61)</w:t>
      </w:r>
      <w:r>
        <w:t>.</w:t>
      </w:r>
    </w:p>
    <w:p>
      <w:pPr>
        <w:pStyle w:val="ListBullet"/>
      </w:pPr>
      <w:r>
        <w:rPr>
          <w:b/>
        </w:rPr>
        <w:t>El islam:</w:t>
      </w:r>
      <w:r>
        <w:t xml:space="preserve"> «Ninguno de vosotros tendrá fe hasta que desee para su hermano lo que desea para sí»</w:t>
      </w:r>
      <w:r>
        <w:t xml:space="preserve"> [original: «None of you will have faith till he wishes for his (Muslim) brother what he likes for himself», en la copia inglesa de la colección de Bujari]</w:t>
      </w:r>
      <w:r>
        <w:t xml:space="preserve"> (Sahih al-Bujari 13)</w:t>
      </w:r>
      <w:r>
        <w:t>.</w:t>
      </w:r>
    </w:p>
    <w:p>
      <w:r>
        <w:rPr>
          <w:b/>
        </w:rPr>
        <w:t>Lo que se puede decir y lo que no.</w:t>
      </w:r>
      <w:r>
        <w:t xml:space="preserve"> Coinciden en lo esencial regiones sin relación comprobada: Israel, China, India, Grecia y Persia. No se prueba que sean independientes entre sí, y Mateo y el hadiz beben de la tradición bíblica. En Egipto no se halló un precepto equivalente, y el que se cita en resúmenes, en el </w:t>
      </w:r>
      <w:r>
        <w:rPr>
          <w:i/>
        </w:rPr>
        <w:t>Campesino elocuente</w:t>
      </w:r>
      <w:r>
        <w:t xml:space="preserve">, no se leyó en su fuente. </w:t>
      </w:r>
      <w:r>
        <w:t>[fuentes del agente de flecos, lote 6 (9-oct-2026); lista 04p, fila 30; 04o, 5]</w:t>
      </w:r>
    </w:p>
    <w:p>
      <w:r>
        <w:rPr>
          <w:b/>
        </w:rPr>
        <w:t>La vara.</w:t>
      </w:r>
      <w:r>
        <w:t xml:space="preserve"> Con eso se hace la vara con que esta obra mide. Mide en dos pasos:</w:t>
      </w:r>
    </w:p>
    <w:p>
      <w:pPr>
        <w:spacing w:after="60"/>
        <w:ind w:left="510" w:hanging="397"/>
      </w:pPr>
      <w:r>
        <w:rPr>
          <w:b w:val="0"/>
        </w:rPr>
        <w:t xml:space="preserve">1. </w:t>
      </w:r>
      <w:r>
        <w:rPr>
          <w:b/>
        </w:rPr>
        <w:t>Primero, la verdad de los hechos:</w:t>
      </w:r>
      <w:r>
        <w:t xml:space="preserve"> si son ciertos, con su fuente.</w:t>
      </w:r>
    </w:p>
    <w:p>
      <w:pPr>
        <w:spacing w:after="60"/>
        <w:ind w:left="510" w:hanging="397"/>
      </w:pPr>
      <w:r>
        <w:rPr>
          <w:b w:val="0"/>
        </w:rPr>
        <w:t xml:space="preserve">2. </w:t>
      </w:r>
      <w:r>
        <w:rPr>
          <w:b/>
        </w:rPr>
        <w:t>Después, sus frutos,</w:t>
      </w:r>
      <w:r>
        <w:t xml:space="preserve"> con un criterio común a esas tradiciones: si dañan al prójimo, si hay reciprocidad, si hubo consentimiento y si hay beneficio mutuo.</w:t>
      </w:r>
    </w:p>
    <w:p>
      <w:r>
        <w:t>De dónde nace un acto (el amor, el egoísmo o la ignorancia) queda como lectura del autor, no como hecho. Cualquiera puede aplicar la vara sin ser jurista. Se aplica pieza a pieza, y no todo lo que mide sale torcido: por eso su conclusión de conjunto es creíble. Y se aplica a los dos lados, también a quien audita.</w:t>
      </w:r>
    </w:p>
    <w:p>
      <w:r>
        <w:t>[00.00-2.15; 00.00-2.20; 00.0-10.2; glosario 5.1]</w:t>
      </w:r>
    </w:p>
    <w:p>
      <w:r>
        <w:rPr>
          <w:b/>
        </w:rPr>
        <w:t>La balanza.</w:t>
      </w:r>
      <w:r>
        <w:t xml:space="preserve"> La vara, la pesa justa, el centro y el dial son un solo instrumento con cuatro nombres. La vara mide la verdad de los hechos y sus frutos; la pesa justa es lo recibido, la medida que las tradiciones guardaron y que no se trampea (</w:t>
      </w:r>
      <w:r>
        <w:t>3.2</w:t>
      </w:r>
      <w:r>
        <w:t xml:space="preserve">; </w:t>
      </w:r>
      <w:r>
        <w:t>anexo F</w:t>
      </w:r>
      <w:r>
        <w:t>); el centro es el bien común, que no lo pone quien mide, sino la ley de Dios y la natural (</w:t>
      </w:r>
      <w:r>
        <w:t>J.2</w:t>
      </w:r>
      <w:r>
        <w:t>); y el dial dice cuánto y hacia qué lado se aparta de ese centro lo medido: por defecto, si no cuida ni cumple, o por exceso, si se sirve a sí mismo (</w:t>
      </w:r>
      <w:r>
        <w:t>J.3</w:t>
      </w:r>
      <w:r>
        <w:t>). Es una sola balanza para todo el libro, y con ella se pesa al final, cosa por cosa, lo que el libro expone (</w:t>
      </w:r>
      <w:r>
        <w:t>J.8</w:t>
      </w:r>
      <w:r>
        <w:t xml:space="preserve">). </w:t>
      </w:r>
      <w:r>
        <w:t>[parlamento de la balanza (08/22), apartados 8 y 11; J.0 a J.4]</w:t>
      </w:r>
    </w:p>
    <w:p>
      <w:r>
        <w:rPr>
          <w:b/>
        </w:rPr>
        <w:t>Lectura del autor: la pesa.</w:t>
      </w:r>
      <w:r>
        <w:t xml:space="preserve"> En palabras del autor, cada cosa «sirve a un propósito más allá de ti, alineado con las leyes divinas, o tiene algún tipo de corrupción y procede de algo que aleja a la humanidad del bien común». Dicho con las palabras de este libro, se pesa en los dos pasos de la vara. Primero, ¿roca o arena?: si lo que se afirma se sostiene en su fuente, como la casa sobre la peña (</w:t>
      </w:r>
      <w:r>
        <w:t>5.4</w:t>
      </w:r>
      <w:r>
        <w:t>), y si no, en qué punto de la escala queda: presunción, falso o mentira (</w:t>
      </w:r>
      <w:r>
        <w:t>0.4</w:t>
      </w:r>
      <w:r>
        <w:t>). Después, por sus frutos: ¿sirve a un propósito más allá de sí, alineado con lo recibido, la ley de Dios y la natural; se sirve a sí mismo; o no cuida ni cumple? Esas dos maneras de apartarse del centro son lo que el autor llama corrupción, en el sentido de este libro y no en el del Código Penal: la ley que no mira a la utilidad común, sino a la codicia o la gloria de quien la hace (</w:t>
      </w:r>
      <w:r>
        <w:t>1.1</w:t>
      </w:r>
      <w:r>
        <w:t xml:space="preserve">; </w:t>
      </w:r>
      <w:r>
        <w:t>1.6</w:t>
      </w:r>
      <w:r>
        <w:t>), y la forma que conserva el nombre y pierde la sustancia (</w:t>
      </w:r>
      <w:r>
        <w:t>7.5</w:t>
      </w:r>
      <w:r>
        <w:t xml:space="preserve">; </w:t>
      </w:r>
      <w:r>
        <w:t>9.2</w:t>
      </w:r>
      <w:r>
        <w:t>). De dónde procede no se pesa: se pesa adónde lleva, por sus frutos (</w:t>
      </w:r>
      <w:r>
        <w:t>J.7</w:t>
      </w:r>
      <w:r>
        <w:t>), y su origen, si se lee, va con la fórmula «apunta hacia» (</w:t>
      </w:r>
      <w:r>
        <w:t>0.3</w:t>
      </w:r>
      <w:r>
        <w:t>). Y la misma pesa vale para quien pesa, también para esta obra (</w:t>
      </w:r>
      <w:r>
        <w:t>2.5</w:t>
      </w:r>
      <w:r>
        <w:t xml:space="preserve">). </w:t>
      </w:r>
      <w:r>
        <w:t>[Kiko, chats de 08.20 y 08.21, 12-oct-2026, 10:0x a 10:5x; parlamento de la balanza (08/22), apartados 10 y 11; lectura del autor, sin dato nuevo]</w:t>
      </w:r>
    </w:p>
    <w:p>
      <w:r>
        <w:rPr>
          <w:b/>
        </w:rPr>
        <w:t>La convergencia.</w:t>
      </w:r>
      <w:r>
        <w:t xml:space="preserve"> ¿Cómo se sabe que las tradiciones dicen de verdad lo mismo, y que no es casualidad? Por la convergencia.</w:t>
      </w:r>
    </w:p>
    <w:p>
      <w:pPr>
        <w:pStyle w:val="ListBullet"/>
      </w:pPr>
      <w:r>
        <w:rPr>
          <w:b/>
        </w:rPr>
        <w:t>La regla:</w:t>
      </w:r>
      <w:r>
        <w:t xml:space="preserve"> una afirmación se tiene por sólida cuando aparece en tres o más fuentes independientes, es decir, tradiciones, épocas o disciplinas sin una línea de transmisión entre ellas. Y solo después de haber buscado la fuente de peso que sostiene lo contrario.</w:t>
      </w:r>
    </w:p>
    <w:p>
      <w:pPr>
        <w:pStyle w:val="ListBullet"/>
      </w:pPr>
      <w:r>
        <w:rPr>
          <w:b/>
        </w:rPr>
        <w:t>La imagen es una mesa:</w:t>
      </w:r>
      <w:r>
        <w:t xml:space="preserve"> </w:t>
      </w:r>
    </w:p>
    <w:p>
      <w:pPr>
        <w:pStyle w:val="ListBullet2"/>
      </w:pPr>
      <w:r>
        <w:t xml:space="preserve">cada fuente independiente es una </w:t>
      </w:r>
      <w:r>
        <w:rPr>
          <w:b/>
        </w:rPr>
        <w:t>pata</w:t>
      </w:r>
      <w:r>
        <w:t>;</w:t>
      </w:r>
    </w:p>
    <w:p>
      <w:pPr>
        <w:pStyle w:val="ListBullet2"/>
      </w:pPr>
      <w:r>
        <w:t xml:space="preserve">la fuente que contradice es la </w:t>
      </w:r>
      <w:r>
        <w:rPr>
          <w:b/>
        </w:rPr>
        <w:t>pata coja</w:t>
      </w:r>
      <w:r>
        <w:t>;</w:t>
      </w:r>
    </w:p>
    <w:p>
      <w:pPr>
        <w:pStyle w:val="ListBullet2"/>
      </w:pPr>
      <w:r>
        <w:t>la prueba consiste en quitar una pata y ver si la mesa sigue en pie.</w:t>
      </w:r>
    </w:p>
    <w:p>
      <w:pPr>
        <w:pStyle w:val="ListBullet"/>
      </w:pPr>
      <w:r>
        <w:rPr>
          <w:b/>
        </w:rPr>
        <w:t>Si no aparece ninguna pata coja,</w:t>
      </w:r>
      <w:r>
        <w:t xml:space="preserve"> el hallazgo es sospechoso, no sólido: alguien tuvo que sostener lo contrario.</w:t>
      </w:r>
    </w:p>
    <w:p>
      <w:pPr>
        <w:pStyle w:val="ListBullet"/>
      </w:pPr>
      <w:r>
        <w:rPr>
          <w:b/>
        </w:rPr>
        <w:t>La condición,</w:t>
      </w:r>
      <w:r>
        <w:t xml:space="preserve"> para que el principio no se pueda tumbar: una práctica muy extendida no es por eso buena. La esclavitud estuvo muy extendida, y no pasa la vara: daña al prójimo y no hay reciprocidad. Tampoco pasan la vara el robo hacia fuera que unos germanos tenían por honroso y la mutilación genital femenina de hoy (</w:t>
      </w:r>
      <w:r>
        <w:t>1.5</w:t>
      </w:r>
      <w:r>
        <w:t>). Lo que converge y además pasa la vara es lo que esta obra tiene por ley por encima de toda ley. Lo que solo se repite puede ser una costumbre torcida.</w:t>
      </w:r>
    </w:p>
    <w:p>
      <w:r>
        <w:t>[01.00-0.1; 00.00-1.5; glosario 5.4]</w:t>
      </w:r>
    </w:p>
    <w:p>
      <w:pPr>
        <w:pStyle w:val="Heading2"/>
      </w:pPr>
      <w:r>
        <w:t>0.6 El mapa del libro</w:t>
      </w:r>
    </w:p>
    <w:p>
      <w:pPr>
        <w:pBdr>
          <w:left w:val="single" w:sz="24" w:space="6" w:color="E2DED6"/>
        </w:pBdr>
        <w:shd w:val="clear" w:color="auto" w:fill="F1EEE8"/>
        <w:spacing w:before="80" w:after="160"/>
        <w:ind w:left="142" w:right="142"/>
      </w:pPr>
      <w:r>
        <w:rPr>
          <w:b/>
        </w:rPr>
        <w:t>La idea: el libro va de lo que está por encima de toda ley a lo que cada persona puede hacer, y termina en el juicio.</w:t>
      </w:r>
    </w:p>
    <w:p>
      <w:pPr>
        <w:pStyle w:val="ListBullet"/>
      </w:pPr>
      <w:r>
        <w:rPr>
          <w:b/>
        </w:rPr>
        <w:t>1</w:t>
      </w:r>
      <w:r>
        <w:rPr>
          <w:b/>
        </w:rPr>
        <w:t xml:space="preserve"> El orden de las leyes:</w:t>
      </w:r>
      <w:r>
        <w:t xml:space="preserve"> cuáles son las leyes que están por encima de las que escribe el Estado, en qué orden, y quién invirtió ese orden.</w:t>
      </w:r>
    </w:p>
    <w:p>
      <w:pPr>
        <w:pStyle w:val="ListBullet"/>
      </w:pPr>
      <w:r>
        <w:rPr>
          <w:b/>
        </w:rPr>
        <w:t>2</w:t>
      </w:r>
      <w:r>
        <w:rPr>
          <w:b/>
        </w:rPr>
        <w:t xml:space="preserve"> La persona y los derechos que preceden al Estado:</w:t>
      </w:r>
      <w:r>
        <w:t xml:space="preserve"> la persona, su derecho de nacimiento y «soberanos somos todos».</w:t>
      </w:r>
    </w:p>
    <w:p>
      <w:pPr>
        <w:pStyle w:val="ListBullet"/>
      </w:pPr>
      <w:r>
        <w:rPr>
          <w:b/>
        </w:rPr>
        <w:t>3</w:t>
      </w:r>
      <w:r>
        <w:rPr>
          <w:b/>
        </w:rPr>
        <w:t xml:space="preserve"> Lo que todas las tradiciones guardaron: el Arca:</w:t>
      </w:r>
      <w:r>
        <w:t xml:space="preserve"> la ley de Dios, principio por principio, en las tradiciones del mundo, con su pata coja.</w:t>
      </w:r>
    </w:p>
    <w:p>
      <w:pPr>
        <w:pStyle w:val="ListBullet"/>
      </w:pPr>
      <w:r>
        <w:rPr>
          <w:b/>
        </w:rPr>
        <w:t>4</w:t>
      </w:r>
      <w:r>
        <w:rPr>
          <w:b/>
        </w:rPr>
        <w:t xml:space="preserve"> Discernir: el mal sin cuerpo:</w:t>
      </w:r>
      <w:r>
        <w:t xml:space="preserve"> cómo describen las religiones el mal que no tiene cuerpo, y la lucha entre el bien y el mal.</w:t>
      </w:r>
    </w:p>
    <w:p>
      <w:pPr>
        <w:pStyle w:val="ListBullet"/>
      </w:pPr>
      <w:r>
        <w:rPr>
          <w:b/>
        </w:rPr>
        <w:t>5</w:t>
      </w:r>
      <w:r>
        <w:rPr>
          <w:b/>
        </w:rPr>
        <w:t xml:space="preserve"> Lo que se da por supuesto:</w:t>
      </w:r>
      <w:r>
        <w:t xml:space="preserve"> las presunciones en que se sostiene el sistema.</w:t>
      </w:r>
    </w:p>
    <w:p>
      <w:pPr>
        <w:pStyle w:val="ListBullet"/>
      </w:pPr>
      <w:r>
        <w:rPr>
          <w:b/>
        </w:rPr>
        <w:t>6</w:t>
      </w:r>
      <w:r>
        <w:rPr>
          <w:b/>
        </w:rPr>
        <w:t xml:space="preserve"> Cómo se construyó el Estado:</w:t>
      </w:r>
      <w:r>
        <w:t xml:space="preserve"> el contrato que nadie firmó, cómo se autoproclama un Estado, y la propiedad y el poder.</w:t>
      </w:r>
    </w:p>
    <w:p>
      <w:pPr>
        <w:pStyle w:val="ListBullet"/>
      </w:pPr>
      <w:r>
        <w:rPr>
          <w:b/>
        </w:rPr>
        <w:t>7</w:t>
      </w:r>
      <w:r>
        <w:rPr>
          <w:b/>
        </w:rPr>
        <w:t xml:space="preserve"> La auditoría:</w:t>
      </w:r>
      <w:r>
        <w:t xml:space="preserve"> la Constitución frente a los hechos.</w:t>
      </w:r>
    </w:p>
    <w:p>
      <w:pPr>
        <w:pStyle w:val="ListBullet"/>
      </w:pPr>
      <w:r>
        <w:rPr>
          <w:b/>
        </w:rPr>
        <w:t>8</w:t>
      </w:r>
      <w:r>
        <w:rPr>
          <w:b/>
        </w:rPr>
        <w:t xml:space="preserve"> Los frutos:</w:t>
      </w:r>
      <w:r>
        <w:t xml:space="preserve"> el dinero, la deuda, la carga sobre cada persona, la vivienda y la confianza, medidos con datos.</w:t>
      </w:r>
    </w:p>
    <w:p>
      <w:pPr>
        <w:pStyle w:val="ListBullet"/>
      </w:pPr>
      <w:r>
        <w:rPr>
          <w:b/>
        </w:rPr>
        <w:t>9</w:t>
      </w:r>
      <w:r>
        <w:rPr>
          <w:b/>
        </w:rPr>
        <w:t xml:space="preserve"> El dictamen:</w:t>
      </w:r>
      <w:r>
        <w:t xml:space="preserve"> la conclusión de la obra, con sus límites.</w:t>
      </w:r>
    </w:p>
    <w:p>
      <w:pPr>
        <w:pStyle w:val="ListBullet"/>
      </w:pPr>
      <w:r>
        <w:rPr>
          <w:b/>
        </w:rPr>
        <w:t>10</w:t>
      </w:r>
      <w:r>
        <w:rPr>
          <w:b/>
        </w:rPr>
        <w:t xml:space="preserve"> Las puertas:</w:t>
      </w:r>
      <w:r>
        <w:t xml:space="preserve"> lo que se propone y lo que cada persona puede hacer, dentro de la ley.</w:t>
      </w:r>
    </w:p>
    <w:p>
      <w:pPr>
        <w:pStyle w:val="ListBullet"/>
      </w:pPr>
      <w:r>
        <w:rPr>
          <w:b/>
        </w:rPr>
        <w:t>11</w:t>
      </w:r>
      <w:r>
        <w:rPr>
          <w:b/>
        </w:rPr>
        <w:t xml:space="preserve"> El juicio popular de la verdad:</w:t>
      </w:r>
      <w:r>
        <w:t xml:space="preserve"> las objeciones del Estado y lo que la obra le responde; los cargos, cada uno con la defensa del Estado y su última palabra; las preguntas y el llamamiento.</w:t>
      </w:r>
    </w:p>
    <w:p>
      <w:pPr>
        <w:pStyle w:val="ListBullet"/>
      </w:pPr>
      <w:r>
        <w:rPr>
          <w:b/>
        </w:rPr>
        <w:t>Anexos A a J:</w:t>
      </w:r>
      <w:r>
        <w:t xml:space="preserve"> las piezas de consulta, para quien quiera el detalle: </w:t>
      </w:r>
    </w:p>
    <w:p>
      <w:pPr>
        <w:pStyle w:val="ListBullet2"/>
      </w:pPr>
      <w:r>
        <w:t>la Constitución artículo por artículo;</w:t>
      </w:r>
    </w:p>
    <w:p>
      <w:pPr>
        <w:pStyle w:val="ListBullet2"/>
      </w:pPr>
      <w:r>
        <w:t>la carga fiscal y los datos;</w:t>
      </w:r>
    </w:p>
    <w:p>
      <w:pPr>
        <w:pStyle w:val="ListBullet2"/>
      </w:pPr>
      <w:r>
        <w:t>los modelos de escrito;</w:t>
      </w:r>
    </w:p>
    <w:p>
      <w:pPr>
        <w:pStyle w:val="ListBullet2"/>
      </w:pPr>
      <w:r>
        <w:t>lo que se afirma sin documento;</w:t>
      </w:r>
    </w:p>
    <w:p>
      <w:pPr>
        <w:pStyle w:val="ListBullet2"/>
      </w:pPr>
      <w:r>
        <w:t>los textos de cada tradición;</w:t>
      </w:r>
    </w:p>
    <w:p>
      <w:pPr>
        <w:pStyle w:val="ListBullet2"/>
      </w:pPr>
      <w:r>
        <w:t>cómo se hizo esta obra;</w:t>
      </w:r>
    </w:p>
    <w:p>
      <w:pPr>
        <w:pStyle w:val="ListBullet2"/>
      </w:pPr>
      <w:r>
        <w:t>el glosario y las fuentes;</w:t>
      </w:r>
    </w:p>
    <w:p>
      <w:pPr>
        <w:pStyle w:val="ListBullet2"/>
      </w:pPr>
      <w:r>
        <w:t>la balanza equilibrada: el método con que se mide hacia dónde apunta cada cosa, con lo que las tradiciones guardaron como centro.</w:t>
      </w:r>
    </w:p>
    <w:p>
      <w:pPr>
        <w:pStyle w:val="ListBullet"/>
      </w:pPr>
      <w:r>
        <w:rPr>
          <w:b/>
        </w:rPr>
        <w:t>El mapa del árbol:</w:t>
      </w:r>
      <w:r>
        <w:t xml:space="preserve"> la segunda puerta de entrada: la obra dibujada como un solo árbol, con la raíz (lo que se recibe y converge), el tronco, las ramas y los frutos, las tres columnas como dial y lo creado como capa; cada círculo lleva su apartado, su fuente y su nivel. Se abre desde el índice general.</w:t>
      </w:r>
    </w:p>
    <w:p>
      <w:r>
        <w:t>[índice aprobado en la F2; 00.0-8 (mapa de la auditoría del Pórtico), rehecho; el mapa del árbol, M6, 9-oct-2026]</w:t>
      </w:r>
    </w:p>
    <w:p>
      <w:pPr>
        <w:pStyle w:val="Heading2"/>
      </w:pPr>
      <w:r>
        <w:t>Dónde se oye la defensa del Estado</w:t>
      </w:r>
    </w:p>
    <w:p>
      <w:r>
        <w:t xml:space="preserve">La defensa del Estado frente a este capítulo («la obra no es neutral: la vara la pone el autor»), y lo que la obra le responde, se oyen en el juicio: </w:t>
      </w:r>
      <w:r>
        <w:t>11.2</w:t>
      </w:r>
      <w:r>
        <w:t>, las cuestiones previas.</w:t>
      </w:r>
    </w:p>
    <w:p>
      <w:r>
        <w:t>[glosario 8.13; el texto pasa a «11 material - cuestiones previas»]</w:t>
      </w:r>
    </w:p>
    <w:p>
      <w:pPr>
        <w:pStyle w:val="Heading2"/>
      </w:pPr>
      <w:r>
        <w:t>Para recordar</w:t>
      </w:r>
    </w:p>
    <w:p>
      <w:pPr>
        <w:pStyle w:val="ListBullet"/>
      </w:pPr>
      <w:r>
        <w:t>Esta obra no pide fe: cada afirmación lleva su fuente, y el lector elige cuánto quiere ver de ella.</w:t>
      </w:r>
    </w:p>
    <w:p>
      <w:pPr>
        <w:pStyle w:val="ListBullet"/>
      </w:pPr>
      <w:r>
        <w:t>El dato y la interpretación van siempre separados, y la intención de nadie se afirma como hecho.</w:t>
      </w:r>
    </w:p>
    <w:p>
      <w:pPr>
        <w:pStyle w:val="ListBullet"/>
      </w:pPr>
      <w:r>
        <w:t>Verdad, presunción, falso y mentira no son lo mismo.</w:t>
      </w:r>
    </w:p>
    <w:p>
      <w:pPr>
        <w:pStyle w:val="ListBullet"/>
      </w:pPr>
      <w:r>
        <w:t>Por sus frutos se reconoce; no se condena a nadie por lo que es ni por lo que cree.</w:t>
      </w:r>
    </w:p>
    <w:p>
      <w:pPr>
        <w:pStyle w:val="ListBullet"/>
      </w:pPr>
      <w:r>
        <w:t>La obra no exime de ninguna obligación vigente ni invita a desobedecer: su camino es la constancia escrita, el Registro de los frutos, el juicio popular de la verdad y la metamorfosis del Estado.</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completo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completo · 0 Propósito, y cómo se lee esta obra</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 Propósito, y cómo se lee esta obra · La obra entera: completo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