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palabra griega, en cursiva en D.1, D.8 y D.9 (07/herramientas/aplicar_cinco_de_forma.py). Ninguna otra palabra cambia. Cambio del 8-oct-2026 (parlamento sobre los mitos; Kiko: «sí a las tres, con tus recomendaciones» y el añadido del método de medir): dos referencias a «los mitos» pasan a «las afirmaciones sin documento». ESTADO: APROBADO por Kiko el 7-oct-2026 («sí a todo, ya lo he leído»; conversación del aviso PASO 3.3); sus marcas, en 04 CAPITULOS/marcas/marcas del anexo D.txt. Paso 3. «Usurpar» y «arrogarse» (Kiko, 7-oct): solo en la lectura del autor del D.13, con sus definiciones (DLE, «usurpar», 2.ª; DPEJ, «arrogarse»); dentro del escrito, solo la pregunta por el título (D.13, n.º 9). En el diccionario jurídico, «usurpación» es nombre de delito (Código Penal, art. 245): nunca dentro de un escrito. Sale de la pieza 36.00 (los doce modelos) y de 32.00-3.1 a 3.4 y 8.1 (archivo congelado), con lo decidido con Kiko en el parlamento del mismo día («sí a todo»): - La escalera (D.0): pedir; exigir que acrediten; recordar. La cláusula de la responsabilidad de quien tramita, solo en D.8, D.9 y D.10; cada escrito dice cuál es el siguiente paso. Dos alturas: el caso concreto (D.8 → D.10, al órgano que tramita) y los cimientos (D.9 con el D.13, a quien puede contestar). - D.1 es el escrito de petición entero que promete 10.4 (la pregunta, las seis peticiones, el fundamento de 32.00-8.1 y la buena fe), con la base legal del modelo 1 de la 36.00. - D.7, punto 3: sin «me reservo»: los derechos inherentes no nacen de ningún contrato (choca con 10.4 y 2.6). - D.9 gira sobre la pregunta de Kiko («¿en qué se apoya la presunción por la que el Estado ejerce autoridad sobre mi persona?»), con la definición de la presunción del diccionario jurídico de la RAE y de la LEC, la buena fe y «Lo que haré si no se contesta» en lugar de «me reservo todos los derechos» (retirado; 10.4 y 2.6). - D.13 (nuevo, al final, para no cambiar la numeración): la relación de presunciones que se adjunta al D.9, en dos partes: lo que la ley presume (con su norma, leída hoy) y «La vacuna: lo que se cree sin prueba» (lo que ninguna ley escribe: la creencia y el consentimiento), que abre con el orden de las leyes, el aforismo prior tempore potior iure solo como pregunta y la voz del ente sin cuerpo, y cierra con la lectura del autor. Sin la palabra «pilares». Escrito en tres niveles y con remisiones enlazables. Los modelos, en la jerga de la Administración (glosario 8.5 y 8.7). Leído hoy en su original (en local; libreta 75, 7 bis n.º 18): - RAE, Diccionario panhispánico del español jurídico, «presunción», «usurpación» y «arrogarse», y Diccionario de la lengua española, «usurpar» y «arrogar» (leídos con el navegador a petición de Kiko: 10 FUENTES LEIDAS/d_botiquin); «prior tempore potior iure» (ya bajado, c9g). El DPEJ «presunción» ya estaba en c9i (el lote de los diccionarios de «presunción», 6-oct): bajado dos veces (libreta 76, lección 44). De c9i, Nebrija (¿1495?, hoja 159): «Presumir. arrogo» y «Presuncion. arrogantia», a la lectura del autor del D.13. - Código Civil, art. 2.2 (c5). - Ley de Enjuiciamiento Civil, arts. 4, 385 y 386 (c7a). - Ley 39/2015, arts. 24.1, 38, 39.1, 43.2, 98.1 y disposición adicional primera, apartado 2 (c5). - Ley 7/1985, de Bases del Régimen Local, art. 4.1.e y f (c10). - Ley General Tributaria, arts. 108, 144 y 167.2 (c5). - Ley de Tráfico (Real Decreto Legislativo 6/2015), arts. 88 y 91 (c9n). - Código Civil, arts. 1, 6.1 y 434 (c5). - Herramienta: herramientas/presunciones_en_leyes.py (493 frases en 16 leyes; hojas/presunciones_en_leyes.md). Criba de Claude: entran las que tocan la relación entre el Estado y la persona; las de derecho privado (gananciales, paternidad, medianería, concurso de particulares…), no. Hallado al escribir: - 36.00-17.16: las «259 normas» de 2024 no tienen fila en el registro (en el informe de la CEOE, 259 son los reales decretos de 2023). Van las 894 normas de 2024, como en el cargo 8. - 36.00-5.4 y 6.3: el 50 % es la mitad de 10.5 (art. 94), y el 4,1 % y el 7,1 % de Madrid son el dato de 9.1. Mismo dato: van con su remisión. No entra: la cabecera de la pieza (36.00-0.0.2: nombre, sello y fecha); «el contador público del Registro» (36.00-14.3), que 10.8 no promete: queda como propuesta; Max Weber y el monopolio de la fuerza, sin leer (a 05 FLECOS); las fórmulas de reserva de derechos. Conceptos que usa, ya anclados: la constancia escrita y la pregunta (10.4); el botiquín (10.5); el Registro de los frutos (10.8); las presunciones y su edificio (5.2 a 5.4); la persona jurídica (2.1); el orden de las leyes y quién lo invirtió (1.1 y 1.7); la jurisdicción de la verdad (1); el juicio y sus cargos (11). Nuevo aquí: la definición jurídica de presunción y el aforismo prior tempore potior iure, explicados al usarlos. Lo que no se repite: por qué se pide cada cosa, el silencio, las vías que han funcionado, defenderse juntos y las cinco respuestas al escrito de petición están en 10.4; los plazos de multas, apremio y embargo, en 10.5.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xml:space="preserve">).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 </w:t>
      </w:r>
      <w:r>
        <w:t>[36.00-0.0.3]</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 xml:space="preserve">). </w:t>
      </w:r>
      <w:r>
        <w:t>[36.00-0.0.4]</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 xml:space="preserve">). </w:t>
      </w:r>
      <w:r>
        <w:t>[parlamento con Kiko, 7-oct-2026]</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xml:space="preserve">).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 </w:t>
      </w:r>
      <w:r>
        <w:t>[Kiko, parlamento del 7-oct-2026]</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r>
        <w:t>[36.00-1.1]</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r>
        <w:t>[36.00-1.2; 10.4, respuesta 1]</w:t>
      </w:r>
    </w:p>
    <w:p>
      <w:pPr>
        <w:pStyle w:val="ListBullet"/>
      </w:pPr>
      <w:r>
        <w:rPr>
          <w:b/>
        </w:rPr>
        <w:t>Base legal:</w:t>
      </w:r>
      <w:r>
        <w:t xml:space="preserve"> Constitución, art. 29; Ley Orgánica 4/2001, reguladora del derecho de petición, arts. 4, 9 y 11. </w:t>
      </w:r>
      <w:r>
        <w:t>[36.00-1.3]</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r>
        <w:t>[36.00-1.4]</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[órgano o unidad administrativa concreta; no «a quien corresponda»]</w:t>
      </w:r>
      <w:r>
        <w:rPr>
          <w:i/>
          <w:color w:val="6B665E"/>
        </w:rPr>
        <w:t xml:space="preserve"> Expediente o referencia: </w:t>
      </w:r>
      <w:r>
        <w:rPr>
          <w:i/>
          <w:color w:val="6B665E"/>
        </w:rPr>
        <w:t>[si existe]</w:t>
      </w:r>
      <w:r>
        <w:rPr>
          <w:i/>
          <w:color w:val="6B665E"/>
        </w:rPr>
        <w:t xml:space="preserve"> Remitente: [nombre y apellidos completos, tal como constan en el DNI] · DNI [número] · Domicilio a efectos de notificaciones: </w:t>
      </w:r>
      <w:r>
        <w:rPr>
          <w:i/>
          <w:color w:val="6B665E"/>
        </w:rPr>
        <w:t>[dirección completa]</w:t>
      </w:r>
      <w:r>
        <w:rPr>
          <w:i/>
          <w:color w:val="6B665E"/>
        </w:rPr>
        <w:t xml:space="preserve"> Fecha: [día, mes, año] · Lugar: </w:t>
      </w:r>
      <w:r>
        <w:rPr>
          <w:i/>
          <w:color w:val="6B665E"/>
        </w:rPr>
        <w:t>[localidad]</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[nombre legal completo y firma habitual, sin anotaciones, siglas, huella ni tinta de color]</w:t>
      </w:r>
    </w:p>
    <w:p>
      <w:r>
        <w:t>[32.00-3.1 a 3.4; 36.00-1.5 a 1.13; las seis peticiones, de 10.4 (32.00-6.1 a 6.9); 32.00-8.1; la buena fe y la firma, de 10.4 (32.00-7.1 y 9.1)]</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 xml:space="preserve">. </w:t>
      </w:r>
      <w:r>
        <w:t>[36.00-1.14]</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r>
        <w:t>[36.00-2.1 a 2.3]</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r>
        <w:t>[36.00-3.1]</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r>
        <w:t>[36.00-3.2]</w:t>
      </w:r>
    </w:p>
    <w:p>
      <w:pPr>
        <w:pStyle w:val="ListBullet"/>
      </w:pPr>
      <w:r>
        <w:rPr>
          <w:b/>
        </w:rPr>
        <w:t>Base legal:</w:t>
      </w:r>
      <w:r>
        <w:t xml:space="preserve"> Ley 19/2013, de transparencia, acceso a la información pública y buen gobierno, arts. 12, 17, 20 y 24. </w:t>
      </w:r>
      <w:r>
        <w:t>[36.00-3.3]</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r>
        <w:t>[36.00-3.4]</w:t>
      </w:r>
    </w:p>
    <w:p>
      <w:r>
        <w:rPr>
          <w:b/>
        </w:rPr>
        <w:t>Modelo para rellenar:</w:t>
      </w:r>
    </w:p>
    <w:p>
      <w:pPr>
        <w:pBdr>
          <w:left w:val="single" w:sz="18" w:space="8" w:color="E2DED6"/>
        </w:pBdr>
        <w:ind w:left="567" w:right="340"/>
      </w:pPr>
      <w:r>
        <w:rPr>
          <w:i/>
          <w:color w:val="6B665E"/>
        </w:rPr>
        <w:t xml:space="preserve">A </w:t>
      </w:r>
      <w:r>
        <w:rPr>
          <w:i/>
          <w:color w:val="6B665E"/>
        </w:rPr>
        <w:t>[titular del órgano o entidad que tiene la información]</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 xml:space="preserve">En [lugar], a [fecha]. Firma: </w:t>
      </w:r>
      <w:r>
        <w:rPr>
          <w:i/>
          <w:color w:val="6B665E"/>
        </w:rPr>
        <w:t>[firma]</w:t>
      </w:r>
    </w:p>
    <w:p>
      <w:r>
        <w:t>[36.00-3.5 a 3.12]</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 </w:t>
      </w:r>
      <w:r>
        <w:t>[36.00-3.13]</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r>
        <w:t>[36.00-4.1 a 4.3]</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r>
        <w:t>[36.00-5.1]</w:t>
      </w:r>
    </w:p>
    <w:p>
      <w:pPr>
        <w:pStyle w:val="ListBullet"/>
      </w:pPr>
      <w:r>
        <w:rPr>
          <w:b/>
        </w:rPr>
        <w:t>Cuándo usarlo:</w:t>
      </w:r>
      <w:r>
        <w:t xml:space="preserve"> cuando llega una denuncia o una sanción, por ejemplo de tráfico, y se considera injusta o mal tramitada. </w:t>
      </w:r>
      <w:r>
        <w:t>[36.00-5.2]</w:t>
      </w:r>
    </w:p>
    <w:p>
      <w:pPr>
        <w:pStyle w:val="ListBullet"/>
      </w:pPr>
      <w:r>
        <w:rPr>
          <w:b/>
        </w:rPr>
        <w:t>Base legal:</w:t>
      </w:r>
      <w:r>
        <w:t xml:space="preserve"> Real Decreto Legislativo 6/2015, texto refundido de la Ley de Tráfico, arts. 94, 95 y 96; Ley 39/2015, del Procedimiento Administrativo Común, arts. 30 y 124. </w:t>
      </w:r>
      <w:r>
        <w:t>[36.00-5.3]</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r>
        <w:t>[36.00-5.4]</w:t>
      </w:r>
    </w:p>
    <w:p>
      <w:r>
        <w:rPr>
          <w:b/>
        </w:rPr>
        <w:t>Modelo para rellenar:</w:t>
      </w:r>
    </w:p>
    <w:p>
      <w:pPr>
        <w:pBdr>
          <w:left w:val="single" w:sz="18" w:space="8" w:color="E2DED6"/>
        </w:pBdr>
        <w:ind w:left="567" w:right="340"/>
      </w:pPr>
      <w:r>
        <w:rPr>
          <w:i/>
          <w:color w:val="6B665E"/>
        </w:rPr>
        <w:t xml:space="preserve">A </w:t>
      </w:r>
      <w:r>
        <w:rPr>
          <w:i/>
          <w:color w:val="6B665E"/>
        </w:rPr>
        <w:t>[órgano que tramita el expediente]</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spacing w:after="60"/>
        <w:ind w:left="510" w:hanging="397"/>
      </w:pPr>
      <w:r>
        <w:rPr>
          <w:b w:val="0"/>
        </w:rPr>
        <w:t xml:space="preserve">1. </w:t>
      </w:r>
      <w:r>
        <w:t>[Hechos: qué ocurrió realmente.]</w:t>
      </w:r>
    </w:p>
    <w:p>
      <w:pPr>
        <w:spacing w:after="60"/>
        <w:ind w:left="510" w:hanging="397"/>
      </w:pPr>
      <w:r>
        <w:rPr>
          <w:b w:val="0"/>
        </w:rPr>
        <w:t xml:space="preserve">2. </w:t>
      </w:r>
      <w:r>
        <w:t>[Motivos: por ejemplo, falta de prueba de la infracción, error en la identificación del vehículo o de la persona, defecto en la notificación o prescripción.]</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 xml:space="preserve">En [lugar], a [fecha]. Firma: </w:t>
      </w:r>
      <w:r>
        <w:rPr>
          <w:i/>
          <w:color w:val="6B665E"/>
        </w:rPr>
        <w:t>[firma]</w:t>
      </w:r>
    </w:p>
    <w:p>
      <w:r>
        <w:t>[36.00-5.5 a 5.15]</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 </w:t>
      </w:r>
      <w:r>
        <w:t>[36.00-5.16]</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t>, y en todo procedimiento sancionador el ciudadano tiene derecho a «la presunción de no existencia de responsabilidad administrativa mientras no se demuestre lo contrario»</w:t>
      </w:r>
      <w:r>
        <w:t xml:space="preserve"> (Ley 39/2015, art. 53.2.b)</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r>
        <w:t>[36.00-6.1 a 6.3]</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r>
        <w:t>[36.00-7.1]</w:t>
      </w:r>
    </w:p>
    <w:p>
      <w:pPr>
        <w:pStyle w:val="ListBullet"/>
      </w:pPr>
      <w:r>
        <w:rPr>
          <w:b/>
        </w:rPr>
        <w:t>Cuándo usarlo:</w:t>
      </w:r>
      <w:r>
        <w:t xml:space="preserve"> cuando Hacienda reclama una deuda tributaria, la pasa a apremio o embarga bienes o cuentas. </w:t>
      </w:r>
      <w:r>
        <w:t>[36.00-7.2]</w:t>
      </w:r>
    </w:p>
    <w:p>
      <w:pPr>
        <w:pStyle w:val="ListBullet"/>
      </w:pPr>
      <w:r>
        <w:rPr>
          <w:b/>
        </w:rPr>
        <w:t>Base legal:</w:t>
      </w:r>
      <w:r>
        <w:t xml:space="preserve"> Ley 58/2003, General Tributaria, arts. 167.3, 170.3, 223, 224 y 235. </w:t>
      </w:r>
      <w:r>
        <w:t>[36.00-7.3]</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r>
        <w:t>[36.00-7.4]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dictó el acto]</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spacing w:after="60"/>
        <w:ind w:left="510" w:hanging="397"/>
      </w:pPr>
      <w:r>
        <w:rPr>
          <w:b w:val="0"/>
        </w:rPr>
        <w:t xml:space="preserve">1. </w:t>
      </w:r>
      <w:r>
        <w:t>[Elegir el motivo admitido por la ley para este acto (arts. 167.3 o 170.3) y explicarlo.]</w:t>
      </w:r>
    </w:p>
    <w:p>
      <w:pPr>
        <w:spacing w:after="60"/>
        <w:ind w:left="510" w:hanging="397"/>
      </w:pPr>
      <w:r>
        <w:rPr>
          <w:b w:val="0"/>
        </w:rPr>
        <w:t xml:space="preserve">2. </w:t>
      </w:r>
      <w:r>
        <w:t>[Documentos que lo acreditan.]</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 xml:space="preserve">En [lugar], a [fecha]. Firma: </w:t>
      </w:r>
      <w:r>
        <w:rPr>
          <w:i/>
          <w:color w:val="6B665E"/>
        </w:rPr>
        <w:t>[firma]</w:t>
      </w:r>
    </w:p>
    <w:p>
      <w:r>
        <w:t>[36.00-7.5 a 7.14]</w:t>
      </w:r>
    </w:p>
    <w:p>
      <w:r>
        <w:rPr>
          <w:b/>
        </w:rPr>
        <w:t>La respuesta probable de la Administración:</w:t>
      </w:r>
      <w:r>
        <w:t xml:space="preserve"> que el motivo alegado no está entre los admitidos por la ley</w:t>
      </w:r>
      <w:r>
        <w:t xml:space="preserve"> (Ley General Tributaria, arts. 167.3 y 170.3)</w:t>
      </w:r>
      <w:r>
        <w:t xml:space="preserve">, que el recurso no suspende el cobro y que el embargo sigue adelante. </w:t>
      </w:r>
      <w:r>
        <w:t>[36.00-7.15]</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r>
        <w:t>[36.00-8.1 a 8.3]</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r>
        <w:t>[36.00-9.1]</w:t>
      </w:r>
    </w:p>
    <w:p>
      <w:pPr>
        <w:pStyle w:val="ListBullet"/>
      </w:pPr>
      <w:r>
        <w:rPr>
          <w:b/>
        </w:rPr>
        <w:t>Cuándo usarlo:</w:t>
      </w:r>
      <w:r>
        <w:t xml:space="preserve"> cuando la Administración está obligada a dar algo concreto a una persona, por una norma, un acto o un contrato, y no lo da. </w:t>
      </w:r>
      <w:r>
        <w:t>[36.00-9.2]</w:t>
      </w:r>
    </w:p>
    <w:p>
      <w:pPr>
        <w:pStyle w:val="ListBullet"/>
      </w:pPr>
      <w:r>
        <w:rPr>
          <w:b/>
        </w:rPr>
        <w:t>Base legal:</w:t>
      </w:r>
      <w:r>
        <w:t xml:space="preserve"> Ley 29/1998, de la Jurisdicción Contencioso-administrativa, art. 29.1; Ley 39/2015, art. 21 (obligación de resolver). </w:t>
      </w:r>
      <w:r>
        <w:t>[36.00-9.3]</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r>
        <w:t>[36.00-9.4]</w:t>
      </w:r>
    </w:p>
    <w:p>
      <w:r>
        <w:rPr>
          <w:b/>
        </w:rPr>
        <w:t>Modelo para rellenar:</w:t>
      </w:r>
    </w:p>
    <w:p>
      <w:pPr>
        <w:pBdr>
          <w:left w:val="single" w:sz="18" w:space="8" w:color="E2DED6"/>
        </w:pBdr>
        <w:ind w:left="567" w:right="340"/>
      </w:pPr>
      <w:r>
        <w:rPr>
          <w:i/>
          <w:color w:val="6B665E"/>
        </w:rPr>
        <w:t xml:space="preserve">A </w:t>
      </w:r>
      <w:r>
        <w:rPr>
          <w:i/>
          <w:color w:val="6B665E"/>
        </w:rPr>
        <w:t>[órgano obligado]</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 xml:space="preserve">En [lugar], a [fecha]. Firma: </w:t>
      </w:r>
      <w:r>
        <w:rPr>
          <w:i/>
          <w:color w:val="6B665E"/>
        </w:rPr>
        <w:t>[firma]</w:t>
      </w:r>
    </w:p>
    <w:p>
      <w:r>
        <w:t>[36.00-9.5 a 9.11]</w:t>
      </w:r>
    </w:p>
    <w:p>
      <w:r>
        <w:rPr>
          <w:b/>
        </w:rPr>
        <w:t>La respuesta probable de la Administración:</w:t>
      </w:r>
      <w:r>
        <w:t xml:space="preserve"> silencio, o que no existe una «prestación concreta» a la que la Administración esté obligada. </w:t>
      </w:r>
      <w:r>
        <w:t>[36.00-9.12]</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r>
        <w:t>[36.00-10.1 a 10.3]</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r>
        <w:t>[36.00-11.1]</w:t>
      </w:r>
    </w:p>
    <w:p>
      <w:pPr>
        <w:pStyle w:val="ListBullet"/>
      </w:pPr>
      <w:r>
        <w:rPr>
          <w:b/>
        </w:rPr>
        <w:t>Cuándo usarlo:</w:t>
      </w:r>
      <w:r>
        <w:t xml:space="preserve"> cuando una administración ha actuado mal o no ha respondido, y se quiere que una institución independiente lo investigue. </w:t>
      </w:r>
      <w:r>
        <w:t>[36.00-11.2]</w:t>
      </w:r>
    </w:p>
    <w:p>
      <w:pPr>
        <w:pStyle w:val="ListBullet"/>
      </w:pPr>
      <w:r>
        <w:rPr>
          <w:b/>
        </w:rPr>
        <w:t>Base legal:</w:t>
      </w:r>
      <w:r>
        <w:t xml:space="preserve"> Ley Orgánica 3/1981, del Defensor del Pueblo, art. 15. </w:t>
      </w:r>
      <w:r>
        <w:t>[36.00-11.3]</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r>
        <w:t>[36.00-11.4]</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 xml:space="preserve">En [lugar], a [fecha]. Firma: </w:t>
      </w:r>
      <w:r>
        <w:rPr>
          <w:i/>
          <w:color w:val="6B665E"/>
        </w:rPr>
        <w:t>[firma]</w:t>
      </w:r>
    </w:p>
    <w:p>
      <w:r>
        <w:t>[36.00-11.5 a 11.13]</w:t>
      </w:r>
    </w:p>
    <w:p>
      <w:r>
        <w:rPr>
          <w:b/>
        </w:rPr>
        <w:t>La respuesta probable de la Administración:</w:t>
      </w:r>
      <w:r>
        <w:t xml:space="preserve"> que no entra en el caso porque está pendiente de resolución judicial</w:t>
      </w:r>
      <w:r>
        <w:t xml:space="preserve"> (Ley Orgánica 3/1981, art. 17.2)</w:t>
      </w:r>
      <w:r>
        <w:t xml:space="preserve">, o que lo remite a la administración afectada. </w:t>
      </w:r>
      <w:r>
        <w:t>[36.00-11.14]</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r>
        <w:t>[36.00-12.1 a 12.3]</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r>
        <w:t>[36.00-13.1]</w:t>
      </w:r>
    </w:p>
    <w:p>
      <w:pPr>
        <w:pStyle w:val="ListBullet"/>
      </w:pPr>
      <w:r>
        <w:rPr>
          <w:b/>
        </w:rPr>
        <w:t>Cuándo usarlo:</w:t>
      </w:r>
      <w:r>
        <w:t xml:space="preserve"> para dejar escrito que el consentimiento que el sistema presume nunca se ha dado, y archivarlo en el Registro (</w:t>
      </w:r>
      <w:r>
        <w:t>10.8</w:t>
      </w:r>
      <w:r>
        <w:t xml:space="preserve">). </w:t>
      </w:r>
      <w:r>
        <w:t>[36.00-13.2]</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r>
        <w:t>[36.00-13.3]</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r>
        <w:t>[36.00-13.4]</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 xml:space="preserve">En [lugar], a [fecha]. Firma: </w:t>
      </w:r>
      <w:r>
        <w:rPr>
          <w:i/>
          <w:color w:val="6B665E"/>
        </w:rPr>
        <w:t>[firma]</w:t>
      </w:r>
    </w:p>
    <w:p>
      <w:r>
        <w:t>[36.00-13.5 a 13.14; el punto 3, sin la fórmula «me reservo» (decisión de Kiko, 7-oct: 10.4 y 2.6); el punto 2, en 8.3 y 5.1, n.º 11]</w:t>
      </w:r>
    </w:p>
    <w:p>
      <w:r>
        <w:rPr>
          <w:b/>
        </w:rPr>
        <w:t>La respuesta probable de la Administración:</w:t>
      </w:r>
      <w:r>
        <w:t xml:space="preserve"> ninguna respuesta, o que el documento «carece de efectos jurídicos», o tratarlo como un escrito pseudolegal. </w:t>
      </w:r>
      <w:r>
        <w:t>[36.00-13.15]</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r>
        <w:t>[36.00-14.1 a 14.3]</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r>
        <w:t>[36.00-15.1]</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r>
        <w:t>[36.00-15.2]</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r>
        <w:t>[36.00-15.3]</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r>
        <w:t>[36.00-15.4]</w:t>
      </w:r>
    </w:p>
    <w:p>
      <w:r>
        <w:rPr>
          <w:b/>
        </w:rPr>
        <w:t>Modelo para rellenar:</w:t>
      </w:r>
    </w:p>
    <w:p>
      <w:pPr>
        <w:pBdr>
          <w:left w:val="single" w:sz="18" w:space="8" w:color="E2DED6"/>
        </w:pBdr>
        <w:ind w:left="567" w:right="340"/>
      </w:pPr>
      <w:r>
        <w:rPr>
          <w:i/>
          <w:color w:val="6B665E"/>
        </w:rPr>
        <w:t xml:space="preserve">A </w:t>
      </w:r>
      <w:r>
        <w:rPr>
          <w:i/>
          <w:color w:val="6B665E"/>
        </w:rPr>
        <w:t>[órgano que dictó el acto o tramita el expediente]</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[36.00-15.5 a 15.18; la buena fe, de 10.4 (32.00-7.1); el siguiente paso, decisión de Kiko del 7-oct]</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 </w:t>
      </w:r>
      <w:r>
        <w:t>[36.00-15.19]</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r>
        <w:t>[36.00-16.1 a 16.3]</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r>
        <w:t>[36.00-17.1]</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r>
        <w:t>[36.00-17.2]</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r>
        <w:t>[36.00-17.3]</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r>
        <w:t>[36.00-17.4]</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xml:space="preserve">. En pocas palabras: una presunción necesita un hecho de partida admitido o probado. El escrito pide ese hecho. </w:t>
      </w:r>
      <w:r>
        <w:t>[parlamento con Kiko, 7-oct-2026; leído hoy]</w:t>
      </w:r>
    </w:p>
    <w:p>
      <w:r>
        <w:rPr>
          <w:b/>
        </w:rPr>
        <w:t>Modelo para rellenar:</w:t>
      </w:r>
    </w:p>
    <w:p>
      <w:pPr>
        <w:pBdr>
          <w:left w:val="single" w:sz="18" w:space="8" w:color="E2DED6"/>
        </w:pBdr>
        <w:ind w:left="567" w:right="340"/>
      </w:pPr>
      <w:r>
        <w:rPr>
          <w:i/>
          <w:color w:val="6B665E"/>
        </w:rPr>
        <w:t xml:space="preserve">A </w:t>
      </w:r>
      <w:r>
        <w:rPr>
          <w:i/>
          <w:color w:val="6B665E"/>
        </w:rPr>
        <w:t>[Presidencia del Gobierno u órgano al que se dirige]</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 xml:space="preserve">En [lugar], a [fecha]. Firma: </w:t>
      </w:r>
      <w:r>
        <w:rPr>
          <w:i/>
          <w:color w:val="6B665E"/>
        </w:rPr>
        <w:t>[firma]</w:t>
      </w:r>
    </w:p>
    <w:p>
      <w:r>
        <w:t>[36.00-17.5 a 17.9 y 17.17 a 17.20; los siete puntos de 36.00-17.10 a 17.16 pasan a la relación del D.13, con las 894 normas de 2024 en lugar de las 259 (cargo 8); la definición, la constancia, la buena fe y «Lo que haré si no se contesta», decididos con Kiko el 7-oct, sin la fórmula «me reservo todos los derechos» (10.4 y 2.6)]</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 xml:space="preserve">. </w:t>
      </w:r>
      <w:r>
        <w:t>[36.00-17.21]</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r>
        <w:t>[36.00-18.1 a 18.3]</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r>
        <w:t>[36.00-19.1]</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r>
        <w:t>[36.00-19.2]</w:t>
      </w:r>
    </w:p>
    <w:p>
      <w:pPr>
        <w:pStyle w:val="ListBullet"/>
      </w:pPr>
      <w:r>
        <w:rPr>
          <w:b/>
        </w:rPr>
        <w:t>Base legal:</w:t>
      </w:r>
      <w:r>
        <w:t xml:space="preserve"> Ley 39/2015, arts. 20.1, 20.2, 21.1, 21.6 y 53.1.a y b; Ley 29/1998, art. 29 (si la Administración está obligada a una prestación concreta, </w:t>
      </w:r>
      <w:r>
        <w:t>D.5</w:t>
      </w:r>
      <w:r>
        <w:t xml:space="preserve">). </w:t>
      </w:r>
      <w:r>
        <w:t>[36.00-19.3]</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r>
        <w:t>[36.00-19.4]</w:t>
      </w:r>
    </w:p>
    <w:p>
      <w:r>
        <w:rPr>
          <w:b/>
        </w:rPr>
        <w:t>Modelo para rellenar:</w:t>
      </w:r>
    </w:p>
    <w:p>
      <w:pPr>
        <w:pBdr>
          <w:left w:val="single" w:sz="18" w:space="8" w:color="E2DED6"/>
        </w:pBdr>
        <w:ind w:left="567" w:right="340"/>
      </w:pPr>
      <w:r>
        <w:rPr>
          <w:i/>
          <w:color w:val="6B665E"/>
        </w:rPr>
        <w:t xml:space="preserve">A </w:t>
      </w:r>
      <w:r>
        <w:rPr>
          <w:i/>
          <w:color w:val="6B665E"/>
        </w:rPr>
        <w:t>[titular de la unidad administrativa que tramita el expediente]</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 xml:space="preserve">En [lugar], a [fecha]. Firma: </w:t>
      </w:r>
      <w:r>
        <w:rPr>
          <w:i/>
          <w:color w:val="6B665E"/>
        </w:rPr>
        <w:t>[firma]</w:t>
      </w:r>
    </w:p>
    <w:p>
      <w:r>
        <w:t>[36.00-19.5 a 19.16; el siguiente paso, de 36.00-20.2]</w:t>
      </w:r>
    </w:p>
    <w:p>
      <w:r>
        <w:rPr>
          <w:b/>
        </w:rPr>
        <w:t>La respuesta probable de la Administración:</w:t>
      </w:r>
      <w:r>
        <w:t xml:space="preserve"> que el retraso se debe a la carga de trabajo, o seguir en silencio. </w:t>
      </w:r>
      <w:r>
        <w:t>[36.00-19.17]</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r>
        <w:t>[36.00-20.1 a 20.3]</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r>
        <w:t>[36.00-21.1]</w:t>
      </w:r>
    </w:p>
    <w:p>
      <w:pPr>
        <w:pStyle w:val="ListBullet"/>
      </w:pPr>
      <w:r>
        <w:rPr>
          <w:b/>
        </w:rPr>
        <w:t>Cuándo usarlo:</w:t>
      </w:r>
      <w:r>
        <w:t xml:space="preserve"> cuando Hacienda devuelve tarde una cantidad, o devuelve algo cobrado de forma indebida, sin pagar los intereses de demora. </w:t>
      </w:r>
      <w:r>
        <w:t>[36.00-21.2]</w:t>
      </w:r>
    </w:p>
    <w:p>
      <w:pPr>
        <w:pStyle w:val="ListBullet"/>
      </w:pPr>
      <w:r>
        <w:rPr>
          <w:b/>
        </w:rPr>
        <w:t>Base legal:</w:t>
      </w:r>
      <w:r>
        <w:t xml:space="preserve"> Ley 58/2003, General Tributaria, arts. 26, 31.2, 32.2 y 223.1. </w:t>
      </w:r>
      <w:r>
        <w:t>[36.00-21.3]</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r>
        <w:t>[36.00-21.4]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acordó la devolución]</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[36.00-21.5 a 21.12]</w:t>
      </w:r>
    </w:p>
    <w:p>
      <w:r>
        <w:rPr>
          <w:b/>
        </w:rPr>
        <w:t>La respuesta probable de la Administración:</w:t>
      </w:r>
      <w:r>
        <w:t xml:space="preserve"> que no procede porque la demora no es imputable a la Administración</w:t>
      </w:r>
      <w:r>
        <w:t xml:space="preserve"> (Ley General Tributaria, art. 31.2)</w:t>
      </w:r>
      <w:r>
        <w:t xml:space="preserve">, o que los intereses ya se incluyeron. </w:t>
      </w:r>
      <w:r>
        <w:t>[36.00-21.13]</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r>
        <w:t>[36.00-22.1 a 22.3]</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r>
        <w:t>[36.00-23.1]</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r>
        <w:t>[36.00-23.2]</w:t>
      </w:r>
    </w:p>
    <w:p>
      <w:pPr>
        <w:pStyle w:val="ListBullet"/>
      </w:pPr>
      <w:r>
        <w:rPr>
          <w:b/>
        </w:rPr>
        <w:t>Base legal:</w:t>
      </w:r>
      <w:r>
        <w:t xml:space="preserve"> Ley 40/2015, del Régimen Jurídico del Sector Público, arts. 32 y 36.1; Ley 39/2015, arts. 67.1, 67.2 y 91.3. </w:t>
      </w:r>
      <w:r>
        <w:t>[36.00-23.3]</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r>
        <w:t>[36.00-23.4]</w:t>
      </w:r>
    </w:p>
    <w:p>
      <w:r>
        <w:rPr>
          <w:b/>
        </w:rPr>
        <w:t>Modelo para rellenar:</w:t>
      </w:r>
    </w:p>
    <w:p>
      <w:pPr>
        <w:pBdr>
          <w:left w:val="single" w:sz="18" w:space="8" w:color="E2DED6"/>
        </w:pBdr>
        <w:ind w:left="567" w:right="340"/>
      </w:pPr>
      <w:r>
        <w:rPr>
          <w:i/>
          <w:color w:val="6B665E"/>
        </w:rPr>
        <w:t xml:space="preserve">A </w:t>
      </w:r>
      <w:r>
        <w:rPr>
          <w:i/>
          <w:color w:val="6B665E"/>
        </w:rPr>
        <w:t>[Administración responsable del servicio]</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 xml:space="preserve">En [lugar], a [fecha]. Firma: </w:t>
      </w:r>
      <w:r>
        <w:rPr>
          <w:i/>
          <w:color w:val="6B665E"/>
        </w:rPr>
        <w:t>[firma]</w:t>
      </w:r>
    </w:p>
    <w:p>
      <w:r>
        <w:t>[36.00-23.5 a 23.16]</w:t>
      </w:r>
    </w:p>
    <w:p>
      <w:r>
        <w:rPr>
          <w:b/>
        </w:rPr>
        <w:t>La respuesta probable de la Administración:</w:t>
      </w:r>
      <w:r>
        <w:t xml:space="preserve"> que el daño es de los que el ciudadano «tiene el deber jurídico de soportar», que no hay relación de causalidad, que ha prescrito, o el silencio a los seis meses. </w:t>
      </w:r>
      <w:r>
        <w:t>[36.00-23.17]</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r>
        <w:t>[36.00-24.1 a 24.3]</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xml:space="preserve">); aquí no se repite. Cada presunción lleva entre paréntesis el apartado de la obra que la explica; en el escrito que se presente, esos paréntesis se quitan. </w:t>
      </w:r>
      <w:r>
        <w:t>[parlamento con Kiko, 7-oct-2026]</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t>; en los municipios, provincias e islas, la ley les reconoce «La presunción de legitimidad y la ejecutividad de sus actos»</w:t>
      </w:r>
      <w:r>
        <w:t xml:space="preserve"> (Ley 7/1985, de Bases del Régimen Local, art. 4.1.e)</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t>; las denuncias de los agentes de tráfico «tendrán valor probatorio, salvo prueba en contrario»</w:t>
      </w:r>
      <w:r>
        <w:t xml:space="preserve"> (Ley de Tráfico, art. 88)</w:t>
      </w:r>
      <w:r>
        <w:t>; las actas de la inspección de los tributos «hacen prueba de los hechos que motiven su formalización, salvo que se acredite lo contrario»</w:t>
      </w:r>
      <w:r>
        <w:t xml:space="preserve"> (Ley General Tributaria, art. 144.1)</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t>, y en todo procedimiento sancionador, «a la presunción de no existencia de responsabilidad administrativa mientras no se demuestre lo contrario»</w:t>
      </w:r>
      <w:r>
        <w:t xml:space="preserve"> (Ley 39/2015, art. 53.2.b)</w:t>
      </w:r>
      <w:r>
        <w:t>.</w:t>
      </w:r>
    </w:p>
    <w:p>
      <w:pPr>
        <w:pStyle w:val="ListBullet"/>
      </w:pPr>
      <w:r>
        <w:t>«La buena fe se presume siempre, y al que afirma la mala fe de un poseedor corresponde la prueba»</w:t>
      </w:r>
      <w:r>
        <w:t xml:space="preserve"> (Código Civil, art. 434)</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t>.</w:t>
      </w:r>
    </w:p>
    <w:p>
      <w:r>
        <w:t>[presunciones_en_leyes.py; leído hoy en local: Ley 39/2015, Ley 7/1985, Ley General Tributaria, Ley de Tráfico, Código Civil y Ley de Enjuiciamiento Civil; las 894 normas, del cargo 8]</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t>[36.00-17.10 a 17.16, ampliados con el edificio de 5.2 y los cargos 1 a 23, por decisión de Kiko (7-oct); el art. 1.3 del Código Civil, leído hoy; la Ley 40/2015, art. 23, ya en 1.7; Hume, ya en 6.1; Max Weber, sin leer: no entra]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t>; y arrogarse es, en el diccionario jurídico, «Apropiarse indebidamente de honores, títulos o derechos»</w:t>
      </w:r>
      <w:r>
        <w:t xml:space="preserve"> (RAE, Diccionario panhispánico del español jurídico, «arrogarse»)</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xml:space="preserve"> [original: «Presumir. arrogo. as. insolesco. is.» / «Presuncion. arrogantia. ę. insolentia. ę.»]</w:t>
      </w:r>
      <w:r>
        <w:t>. El poder de uno solo vive de que muchos se lo den (</w:t>
      </w:r>
      <w:r>
        <w:t>4.1</w:t>
      </w:r>
      <w:r>
        <w:t xml:space="preserve">); el aliento que articula sus palabras es el que le prestan quienes creen en él y consienten. Por eso esta parte se llama la vacuna: quien sabe en qué se cree sin prueba ya no consiente sin saberlo. </w:t>
      </w:r>
      <w:r>
        <w:t>[Kiko, parlamento del 7-oct-2026; con la fórmula de la edición, glosario 9.1]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D. El botiquín: los doce modelos de escrito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 El botiquín: los doce modelos de escrito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