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drawing>
          <wp:inline xmlns:a="http://schemas.openxmlformats.org/drawingml/2006/main" xmlns:pic="http://schemas.openxmlformats.org/drawingml/2006/picture">
            <wp:extent cx="1620000" cy="1620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20000" cy="1620000"/>
                    </a:xfrm>
                    <a:prstGeom prst="rect"/>
                  </pic:spPr>
                </pic:pic>
              </a:graphicData>
            </a:graphic>
          </wp:inline>
        </w:drawing>
      </w:r>
    </w:p>
    <w:p>
      <w:pPr>
        <w:jc w:val="center"/>
      </w:pPr>
      <w:r>
        <w:rPr>
          <w:rFonts w:ascii="Georgia" w:hAnsi="Georgia" w:eastAsia="Georgia" w:cs="Georgia"/>
          <w:b/>
          <w:color w:val="1F1D1A"/>
          <w:sz w:val="60"/>
        </w:rPr>
        <w:t>Apocalipsis del Sistema</w:t>
      </w:r>
    </w:p>
    <w:p>
      <w:pPr>
        <w:spacing w:after="80"/>
        <w:jc w:val="center"/>
      </w:pPr>
      <w:r>
        <w:rPr>
          <w:rFonts w:ascii="Segoe UI" w:hAnsi="Segoe UI" w:eastAsia="Segoe UI" w:cs="Segoe UI"/>
          <w:b w:val="0"/>
          <w:color w:val="1F1D1A"/>
          <w:sz w:val="28"/>
        </w:rPr>
        <w:t>Edición de lectura</w:t>
      </w:r>
    </w:p>
    <w:p>
      <w:pPr>
        <w:spacing w:after="80"/>
        <w:jc w:val="center"/>
      </w:pPr>
      <w:r>
        <w:rPr>
          <w:rFonts w:ascii="Segoe UI" w:hAnsi="Segoe UI" w:eastAsia="Segoe UI" w:cs="Segoe UI"/>
          <w:b w:val="0"/>
          <w:color w:val="6B665E"/>
          <w:sz w:val="24"/>
        </w:rPr>
        <w:t>Kiko Orozco Rocamora</w:t>
      </w:r>
    </w:p>
    <w:p>
      <w:pPr>
        <w:spacing w:after="80"/>
        <w:jc w:val="center"/>
      </w:pPr>
      <w:r>
        <w:rPr>
          <w:rFonts w:ascii="Segoe UI" w:hAnsi="Segoe UI" w:eastAsia="Segoe UI" w:cs="Segoe UI"/>
          <w:b/>
          <w:color w:val="6B665E"/>
          <w:sz w:val="24"/>
        </w:rPr>
        <w:t>La obra entera: la prueba y lo extenso</w:t>
      </w:r>
    </w:p>
    <w:p>
      <w:pPr>
        <w:spacing w:after="80"/>
        <w:jc w:val="center"/>
      </w:pPr>
      <w:r>
        <w:rPr>
          <w:rFonts w:ascii="Segoe UI" w:hAnsi="Segoe UI" w:eastAsia="Segoe UI" w:cs="Segoe UI"/>
          <w:b w:val="0"/>
          <w:color w:val="6B665E"/>
          <w:sz w:val="18"/>
        </w:rPr>
        <w:t>Versión del 13 de octubre de 2026 · huella SHA-256 de los textos 2a4fcfc34e05630b…</w:t>
      </w:r>
    </w:p>
    <w:p>
      <w:pPr>
        <w:spacing w:before="360"/>
        <w:jc w:val="center"/>
      </w:pPr>
      <w:r>
        <w:rPr>
          <w:rFonts w:ascii="Georgia" w:hAnsi="Georgia" w:eastAsia="Georgia" w:cs="Georgia"/>
          <w:b w:val="0"/>
          <w:i/>
          <w:color w:val="6B665E"/>
          <w:sz w:val="22"/>
        </w:rPr>
        <w:t>«Esta obra no pide fe, la somete a examen».</w:t>
      </w:r>
    </w:p>
    <w:p>
      <w:r>
        <w:br w:type="page"/>
      </w:r>
    </w:p>
    <w:p>
      <w:pPr>
        <w:pStyle w:val="Heading1"/>
      </w:pPr>
      <w:r>
        <w:t>Contenido</w:t>
      </w:r>
    </w:p>
    <w:p>
      <w:pPr>
        <w:spacing w:after="40"/>
      </w:pPr>
      <w:r>
        <w:t>Agradecimientos del autor</w:t>
      </w:r>
    </w:p>
    <w:p>
      <w:pPr>
        <w:spacing w:after="40"/>
      </w:pPr>
      <w:r>
        <w:t>0 Propósito, y cómo se lee esta obra</w:t>
      </w:r>
    </w:p>
    <w:p>
      <w:pPr>
        <w:spacing w:after="40"/>
      </w:pPr>
      <w:r>
        <w:t>1 El orden de las leyes</w:t>
      </w:r>
    </w:p>
    <w:p>
      <w:pPr>
        <w:spacing w:after="40"/>
      </w:pPr>
      <w:r>
        <w:t>2 La persona y los derechos que preceden al Estado</w:t>
      </w:r>
    </w:p>
    <w:p>
      <w:pPr>
        <w:spacing w:after="40"/>
      </w:pPr>
      <w:r>
        <w:t>3 Lo que todas las tradiciones guardaron: el Arca</w:t>
      </w:r>
    </w:p>
    <w:p>
      <w:pPr>
        <w:spacing w:after="40"/>
      </w:pPr>
      <w:r>
        <w:t>4 Discernir: el mal sin cuerpo</w:t>
      </w:r>
    </w:p>
    <w:p>
      <w:pPr>
        <w:spacing w:after="40"/>
      </w:pPr>
      <w:r>
        <w:t>5 Lo que se da por supuesto</w:t>
      </w:r>
    </w:p>
    <w:p>
      <w:pPr>
        <w:spacing w:after="40"/>
      </w:pPr>
      <w:r>
        <w:t>6 Cómo se construyó el Estado</w:t>
      </w:r>
    </w:p>
    <w:p>
      <w:pPr>
        <w:spacing w:after="40"/>
      </w:pPr>
      <w:r>
        <w:t>7 La auditoría: la Constitución frente a los hechos</w:t>
      </w:r>
    </w:p>
    <w:p>
      <w:pPr>
        <w:spacing w:after="40"/>
      </w:pPr>
      <w:r>
        <w:t>8 Los frutos</w:t>
      </w:r>
    </w:p>
    <w:p>
      <w:pPr>
        <w:spacing w:after="40"/>
      </w:pPr>
      <w:r>
        <w:t>9 El dictamen</w:t>
      </w:r>
    </w:p>
    <w:p>
      <w:pPr>
        <w:spacing w:after="40"/>
      </w:pPr>
      <w:r>
        <w:t>10 Las puertas</w:t>
      </w:r>
    </w:p>
    <w:p>
      <w:pPr>
        <w:spacing w:after="40"/>
      </w:pPr>
      <w:r>
        <w:t>11 El juicio popular de la verdad</w:t>
      </w:r>
    </w:p>
    <w:p>
      <w:pPr>
        <w:spacing w:after="40"/>
      </w:pPr>
      <w:r>
        <w:t>Anexo A. La auditoría completa de la Constitución: los 169 artículos</w:t>
      </w:r>
    </w:p>
    <w:p>
      <w:pPr>
        <w:spacing w:after="40"/>
      </w:pPr>
      <w:r>
        <w:t>Anexo B. La carga fiscal en detalle</w:t>
      </w:r>
    </w:p>
    <w:p>
      <w:pPr>
        <w:spacing w:after="40"/>
      </w:pPr>
      <w:r>
        <w:t>Anexo C. Lo que cuesta el Estado: el anexo de datos</w:t>
      </w:r>
    </w:p>
    <w:p>
      <w:pPr>
        <w:spacing w:after="40"/>
      </w:pPr>
      <w:r>
        <w:t>Anexo D. El botiquín: los doce modelos de escrito</w:t>
      </w:r>
    </w:p>
    <w:p>
      <w:pPr>
        <w:spacing w:after="40"/>
      </w:pPr>
      <w:r>
        <w:t>Anexo E. Lo que se afirma sin documento</w:t>
      </w:r>
    </w:p>
    <w:p>
      <w:pPr>
        <w:spacing w:after="40"/>
      </w:pPr>
      <w:r>
        <w:t>Anexo F. El Arca: los textos de cada tradición, con su fuente</w:t>
      </w:r>
    </w:p>
    <w:p>
      <w:pPr>
        <w:spacing w:after="40"/>
      </w:pPr>
      <w:r>
        <w:t>Anexo G. Cómo se hizo esta obra, para repetirla en otro país</w:t>
      </w:r>
    </w:p>
    <w:p>
      <w:pPr>
        <w:spacing w:after="40"/>
      </w:pPr>
      <w:r>
        <w:t>Anexo H. El glosario</w:t>
      </w:r>
    </w:p>
    <w:p>
      <w:pPr>
        <w:spacing w:after="40"/>
      </w:pPr>
      <w:r>
        <w:t>Anexo I. Las fuentes</w:t>
      </w:r>
    </w:p>
    <w:p>
      <w:pPr>
        <w:spacing w:after="40"/>
      </w:pPr>
      <w:r>
        <w:t>Anexo J. La balanza equilibrada: lo que habría sido de ajustarse a lo recibido</w:t>
      </w:r>
    </w:p>
    <w:p>
      <w:r>
        <w:br w:type="page"/>
      </w:r>
    </w:p>
    <w:p>
      <w:pPr>
        <w:pStyle w:val="Heading1"/>
      </w:pPr>
      <w:r>
        <w:t>Agradecimientos del autor</w:t>
      </w:r>
    </w:p>
    <w:p>
      <w:pPr>
        <w:spacing w:after="200"/>
      </w:pPr>
      <w:r>
        <w:rPr>
          <w:rFonts w:ascii="Segoe UI" w:hAnsi="Segoe UI" w:eastAsia="Segoe UI" w:cs="Segoe UI"/>
          <w:color w:val="6B665E"/>
          <w:sz w:val="17"/>
        </w:rPr>
        <w:t>Primera versión: 5 de octubre de 2026 · Última revisión: 5 de octubre de 2026</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ESTADO: APROBADO por Kiko el 5-oct-2026 («sí a las tres»). Cambio de Kiko, el mismo día: «los verdaderos guardianes» pasa a «unos guardianes fieles», «para que sea más inclusivo». Origen: palabras de Kiko del 5-oct-2026 (libreta 72, punto 101; tabla 06, #192). Es testimonio del autor, no dato: va firmado por él, fuera de la numeración, antes del capítulo 0. Los hechos que menciona están leídos en su fuente en el apartado 0.1 (Iglesia ortodoxa Tewahedo de Etiopía, ethiopianorthodox.org; Ethiopian Heritage Fund) [A].</w:t>
      </w:r>
    </w:p>
    <w:p>
      <w:r>
        <w:t>Doy las gracias, de todo corazón, a la Iglesia ortodoxa Tewahedo de Etiopía. Para mí, son unos guardianes fieles del cristianismo: así los veo y así los reconozco. Gracias a ellos se conservan enteros el Libro de Enoc y el de los Jubileos, que solo han llegado completos en su lengua, el ge'ez, y los Evangelios de Garima, escritos hace unos mil quinientos años (</w:t>
      </w:r>
      <w:r>
        <w:t>0.1</w:t>
      </w:r>
      <w:r>
        <w:t>).</w:t>
      </w:r>
    </w:p>
    <w:p>
      <w:r>
        <w:t>Doy las gracias también a todos los que, a lo largo de toda la historia y en todas las religiones, han custodiado con dignidad la palabra de Dios. Cada uno ha conservado una pieza del rompecabezas. Y gracias a Jesús, a su palabra y al resto de los custodios de todas las religiones, se ha podido recuperar.</w:t>
      </w:r>
    </w:p>
    <w:p>
      <w:r>
        <w:t>Y un agradecimiento muy, pero que muy especial, a todos los custodios. Reconozco su gran sacrificio. En especial, a quienes han custodiado el arca de la alianza.</w:t>
      </w:r>
    </w:p>
    <w:p>
      <w:r>
        <w:t>Kiko Orozco Rocamora</w:t>
      </w:r>
    </w:p>
    <w:p>
      <w:r>
        <w:t>[palabras del autor, 5-oct-2026; los hechos, en 0.1]</w:t>
      </w:r>
    </w:p>
    <w:p>
      <w:r>
        <w:br w:type="page"/>
      </w:r>
    </w:p>
    <w:p>
      <w:pPr>
        <w:pStyle w:val="Heading1"/>
      </w:pPr>
      <w:r>
        <w:t>0 Propósito, y cómo se lee esta obra</w:t>
      </w:r>
    </w:p>
    <w:p>
      <w:pPr>
        <w:spacing w:after="200"/>
      </w:pPr>
      <w:r>
        <w:rPr>
          <w:rFonts w:ascii="Segoe UI" w:hAnsi="Segoe UI" w:eastAsia="Segoe UI" w:cs="Segoe UI"/>
          <w:color w:val="6B665E"/>
          <w:sz w:val="17"/>
        </w:rPr>
        <w:t>Primera versión: 5 de octubre de 2026 · Última revisión: 12 de octubre de 2026 · Cambios anotados en el capítulo: 14 · Citas leídas en su fuente: 27</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(Kiko, chat de 08.26, 16:4x, pasado por 08.26 tal cual: «Este punto se tiene que presentar exactamente cómo los daños colaterales de un sistema, basado contra natura. Y aquí vemos los daños colaterales de la naturaleza.»; filas 600 y 604 de 08/01; el sitio, decidido por 08.26; borrador B20 bis de 10.34, b74d1fd): en 0.2, al principio de la «Lectura del autor» que va detrás de la conclusión, una frase con sus palabras: «lo que se pierde en el planeta son los daños colaterales de un sistema basado contra natura (5.2): aquí vemos los daños colaterales de la naturaleza.»; «por eso» pasa a «Por eso», porque ahora abre frase; y su remisión en la trazabilidad del párrafo. La conclusión y sus datos no cambian. Sin dato ni cita nuevos. Ninguna otra palabra cambia. Cambio del 12-oct-2026 (Kiko, chat de 08.26, pasado por 08.26 tal cual a la pregunta del B20: «SI»; fila 599 de 08/01; la decisión de fondo, fila 522: «añadir estado en cada una y si existe algun tipo de deterioro contaminacion etc... [...] con el matiz concuerdo»; borrador B20 de 10.33, verificado por 08.25, fila 591): en 0.2, la «Conclusión, lo que arrojan los datos» pasa a dos puntos: «El sistema», con su frase sin cambiar una palabra, y «El planeta», una línea por cosa (la vida silvestre, los bosques, el mar, el aire, el agua, el suelo, lo que se recupera y la natalidad, que remite a 8.8), cada cifra con lo que mide, sus años y su fuente leída, y al final «estas cifras miden el estado, no quién lo causa»; debajo, un {breve} y, solo en el nivel completo, la tabla de 25 filas (lo que se pierde, lo que se gana, el estado y el deterioro), con su línea de fuente. Leído hoy en su original: los diecisiete documentos del lote frutos_del_planeta_12oct de 10 FUENTES LEIDAS (comprobar_B20.py, 66 de 66 frases y 3 cálculos). Sin cita literal nueva. Ninguna otra palabra cambia. Cambio del 12-oct-2026 (Kiko, chat de 08.21, 11:0x, pasado por 08.21 tal cual, a «¿Entran así la pesa en 0.5 y la tabla de J.8?»: «si concuerdo»; la pesa calibrada, a las 10:5x: «concuerdo» y «si concuerdo»; parlamento de la balanza, 08/22, apartados 10 y 11): en 0.5, «La idea» lleva detrás la frase de la pesa que eligió Kiko («La pesa: ¿roca o arena? Y, por sus frutos, ¿sirve más allá de sí, se sirve, o no cuida ni cumple? Vale para quien pesa»), con «(lectura del autor)» al final; y en el cuerpo, detrás de «La vara» y antes de «La convergencia», dos bloques (borrador B17): «La balanza» (la vara, la pesa justa, el centro y el dial, un solo instrumento con cuatro nombres, con remisión a J) y «Lectura del autor: la pesa» (las palabras del autor tal cual y lo que significan en este libro; 0.4 no cambia). Sin dato ni cita nueva. Ninguna otra palabra cambia. Cambio del 12-oct-2026 (Kiko, chat de 08.19, 08:5x, pasado por 08.19 tal cual, a «¿entran así los tres textos, el de 0.2, el llamamiento y estas líneas de cierre?»: «si entran»; parlamento del hilo de la poda, 08/20, con la forma que Kiko decidió a las 08:0x): en 0.2, detrás de «Adónde lleva» y antes de «Lo que no hace», el propósito en el fondo (borrador B15): una lectura del autor (la poda de las ramas secas del árbol del conocimiento, el método, el árbol de la vida), una conclusión con las palabras de 9.1 (la causa de disolución; más años de vida, más normas y más trámites para obtener lo mismo) y otra lectura del autor (por eso la poda empieza por el Estado; el capitán y el timón, siempre por las puertas de la ley; el aliento de vida; el mapa de J.1). «No sostiene la vida» va como lectura y no como dato: 8.8 y 8.10 no afirman ninguna causa. Ninguna otra palabra cambia. Cambio del 12-oct-2026 (B13, punto 7 en otra forma; decisión de 08.18 sobre la frase que Kiko aprobó en el chat de 08.18, 06:3x: «si»; la vio 10.29): en 0.5, «lo dicen tradiciones que no se leyeron entre sí» pasa a «sin contacto documentado entre sí». Ninguna otra palabra cambia. Cambio del 12-oct-2026 (Kiko, chat de 08.18, 06:3x, pasado por 08.18 tal cual, a «¿das el sí a los nueve cambios de 07.6?»: «si»; borrador B13, el barrido de los cuantificadores vagos en las frases con dato): en 0.5, «La esclavitud estuvo en casi todos los pueblos» pasa a «La esclavitud estuvo muy extendida»: ninguna fuente de la obra da ese «casi todos». Ninguna otra palabra cambia. Cambio del 9-oct-2026 (Kiko: «Sí, ponlo en 1.5»; fila 29 de 04p): en 0.5, en «La condición», una frase tras el caso de la esclavitud que añade el robo hacia fuera de unos germanos y la mutilación genital femenina como casos que no pasan la vara y remite a 1.5. Cambio del 9-oct-2026 (Kiko: «si» al borrador F30; fila 30 de 04p, la regla de oro como apoyo del criterio de reciprocidad): en 0.5, tras «Lo dicen todas las tradiciones», un bloque nuevo, «La regla de oro»: cuatro ejemplos a la vista (Israel, el Evangelio, China, India) y cinco en el nivel completo (budismo, jainismo, Persia, Grecia, islam), con «coinciden» y no «convergen»; sin el taoísmo (forma actual tardía) ni Egipto (no se halló; el Campesino elocuente, sin leer en su fuente). «La idea» de 0.5 no cambia. Cambio del 9-oct-2026 (Kiko: «Sí al M6 con las tres recomendaciones» en el chat de 08 y «sí al M6, sí a P-11.6» en el de 07; borrador M6 de la carpeta 07; 04p filas 25, 27 y 35): en 0.6, una viñeta nueva al final de la lista: «El mapa del árbol», la segunda puerta de entrada de la obra (se abre desde el índice general). No cambia ningún dato. Cambio del 9-oct-2026 (Kiko: «Sí al M4 con las tres recomendaciones» en el chat de 08 y «Sí al M4, aplícalo» en el de 07; borrador M4 de la carpeta 07; 07/05 y fila 26 de 04p): en 0.3, «Tres maneras de leer» pasa a «Tres puertas, seis escalones» (lo que concluye, lo que lo sostiene y lo que lo confirma), con una «Lectura del autor» sobre Tomás (Jn 20:25, 27 y 29, leídos en la Reina-Valera 1909 local); y «En los tres niveles» pasa a «En todos los escalones». El lector se rehace con las tres puertas, las pestañas por apartado y el plegado. Cambio del 9-oct-2026 (Kiko: «Sí a todo el B3 y el B4, aplícalos» y «SÍ A TODO, LO PARLAMENTADO EN ESTE CONSENSO»; fila 1 de 04p; borrador B4 de la carpeta 07): en 0.6, la lista de anexos pasa de «A a I» a «A a J», con una viñeta nueva: la balanza equilibrada, el método con que se mide hacia dónde apunta cada cosa, con lo que las tradiciones guardaron como centro. Cambio del 9-oct-2026 (Kiko: «Sí al B1, aplícalo en 06»; borrador B1 de la carpeta 07; filas 3, 4 y 36 de 04p y definición de «ley escrita»): en 0.4, un párrafo nuevo «La presunción, en la ley»: la ley exige un hecho de partida admitido o probado (Ley de Enjuiciamiento Civil, arts. 385.1 y 386.1, leída en el BOE), y la obra toma esa regla como vara. No cambia la definición de la presunción. Cambio del 8-oct-2026 (lectura de la dirección de la obra, aviso PASO 4.8): en 0.2, «Como dice el Pórtico» pasa a «Se resume así»: el Pórtico era una pieza de la Biblioteca que el lector todavía no conoce (anclaje). La cita no cambia. Cambio del 8-oct-2026 (parlamento sobre los mitos; Kiko: «sí a las tres, con tus recomendaciones» y el añadido del método de medir): 0.3 («lo que no se ha podido comprobar no entra») pasa a «no entra como hecho» y explica la etiqueta «presunción»; 0.4 la nombra; 0.6 llama al anexo E «lo que se afirma sin documento». ESTADO: APROBADO por Kiko el 5-oct-2026 («sí a las tres»). Su material está marcado en el inventario (04 CAPITULOS/marcas/marcas del capitulo 0.txt). Cualquier cambio posterior, con su aprobación. Trazabilidad: al final de cada párrafo, entre corchetes, de dónde sale (código del inventario de procedencia, entrada del glosario único o del archivo del Arca). Al aprobarse, esas entradas se marcan [x] en el inventario. Anclaje comprobado con mapa_anclaje.py: ningún concepto de capítulos posteriores se usa antes del mapa (0.6), salvo «orden natural» dentro de la cita literal del autor (0.2). Conceptos que ancla este capítulo: la revelación (el nombre); la Biblioteca y la edición; la constancia escrita; el Registro de los frutos; el juicio popular de la verdad; la metamorfosis del Estado; las capas (hechos, «Conclusión, lo que arrojan los datos», «Lectura del autor», «La mejor defensa del Estado y los contrapuntos», «Límite honesto de la prueba»); la dirección de los hechos; las dos fórmulas de la lectura del autor (el padre de la mentira; lo que clama al cielo); la escala verdad, presunción, falso y mentira; por sus frutos; la vara; la convergencia y la pata coja; los tres niveles de lectura. TRES NIVELES (Kiko, 5-oct-2026, «sí a las dos»; libreta 72, puntos 112 y 113): pasado al formato de tres niveles sin cambiar ningún dato ni ninguna cita. Añadido: «En pocas palabras», «La idea» de cada apartado, «Para recordar» y, en 0.3, «Tres maneras de leer». En 0.2, «cada párrafo dice de qué pieza sale» pasa a «en el nivel completo». Marcas: {fuente: …} niveles 2 y 3; {original: …} nivel 3; [trazabilidad] nivel 3; {completo} solo nivel 3; {breve} solo niveles 1 y 2.</w:t>
      </w:r>
    </w:p>
    <w:p>
      <w:pPr>
        <w:pBdr>
          <w:left w:val="single" w:sz="24" w:space="6" w:color="E2DED6"/>
        </w:pBdr>
        <w:shd w:val="clear" w:color="auto" w:fill="F1EEE8"/>
        <w:spacing w:before="80" w:after="160"/>
        <w:ind w:left="142" w:right="142"/>
      </w:pPr>
      <w:r>
        <w:rPr>
          <w:b/>
        </w:rPr>
        <w:t>En pocas palabras:</w:t>
      </w:r>
    </w:p>
    <w:p>
      <w:pPr>
        <w:pStyle w:val="ListBullet"/>
      </w:pPr>
      <w:r>
        <w:t>Esta obra revela cómo funciona el sistema, que está a la vista de todos, pero escondido en su complejidad, y lo mide con la ley que todos los pueblos guardaron por encima de toda ley.</w:t>
      </w:r>
    </w:p>
    <w:p>
      <w:pPr>
        <w:pStyle w:val="ListBullet"/>
      </w:pPr>
      <w:r>
        <w:t>Cada afirmación lleva su fuente. El lector elige cuánto quiere ver de ella.</w:t>
      </w:r>
    </w:p>
    <w:p>
      <w:pPr>
        <w:pStyle w:val="ListBullet"/>
      </w:pPr>
      <w:r>
        <w:t>Separa siempre el dato de la interpretación, y da al Estado su mejor defensa, en el juicio.</w:t>
      </w:r>
    </w:p>
    <w:p>
      <w:pPr>
        <w:pStyle w:val="ListBullet"/>
      </w:pPr>
      <w:r>
        <w:t>Mide en dos pasos, la verdad de los hechos y sus frutos, y solo tiene por sólido lo que coincide en tradiciones independientes.</w:t>
      </w:r>
    </w:p>
    <w:p>
      <w:pPr>
        <w:pStyle w:val="ListBullet"/>
      </w:pPr>
      <w:r>
        <w:t>Lleva a cuatro puertas, todas dentro de la ley: la constancia escrita, el Registro de los frutos, el juicio popular de la verdad y la metamorfosis del Estado.</w:t>
      </w:r>
    </w:p>
    <w:p>
      <w:pPr>
        <w:pStyle w:val="Heading2"/>
      </w:pPr>
      <w:r>
        <w:t>0.1 Lo que la humanidad ha guardado con más celo</w:t>
      </w:r>
    </w:p>
    <w:p>
      <w:pPr>
        <w:pBdr>
          <w:left w:val="single" w:sz="24" w:space="6" w:color="E2DED6"/>
        </w:pBdr>
        <w:shd w:val="clear" w:color="auto" w:fill="F1EEE8"/>
        <w:spacing w:before="80" w:after="160"/>
        <w:ind w:left="142" w:right="142"/>
      </w:pPr>
      <w:r>
        <w:rPr>
          <w:b/>
        </w:rPr>
        <w:t>La idea: lo que los pueblos guardaron con más celo muestra lo que tenían por ley por encima de toda ley, y en lo esencial coincide.</w:t>
      </w:r>
    </w:p>
    <w:p>
      <w:r>
        <w:t>La humanidad guarda con más celo lo que más valora:</w:t>
      </w:r>
    </w:p>
    <w:p>
      <w:pPr>
        <w:pStyle w:val="ListBullet"/>
      </w:pPr>
      <w:r>
        <w:rPr>
          <w:b/>
        </w:rPr>
        <w:t>El libro de Isaías</w:t>
      </w:r>
      <w:r>
        <w:t xml:space="preserve"> se copió con tanto cuidado que el rollo hallado en Qumrán, de hace más de dos mil años, coincide en general con los códices que se copiaban mil años después</w:t>
      </w:r>
      <w:r>
        <w:t xml:space="preserve"> (Museo de Israel, «The Digital Dead Sea Scrolls»)</w:t>
      </w:r>
      <w:r>
        <w:t>.</w:t>
      </w:r>
    </w:p>
    <w:p>
      <w:pPr>
        <w:pStyle w:val="ListBullet"/>
      </w:pPr>
      <w:r>
        <w:rPr>
          <w:b/>
        </w:rPr>
        <w:t>Los Vedas</w:t>
      </w:r>
      <w:r>
        <w:t xml:space="preserve"> se han transmitido de memoria durante miles de años, cuidando que no cambie el sonido de cada palabra</w:t>
      </w:r>
      <w:r>
        <w:t xml:space="preserve"> (UNESCO, ficha de la tradición del canto védico)</w:t>
      </w:r>
      <w:r>
        <w:t>.</w:t>
      </w:r>
    </w:p>
    <w:p>
      <w:pPr>
        <w:pStyle w:val="ListBullet"/>
      </w:pPr>
      <w:r>
        <w:rPr>
          <w:b/>
        </w:rPr>
        <w:t>Los Evangelios de Garima,</w:t>
      </w:r>
      <w:r>
        <w:t xml:space="preserve"> escritos hace unos mil quinientos años, todavía se veneran en su monasterio de Etiopía</w:t>
      </w:r>
      <w:r>
        <w:t xml:space="preserve"> (Ethiopian Heritage Fund)</w:t>
      </w:r>
      <w:r>
        <w:t>.</w:t>
      </w:r>
    </w:p>
    <w:p>
      <w:r>
        <w:t xml:space="preserve">Ese celo es un testimonio: muestra lo que los pueblos han tenido por ley por encima de toda ley. Da igual el nombre que cada pueblo dé a Dios: lo que todos guardaron coincide en lo esencial. </w:t>
      </w:r>
      <w:r>
        <w:t>[00.0-1.1, corregido: véase la nota al pie del apartado]</w:t>
      </w:r>
    </w:p>
    <w:p>
      <w:r>
        <w:t>Los hechos que lo sostienen, leídos en su fuente original:</w:t>
      </w:r>
    </w:p>
    <w:p>
      <w:pPr>
        <w:pStyle w:val="ListBullet"/>
      </w:pPr>
      <w:r>
        <w:rPr>
          <w:b/>
        </w:rPr>
        <w:t>El gran rollo de Isaías.</w:t>
      </w:r>
      <w:r>
        <w:t xml:space="preserve"> </w:t>
      </w:r>
    </w:p>
    <w:p>
      <w:pPr>
        <w:pStyle w:val="ListBullet2"/>
      </w:pPr>
      <w:r>
        <w:t>Se halló en Qumrán en 1947 y es de hacia el año 125 antes de Cristo, «some one thousand years older than the oldest manuscripts of the Hebrew Bible known to us before the scrolls' discovery» (unos mil años más antiguo que los manuscritos de la Biblia hebrea más antiguos que se conocían antes de su descubrimiento).</w:t>
      </w:r>
    </w:p>
    <w:p>
      <w:pPr>
        <w:pStyle w:val="ListBullet2"/>
      </w:pPr>
      <w:r>
        <w:t>Su texto coincide en general con el de los códices medievales, como el de Alepo, «but it contains many variant readings, alternative spellings, scribal errors, and corrections» (pero tiene muchas variantes de lectura, grafías distintas, errores de copista y correcciones).</w:t>
      </w:r>
    </w:p>
    <w:p>
      <w:pPr>
        <w:pStyle w:val="ListBullet2"/>
      </w:pPr>
      <w:r>
        <w:t>Fuente: Museo de Israel, «The Digital Dead Sea Scrolls» (Los manuscritos del mar Muerto, en digital).</w:t>
      </w:r>
    </w:p>
    <w:p>
      <w:pPr>
        <w:pStyle w:val="ListBullet"/>
      </w:pPr>
      <w:r>
        <w:rPr>
          <w:b/>
        </w:rPr>
        <w:t>Los Vedas.</w:t>
      </w:r>
      <w:r>
        <w:t xml:space="preserve"> </w:t>
      </w:r>
    </w:p>
    <w:p>
      <w:pPr>
        <w:pStyle w:val="ListBullet2"/>
      </w:pPr>
      <w:r>
        <w:t>Se transmiten de memoria. Para que «the sound of each word remains unaltered» (el sonido de cada palabra no cambie), se enseñan desde la niñez técnicas de recitación muy complejas.</w:t>
      </w:r>
    </w:p>
    <w:p>
      <w:pPr>
        <w:pStyle w:val="ListBullet2"/>
      </w:pPr>
      <w:r>
        <w:t>La UNESCO proclamó esta tradición en 2003, y en 2008 la inscribió en la Lista Representativa del Patrimonio Cultural Inmaterial de la Humanidad.</w:t>
      </w:r>
    </w:p>
    <w:p>
      <w:pPr>
        <w:pStyle w:val="ListBullet2"/>
      </w:pPr>
      <w:r>
        <w:t>Fuente: UNESCO, ficha de la tradición del canto védico.</w:t>
      </w:r>
    </w:p>
    <w:p>
      <w:pPr>
        <w:pStyle w:val="ListBullet"/>
      </w:pPr>
      <w:r>
        <w:rPr>
          <w:b/>
        </w:rPr>
        <w:t>Los Evangelios de Garima.</w:t>
      </w:r>
      <w:r>
        <w:t xml:space="preserve"> </w:t>
      </w:r>
    </w:p>
    <w:p>
      <w:pPr>
        <w:pStyle w:val="ListBullet2"/>
      </w:pPr>
      <w:r>
        <w:t>El monasterio de Abuna Garima, en Etiopía, conserva dos libros de los evangelios que los cristianos del lugar todavía veneran como reliquias.</w:t>
      </w:r>
    </w:p>
    <w:p>
      <w:pPr>
        <w:pStyle w:val="ListBullet2"/>
      </w:pPr>
      <w:r>
        <w:t>Se creían de hacia el año 1000. Dos análisis de radiocarbono los sitúan entre finales del siglo V y principios del VII: el segundo dio los años 390 a 570 para Garima 2, y 550 a 660 para Garima 1.</w:t>
      </w:r>
    </w:p>
    <w:p>
      <w:pPr>
        <w:pStyle w:val="ListBullet2"/>
      </w:pPr>
      <w:r>
        <w:t>Están «among the very earliest extant manuscripts illustrated with Christian images» (entre los manuscritos más antiguos que se conservan con imágenes cristianas).</w:t>
      </w:r>
    </w:p>
    <w:p>
      <w:pPr>
        <w:pStyle w:val="ListBullet2"/>
      </w:pPr>
      <w:r>
        <w:t>Fuente: Ethiopian Heritage Fund (Fondo del Patrimonio Etíope), la entidad que encargó los análisis.</w:t>
      </w:r>
    </w:p>
    <w:p>
      <w:pPr>
        <w:pStyle w:val="ListBullet"/>
      </w:pPr>
      <w:r>
        <w:rPr>
          <w:b/>
        </w:rPr>
        <w:t>El canon de la Iglesia etíope.</w:t>
      </w:r>
      <w:r>
        <w:t xml:space="preserve"> </w:t>
      </w:r>
    </w:p>
    <w:p>
      <w:pPr>
        <w:pStyle w:val="ListBullet2"/>
      </w:pPr>
      <w:r>
        <w:t>Tiene 81 libros: «46 books of the Old Testament and 35 books of the New Testament» (46 del Antiguo Testamento y 35 del Nuevo). Entre ellos están Enoc y Jubileos.</w:t>
      </w:r>
    </w:p>
    <w:p>
      <w:pPr>
        <w:pStyle w:val="ListBullet2"/>
      </w:pPr>
      <w:r>
        <w:t>Del segundo dice la propia Iglesia que «has also been preserved entire only in the Ethiopic version» (también se ha conservado entero solo en la versión etíope). El «también» se refiere a Enoc, del que acaba de hablar.</w:t>
      </w:r>
    </w:p>
    <w:p>
      <w:pPr>
        <w:pStyle w:val="ListBullet2"/>
      </w:pPr>
      <w:r>
        <w:t>Fuente: Iglesia ortodoxa Tewahedo de Etiopía, ethiopianorthodox.org.</w:t>
      </w:r>
    </w:p>
    <w:p>
      <w:r>
        <w:t xml:space="preserve">[00.0-1.2; 00.0-1.5. Fuentes originales leídas el 5-oct-2026. </w:t>
      </w:r>
      <w:r>
        <w:rPr>
          <w:i/>
        </w:rPr>
        <w:t>Nota de trazabilidad:</w:t>
      </w:r>
      <w:r>
        <w:t xml:space="preserve"> corregido respecto al Pórtico I de la Biblioteca. Garima se creía de hacia el año 1000, no del 1100, y sus análisis dan 390-660, no 330-650 ni «desde el siglo IV». Las diferencias del rollo de Isaías no son «sobre todo de ortografía», sino también variantes de lectura, errores y correcciones. De la UNESCO consta el año, 2003, pero no el día. Y «ninguna ley humana…» se sustituye por los hechos, que sí se pueden comprobar.]</w:t>
      </w:r>
    </w:p>
    <w:p>
      <w:pPr>
        <w:pStyle w:val="Heading2"/>
      </w:pPr>
      <w:r>
        <w:t>0.2 Adónde lleva esta obra</w:t>
      </w:r>
    </w:p>
    <w:p>
      <w:pPr>
        <w:pBdr>
          <w:left w:val="single" w:sz="24" w:space="6" w:color="E2DED6"/>
        </w:pBdr>
        <w:shd w:val="clear" w:color="auto" w:fill="F1EEE8"/>
        <w:spacing w:before="80" w:after="160"/>
        <w:ind w:left="142" w:right="142"/>
      </w:pPr>
      <w:r>
        <w:rPr>
          <w:b/>
        </w:rPr>
        <w:t>La idea: esta obra revela cómo funciona el sistema, lo mide con la ley que todos los pueblos guardaron y lleva a cuatro puertas, todas dentro de la ley.</w:t>
      </w:r>
    </w:p>
    <w:p>
      <w:r>
        <w:rPr>
          <w:b/>
        </w:rPr>
        <w:t>El nombre.</w:t>
      </w:r>
      <w:r>
        <w:t xml:space="preserve"> «Apocalipsis» viene del griego </w:t>
      </w:r>
      <w:r>
        <w:rPr>
          <w:i/>
        </w:rPr>
        <w:t>apokálypsis</w:t>
      </w:r>
      <w:r>
        <w:t>, «revelación». Y revelar es «descubrir o manifestar lo ignorado o secreto»</w:t>
      </w:r>
      <w:r>
        <w:t xml:space="preserve"> (Diccionario de la lengua española)</w:t>
      </w:r>
      <w:r>
        <w:br/>
      </w:r>
      <w:r>
        <w:rPr>
          <w:b/>
        </w:rPr>
        <w:t>leída en su fuente · Diccionario de la lengua española</w:t>
      </w:r>
      <w:r>
        <w:br/>
      </w:r>
      <w:r>
        <w:rPr>
          <w:b/>
        </w:rPr>
        <w:t>Archivo leído:</w:t>
      </w:r>
      <w:r>
        <w:t xml:space="preserve"> CENDOJ_STS_1000-2025_Sala2_09-12-2025_ROJ_STS_5365-2025_causa_especial_20557-2024.pdf (c9c\CENDOJ_STS_1000-2025_Sala2_09-12-2025_ROJ_STS_5365-2025_causa_especial_20557-2024.pdf) · contraste del archivo de pasajes: ✔</w:t>
      </w:r>
      <w:r>
        <w:br/>
      </w:r>
      <w:r>
        <w:rPr>
          <w:b/>
        </w:rPr>
        <w:t>Lugar:</w:t>
      </w:r>
      <w:r>
        <w:t xml:space="preserve"> Diccionario de la lengua española</w:t>
      </w:r>
      <w:r>
        <w:br/>
      </w:r>
      <w:r>
        <w:rPr>
          <w:b/>
        </w:rPr>
        <w:t>Tal como está en la fuente:</w:t>
      </w:r>
      <w:r>
        <w:t xml:space="preserve"> descubrir o manifestar lo ignorado o secreto</w:t>
      </w:r>
      <w:r>
        <w:t xml:space="preserve">. La obra usa la palabra en ese sentido: descubrir cómo funciona el sistema, que está a la vista de todos, pero escondido en su complejidad. No anuncia el fin del mundo. </w:t>
      </w:r>
      <w:r>
        <w:t>[glosario 1.1]</w:t>
      </w:r>
    </w:p>
    <w:p>
      <w:r>
        <w:rPr>
          <w:b/>
        </w:rPr>
        <w:t>Qué hace.</w:t>
      </w:r>
      <w:r>
        <w:t xml:space="preserve"> Esta obra mide el sistema, es decir, el Estado y las normas con que gobierna, tomando España como caso. Lo mide con la ley que todos los pueblos guardaron por encima de toda ley. Y lo hace con hechos comprobables, cada uno con su fuente. Cada afirmación remite al lugar donde está su prueba. </w:t>
      </w:r>
      <w:r>
        <w:t>[00.0-0.0.2; 00.00-1.3; título de la 14.00]</w:t>
      </w:r>
    </w:p>
    <w:p>
      <w:r>
        <w:rPr>
          <w:b/>
        </w:rPr>
        <w:t>Por qué.</w:t>
      </w:r>
      <w:r>
        <w:t xml:space="preserve"> En palabras del autor: «No lo he inventado yo; tan solo lo pretendo presentar a mis hermanos en orden, ya que nadie lo hace. Me veo en la obligación moral de ordenarlo yo mismo, para que todo quede desvelado y recuperar lo que es del orden natural». </w:t>
      </w:r>
      <w:r>
        <w:t>[glosario 0, palabras de Kiko del 5-oct]</w:t>
      </w:r>
    </w:p>
    <w:p>
      <w:r>
        <w:rPr>
          <w:b/>
        </w:rPr>
        <w:t>El autor.</w:t>
      </w:r>
      <w:r>
        <w:t xml:space="preserve"> Kiko Orozco Rocamora. El autor firma el orden y la lectura, no las verdades, que son de todos. Se resume así: «El dictamen es del autor; los hechos son de todos». El lector tiene delante las mismas pruebas, con su fuente y el lugar donde comprobarlas, para sacar sus propias conclusiones: «esta obra no pide fe, la somete a examen». </w:t>
      </w:r>
      <w:r>
        <w:t>[glosario 1.1 y 1.4; 00.0-0.0.4]</w:t>
      </w:r>
    </w:p>
    <w:p>
      <w:r>
        <w:rPr>
          <w:b/>
        </w:rPr>
        <w:t>Adónde lleva.</w:t>
      </w:r>
      <w:r>
        <w:t xml:space="preserve"> El camino de la obra termina en cuatro cosas. Aquí se dicen en breve; cada una se explica entera al final del libro.</w:t>
      </w:r>
    </w:p>
    <w:p>
      <w:pPr>
        <w:pStyle w:val="ListBullet"/>
      </w:pPr>
      <w:r>
        <w:rPr>
          <w:b/>
        </w:rPr>
        <w:t>La constancia escrita:</w:t>
      </w:r>
      <w:r>
        <w:t xml:space="preserve"> dejar por escrito lo que se pide y lo que se responde, o el silencio. Quien deja constancia ya no puede ser ignorado sin que quede registrado (se explica en </w:t>
      </w:r>
      <w:r>
        <w:t>10.4</w:t>
      </w:r>
      <w:r>
        <w:t xml:space="preserve">). </w:t>
      </w:r>
      <w:r>
        <w:t>[00.0-10.11; glosario 8.5]</w:t>
      </w:r>
    </w:p>
    <w:p>
      <w:pPr>
        <w:pStyle w:val="ListBullet"/>
      </w:pPr>
      <w:r>
        <w:rPr>
          <w:b/>
        </w:rPr>
        <w:t>El Registro de los frutos:</w:t>
      </w:r>
      <w:r>
        <w:t xml:space="preserve"> el archivo público que la obra propone. Cada ciudadano dejará constancia de sus escritos al Estado y de la respuesta o el silencio, con un código para que cualquiera lo compruebe. Sus datos personales solo se publicarán si lo autoriza. Hoy es una propuesta, no un archivo en marcha (se explica en </w:t>
      </w:r>
      <w:r>
        <w:t>10.8</w:t>
      </w:r>
      <w:r>
        <w:t xml:space="preserve">). </w:t>
      </w:r>
      <w:r>
        <w:t>[00.0-10.12; 00.00-10.4; glosario 8.6]</w:t>
      </w:r>
    </w:p>
    <w:p>
      <w:pPr>
        <w:pStyle w:val="ListBullet"/>
      </w:pPr>
      <w:r>
        <w:rPr>
          <w:b/>
        </w:rPr>
        <w:t>El juicio popular de la verdad:</w:t>
      </w:r>
      <w:r>
        <w:t xml:space="preserve"> un tribunal de opinión, sin carácter oficial y sin fuerza legal, y que lo declara desde el principio. Un jurado elegido por sorteo juzga al Estado acusación por acusación, institución por institución, y nunca a personas con nombre. Su fuerza es la verdad documentada, a la vista de todos (se explica en el </w:t>
      </w:r>
      <w:r>
        <w:t>capítulo 11</w:t>
      </w:r>
      <w:r>
        <w:t xml:space="preserve">). </w:t>
      </w:r>
      <w:r>
        <w:t>[00.0-10.13; 00.00-10.5; glosario 8.10]</w:t>
      </w:r>
    </w:p>
    <w:p>
      <w:pPr>
        <w:pStyle w:val="ListBullet"/>
      </w:pPr>
      <w:r>
        <w:rPr>
          <w:b/>
        </w:rPr>
        <w:t>La metamorfosis del Estado:</w:t>
      </w:r>
      <w:r>
        <w:t xml:space="preserve"> no se reclama un Estado nuevo. La obra invita a que el Estado que tenemos se alinee con la ley que está por encima de la suya y sirva al bien común, porque solo así recupera su legitimidad (se explica en </w:t>
      </w:r>
      <w:r>
        <w:t>10.2</w:t>
      </w:r>
      <w:r>
        <w:t xml:space="preserve">). </w:t>
      </w:r>
      <w:r>
        <w:t>[00.0-10.15; 00.0-7.3; glosario 8.1]</w:t>
      </w:r>
    </w:p>
    <w:p>
      <w:r>
        <w:rPr>
          <w:b/>
        </w:rPr>
        <w:t>Lectura del autor: el propósito en el fondo.</w:t>
      </w:r>
      <w:r>
        <w:t xml:space="preserve"> Esta obra poda las ramas secas del árbol del conocimiento, las que nos alejan del árbol de la vida: comprueba cada afirmación en su fuente y la juzga por sus frutos. Lo hace con el Estado, el primer campo, para que cualquiera pueda repetirlo en el suyo. Una rama seca es la que ya no bebe de la raíz, de lo recibido (</w:t>
      </w:r>
      <w:r>
        <w:t>J.1</w:t>
      </w:r>
      <w:r>
        <w:t>), y se conoce por sus frutos (</w:t>
      </w:r>
      <w:r>
        <w:t>0.5</w:t>
      </w:r>
      <w:r>
        <w:t>); podar no es talar (</w:t>
      </w:r>
      <w:r>
        <w:t>10.2</w:t>
      </w:r>
      <w:r>
        <w:t>). Y el árbol de la vida es, en palabras del autor, «aquello que fomenta la vida».</w:t>
      </w:r>
    </w:p>
    <w:p>
      <w:r>
        <w:rPr>
          <w:b/>
        </w:rPr>
        <w:t>Conclusión, lo que arrojan los datos:</w:t>
      </w:r>
    </w:p>
    <w:p>
      <w:pPr>
        <w:pStyle w:val="ListBullet"/>
      </w:pPr>
      <w:r>
        <w:rPr>
          <w:b/>
        </w:rPr>
        <w:t>El sistema:</w:t>
      </w:r>
      <w:r>
        <w:t xml:space="preserve"> medido con la regla que aplica a cualquier empresa, el sistema estaría en causa de disolución, y cada generación necesita más años de vida, más normas y más trámites para obtener lo mismo (</w:t>
      </w:r>
      <w:r>
        <w:t>9.1</w:t>
      </w:r>
      <w:r>
        <w:t>).</w:t>
      </w:r>
    </w:p>
    <w:p>
      <w:pPr>
        <w:pStyle w:val="ListBullet"/>
      </w:pPr>
      <w:r>
        <w:rPr>
          <w:b/>
        </w:rPr>
        <w:t>El planeta:</w:t>
      </w:r>
      <w:r>
        <w:t xml:space="preserve"> medido con fuentes oficiales, cada cifra con lo que mide y sus años: </w:t>
      </w:r>
    </w:p>
    <w:p>
      <w:pPr>
        <w:pStyle w:val="ListBullet2"/>
      </w:pPr>
      <w:r>
        <w:rPr>
          <w:b/>
        </w:rPr>
        <w:t>la vida silvestre:</w:t>
      </w:r>
      <w:r>
        <w:t xml:space="preserve"> en el mundo, el tamaño medio de las poblaciones de vertebrados que se siguen, un 73,2 % menos de 1970 a 2022 (no es el número de animales, y la mitad de esas poblaciones está estable o sube); en Europa y Asia Central, sin el mar, un 23 % menos (el informe de 2024 daba un 35 % hasta 2020)</w:t>
      </w:r>
      <w:r>
        <w:t xml:space="preserve"> (WWF y ZSL, Informe Planeta Vivo 2026 y 2024)</w:t>
      </w:r>
      <w:r>
        <w:t>; en España, 1.855 especies amenazadas y el 74 % de los tipos de hábitat en estado desfavorable (2013-2018), cifra que sube sobre todo porque hay menos evaluaciones con resultado desconocido</w:t>
      </w:r>
      <w:r>
        <w:t xml:space="preserve"> (MITECO, informes del Patrimonio Natural y de la Biodiversidad 2024 y 2020)</w:t>
      </w:r>
      <w:r>
        <w:t>;</w:t>
      </w:r>
    </w:p>
    <w:p>
      <w:pPr>
        <w:pStyle w:val="ListBullet2"/>
      </w:pPr>
      <w:r>
        <w:rPr>
          <w:b/>
        </w:rPr>
        <w:t>los bosques:</w:t>
      </w:r>
      <w:r>
        <w:t xml:space="preserve"> el del mundo mengua, cada vez más despacio; el de España crece un 37,6 % de 1990 a 2025 (cálculo de la edición), sobre todo el que se regenera solo</w:t>
      </w:r>
      <w:r>
        <w:t xml:space="preserve"> (FAO, Evaluación de los recursos forestales mundiales 2025)</w:t>
      </w:r>
      <w:r>
        <w:t>, pero en 2024 casi una cuarta parte de sus árboles muestreados había perdido más de la cuarta parte de sus hojas, sobre todo por la sequía</w:t>
      </w:r>
      <w:r>
        <w:t xml:space="preserve"> (MITECO, informe del Patrimonio Natural y de la Biodiversidad 2024)</w:t>
      </w:r>
      <w:r>
        <w:t>;</w:t>
      </w:r>
    </w:p>
    <w:p>
      <w:pPr>
        <w:pStyle w:val="ListBullet2"/>
      </w:pPr>
      <w:r>
        <w:rPr>
          <w:b/>
        </w:rPr>
        <w:t>el mar:</w:t>
      </w:r>
      <w:r>
        <w:t xml:space="preserve"> las poblaciones marinas que se siguen, un 59 % menos de 1970 a 2022</w:t>
      </w:r>
      <w:r>
        <w:t xml:space="preserve"> (WWF y ZSL, 2026)</w:t>
      </w:r>
      <w:r>
        <w:t>; las pesquerías sobreexplotadas, del 10 % al 37,7 % de las poblaciones evaluadas de 1974 a 2021; el Mediterráneo y el mar Negro, entre lo peor, pero mejoran</w:t>
      </w:r>
      <w:r>
        <w:t xml:space="preserve"> (FAO, El estado mundial de la pesca y la acuicultura 2024; Comisión General de Pesca del Mediterráneo, 2023)</w:t>
      </w:r>
      <w:r>
        <w:t>; en los mares de Europa, el 80 % de las zonas evaluadas, con problemas por contaminantes</w:t>
      </w:r>
      <w:r>
        <w:t xml:space="preserve"> (Agencia Europea de Medio Ambiente)</w:t>
      </w:r>
      <w:r>
        <w:t>;</w:t>
      </w:r>
    </w:p>
    <w:p>
      <w:pPr>
        <w:pStyle w:val="ListBullet2"/>
      </w:pPr>
      <w:r>
        <w:rPr>
          <w:b/>
        </w:rPr>
        <w:t>el aire:</w:t>
      </w:r>
      <w:r>
        <w:t xml:space="preserve"> en España, casi ninguna zona por encima de los valores legales, salvo el ozono (20 de 132 zonas en 2024)</w:t>
      </w:r>
      <w:r>
        <w:t xml:space="preserve"> (MITECO, Evaluación de la calidad del aire en España 2024)</w:t>
      </w:r>
      <w:r>
        <w:t>; con los valores guía de la OMS, más exigentes, más del 90 % de la población urbana de la UE, por encima; y la contaminación baja desde hace dos décadas</w:t>
      </w:r>
      <w:r>
        <w:t xml:space="preserve"> (Agencia Europea de Medio Ambiente, 2026)</w:t>
      </w:r>
      <w:r>
        <w:t>;</w:t>
      </w:r>
    </w:p>
    <w:p>
      <w:pPr>
        <w:pStyle w:val="ListBullet2"/>
      </w:pPr>
      <w:r>
        <w:rPr>
          <w:b/>
        </w:rPr>
        <w:t>el agua:</w:t>
      </w:r>
      <w:r>
        <w:t xml:space="preserve"> en España, en buen estado, el 50,2 % de las masas superficiales y el 54,1 % de las subterráneas (2023; cálculo de la edición)</w:t>
      </w:r>
      <w:r>
        <w:t xml:space="preserve"> (MITECO, informe del Patrimonio Natural y de la Biodiversidad 2024)</w:t>
      </w:r>
      <w:r>
        <w:t>;</w:t>
      </w:r>
    </w:p>
    <w:p>
      <w:pPr>
        <w:pStyle w:val="ListBullet2"/>
      </w:pPr>
      <w:r>
        <w:rPr>
          <w:b/>
        </w:rPr>
        <w:t>el suelo:</w:t>
      </w:r>
      <w:r>
        <w:t xml:space="preserve"> en España, el 24,8 % de la superficie erosionable, con erosión media o alta</w:t>
      </w:r>
      <w:r>
        <w:t xml:space="preserve"> (MITECO, informe del Patrimonio Natural y de la Biodiversidad 2024)</w:t>
      </w:r>
      <w:r>
        <w:t>; en la UE, más del 60 % de los suelos, probablemente degradado</w:t>
      </w:r>
      <w:r>
        <w:t xml:space="preserve"> (Centro Común de Investigación de la Comisión Europea, 2024)</w:t>
      </w:r>
      <w:r>
        <w:t>;</w:t>
      </w:r>
    </w:p>
    <w:p>
      <w:pPr>
        <w:pStyle w:val="ListBullet2"/>
      </w:pPr>
      <w:r>
        <w:rPr>
          <w:b/>
        </w:rPr>
        <w:t>lo que se recupera:</w:t>
      </w:r>
      <w:r>
        <w:t xml:space="preserve"> en España, el lince ibérico, de unos 100 ejemplares en 2011 a más de 600 en 2017, y el águila imperial, el quebrantahuesos y el oso pardo</w:t>
      </w:r>
      <w:r>
        <w:t xml:space="preserve"> (MITECO, informe del Patrimonio Natural y de la Biodiversidad 2020)</w:t>
      </w:r>
      <w:r>
        <w:t>;</w:t>
      </w:r>
    </w:p>
    <w:p>
      <w:pPr>
        <w:pStyle w:val="ListBullet2"/>
      </w:pPr>
      <w:r>
        <w:rPr>
          <w:b/>
        </w:rPr>
        <w:t>y nacen menos:</w:t>
      </w:r>
      <w:r>
        <w:t xml:space="preserve"> 1,10 hijos por mujer en España (</w:t>
      </w:r>
      <w:r>
        <w:t>8.8</w:t>
      </w:r>
      <w:r>
        <w:t>), 1,34 en la UE y 2,25 en el mundo, en 2024</w:t>
      </w:r>
      <w:r>
        <w:t xml:space="preserve"> (Eurostat, estadísticas de fecundidad; Naciones Unidas, Perspectivas de la población mundial 2024)</w:t>
      </w:r>
      <w:r>
        <w:t>;</w:t>
      </w:r>
    </w:p>
    <w:p>
      <w:pPr>
        <w:pStyle w:val="ListBullet2"/>
      </w:pPr>
      <w:r>
        <w:rPr>
          <w:b/>
        </w:rPr>
        <w:t>lo que no dicen:</w:t>
      </w:r>
      <w:r>
        <w:t xml:space="preserve"> estas cifras miden el estado, no quién lo causa.</w:t>
      </w:r>
    </w:p>
    <w:p>
      <w:r>
        <w:rPr>
          <w:b/>
        </w:rPr>
        <w:t>Los frutos del planeta, cosa por cosa</w:t>
      </w:r>
      <w:r>
        <w:t xml:space="preserve"> (cada cifra, con su fuente leída; «sin dato leído» donde la fuente no lo da):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312"/>
        <w:gridCol w:w="1312"/>
        <w:gridCol w:w="1312"/>
        <w:gridCol w:w="1312"/>
        <w:gridCol w:w="1312"/>
        <w:gridCol w:w="1312"/>
        <w:gridCol w:w="1312"/>
      </w:tblGrid>
      <w:tr>
        <w:tc>
          <w:tcPr>
            <w:tcW w:type="dxa" w:w="1312"/>
            <w:shd w:val="clear" w:color="auto" w:fill="F1EEE8"/>
          </w:tcPr>
          <w:p>
            <w:pPr>
              <w:spacing w:after="20" w:line="264" w:lineRule="auto"/>
            </w:pPr>
            <w:r>
              <w:rPr>
                <w:b/>
              </w:rPr>
            </w:r>
            <w:r>
              <w:rPr>
                <w:rFonts w:ascii="Segoe UI" w:hAnsi="Segoe UI" w:eastAsia="Segoe UI" w:cs="Segoe UI"/>
                <w:b/>
                <w:color w:val="1F1D1A"/>
                <w:sz w:val="18"/>
              </w:rPr>
              <w:t>Qué se mide</w:t>
            </w:r>
          </w:p>
        </w:tc>
        <w:tc>
          <w:tcPr>
            <w:tcW w:type="dxa" w:w="1312"/>
            <w:shd w:val="clear" w:color="auto" w:fill="F1EEE8"/>
          </w:tcPr>
          <w:p>
            <w:pPr>
              <w:spacing w:after="20" w:line="264" w:lineRule="auto"/>
            </w:pPr>
            <w:r>
              <w:rPr>
                <w:b/>
              </w:rPr>
            </w:r>
            <w:r>
              <w:rPr>
                <w:rFonts w:ascii="Segoe UI" w:hAnsi="Segoe UI" w:eastAsia="Segoe UI" w:cs="Segoe UI"/>
                <w:b/>
                <w:color w:val="1F1D1A"/>
                <w:sz w:val="18"/>
              </w:rPr>
              <w:t>Dónde y cuándo</w:t>
            </w:r>
          </w:p>
        </w:tc>
        <w:tc>
          <w:tcPr>
            <w:tcW w:type="dxa" w:w="1312"/>
            <w:shd w:val="clear" w:color="auto" w:fill="F1EEE8"/>
          </w:tcPr>
          <w:p>
            <w:pPr>
              <w:spacing w:after="20" w:line="264" w:lineRule="auto"/>
            </w:pPr>
            <w:r>
              <w:rPr>
                <w:b/>
              </w:rPr>
            </w:r>
            <w:r>
              <w:rPr>
                <w:rFonts w:ascii="Segoe UI" w:hAnsi="Segoe UI" w:eastAsia="Segoe UI" w:cs="Segoe UI"/>
                <w:b/>
                <w:color w:val="1F1D1A"/>
                <w:sz w:val="18"/>
              </w:rPr>
              <w:t>Se pierde o se gana</w:t>
            </w:r>
          </w:p>
        </w:tc>
        <w:tc>
          <w:tcPr>
            <w:tcW w:type="dxa" w:w="1312"/>
            <w:shd w:val="clear" w:color="auto" w:fill="F1EEE8"/>
          </w:tcPr>
          <w:p>
            <w:pPr>
              <w:spacing w:after="20" w:line="264" w:lineRule="auto"/>
            </w:pPr>
            <w:r>
              <w:rPr>
                <w:b/>
              </w:rPr>
            </w:r>
            <w:r>
              <w:rPr>
                <w:rFonts w:ascii="Segoe UI" w:hAnsi="Segoe UI" w:eastAsia="Segoe UI" w:cs="Segoe UI"/>
                <w:b/>
                <w:color w:val="1F1D1A"/>
                <w:sz w:val="18"/>
              </w:rPr>
              <w:t>La cifra</w:t>
            </w:r>
          </w:p>
        </w:tc>
        <w:tc>
          <w:tcPr>
            <w:tcW w:type="dxa" w:w="1312"/>
            <w:shd w:val="clear" w:color="auto" w:fill="F1EEE8"/>
          </w:tcPr>
          <w:p>
            <w:pPr>
              <w:spacing w:after="20" w:line="264" w:lineRule="auto"/>
            </w:pPr>
            <w:r>
              <w:rPr>
                <w:b/>
              </w:rPr>
            </w:r>
            <w:r>
              <w:rPr>
                <w:rFonts w:ascii="Segoe UI" w:hAnsi="Segoe UI" w:eastAsia="Segoe UI" w:cs="Segoe UI"/>
                <w:b/>
                <w:color w:val="1F1D1A"/>
                <w:sz w:val="18"/>
              </w:rPr>
              <w:t>Estado</w:t>
            </w:r>
          </w:p>
        </w:tc>
        <w:tc>
          <w:tcPr>
            <w:tcW w:type="dxa" w:w="1312"/>
            <w:shd w:val="clear" w:color="auto" w:fill="F1EEE8"/>
          </w:tcPr>
          <w:p>
            <w:pPr>
              <w:spacing w:after="20" w:line="264" w:lineRule="auto"/>
            </w:pPr>
            <w:r>
              <w:rPr>
                <w:b/>
              </w:rPr>
            </w:r>
            <w:r>
              <w:rPr>
                <w:rFonts w:ascii="Segoe UI" w:hAnsi="Segoe UI" w:eastAsia="Segoe UI" w:cs="Segoe UI"/>
                <w:b/>
                <w:color w:val="1F1D1A"/>
                <w:sz w:val="18"/>
              </w:rPr>
              <w:t>Deterioro</w:t>
            </w:r>
          </w:p>
        </w:tc>
        <w:tc>
          <w:tcPr>
            <w:tcW w:type="dxa" w:w="1312"/>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1312"/>
          </w:tcPr>
          <w:p>
            <w:pPr>
              <w:spacing w:after="20" w:line="264" w:lineRule="auto"/>
            </w:pPr>
            <w:r/>
            <w:r>
              <w:rPr>
                <w:rFonts w:ascii="Segoe UI" w:hAnsi="Segoe UI" w:eastAsia="Segoe UI" w:cs="Segoe UI"/>
                <w:color w:val="1F1D1A"/>
                <w:sz w:val="18"/>
              </w:rPr>
              <w:t>Poblaciones de vertebrados que se siguen (tamaño medio, no número de animales)</w:t>
            </w:r>
          </w:p>
        </w:tc>
        <w:tc>
          <w:tcPr>
            <w:tcW w:type="dxa" w:w="1312"/>
          </w:tcPr>
          <w:p>
            <w:pPr>
              <w:spacing w:after="20" w:line="264" w:lineRule="auto"/>
            </w:pPr>
            <w:r/>
            <w:r>
              <w:rPr>
                <w:rFonts w:ascii="Segoe UI" w:hAnsi="Segoe UI" w:eastAsia="Segoe UI" w:cs="Segoe UI"/>
                <w:color w:val="1F1D1A"/>
                <w:sz w:val="18"/>
              </w:rPr>
              <w:t>Mundo, 1970-2022</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−73,2 %; agua dulce, −85 %; tierra, −69 %; mar, −59 %</w:t>
            </w:r>
          </w:p>
        </w:tc>
        <w:tc>
          <w:tcPr>
            <w:tcW w:type="dxa" w:w="1312"/>
          </w:tcPr>
          <w:p>
            <w:pPr>
              <w:spacing w:after="20" w:line="264" w:lineRule="auto"/>
            </w:pPr>
            <w:r/>
            <w:r>
              <w:rPr>
                <w:rFonts w:ascii="Segoe UI" w:hAnsi="Segoe UI" w:eastAsia="Segoe UI" w:cs="Segoe UI"/>
                <w:color w:val="1F1D1A"/>
                <w:sz w:val="18"/>
              </w:rPr>
              <w:t>La mitad baja; la otra mitad, estable o sube</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WWF y ZSL, Informe Planeta Vivo 2026</w:t>
            </w:r>
          </w:p>
        </w:tc>
      </w:tr>
      <w:tr>
        <w:tc>
          <w:tcPr>
            <w:tcW w:type="dxa" w:w="1312"/>
          </w:tcPr>
          <w:p>
            <w:pPr>
              <w:spacing w:after="20" w:line="264" w:lineRule="auto"/>
            </w:pPr>
            <w:r/>
            <w:r>
              <w:rPr>
                <w:rFonts w:ascii="Segoe UI" w:hAnsi="Segoe UI" w:eastAsia="Segoe UI" w:cs="Segoe UI"/>
                <w:color w:val="1F1D1A"/>
                <w:sz w:val="18"/>
              </w:rPr>
              <w:t>Lo mismo, sin el mar</w:t>
            </w:r>
          </w:p>
        </w:tc>
        <w:tc>
          <w:tcPr>
            <w:tcW w:type="dxa" w:w="1312"/>
          </w:tcPr>
          <w:p>
            <w:pPr>
              <w:spacing w:after="20" w:line="264" w:lineRule="auto"/>
            </w:pPr>
            <w:r/>
            <w:r>
              <w:rPr>
                <w:rFonts w:ascii="Segoe UI" w:hAnsi="Segoe UI" w:eastAsia="Segoe UI" w:cs="Segoe UI"/>
                <w:color w:val="1F1D1A"/>
                <w:sz w:val="18"/>
              </w:rPr>
              <w:t>Europa y Asia Central, 1970-2022</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−23 % (el informe de 2024 daba −35 % para 1970-2020; el de 2026 no explica la diferencia en esta región)</w:t>
            </w:r>
          </w:p>
        </w:tc>
        <w:tc>
          <w:tcPr>
            <w:tcW w:type="dxa" w:w="1312"/>
          </w:tcPr>
          <w:p>
            <w:pPr>
              <w:spacing w:after="20" w:line="264" w:lineRule="auto"/>
            </w:pPr>
            <w:r/>
            <w:r>
              <w:rPr>
                <w:rFonts w:ascii="Segoe UI" w:hAnsi="Segoe UI" w:eastAsia="Segoe UI" w:cs="Segoe UI"/>
                <w:color w:val="1F1D1A"/>
                <w:sz w:val="18"/>
              </w:rPr>
              <w:t>Ya estaba peor en 1970; vuelven muchas especies de mamíferos y aves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WWF y ZSL, 2026 y 2024</w:t>
            </w:r>
          </w:p>
        </w:tc>
      </w:tr>
      <w:tr>
        <w:tc>
          <w:tcPr>
            <w:tcW w:type="dxa" w:w="1312"/>
          </w:tcPr>
          <w:p>
            <w:pPr>
              <w:spacing w:after="20" w:line="264" w:lineRule="auto"/>
            </w:pPr>
            <w:r/>
            <w:r>
              <w:rPr>
                <w:rFonts w:ascii="Segoe UI" w:hAnsi="Segoe UI" w:eastAsia="Segoe UI" w:cs="Segoe UI"/>
                <w:color w:val="1F1D1A"/>
                <w:sz w:val="18"/>
              </w:rPr>
              <w:t>Especies que se enfrentan a la extinción</w:t>
            </w:r>
          </w:p>
        </w:tc>
        <w:tc>
          <w:tcPr>
            <w:tcW w:type="dxa" w:w="1312"/>
          </w:tcPr>
          <w:p>
            <w:pPr>
              <w:spacing w:after="20" w:line="264" w:lineRule="auto"/>
            </w:pPr>
            <w:r/>
            <w:r>
              <w:rPr>
                <w:rFonts w:ascii="Segoe UI" w:hAnsi="Segoe UI" w:eastAsia="Segoe UI" w:cs="Segoe UI"/>
                <w:color w:val="1F1D1A"/>
                <w:sz w:val="18"/>
              </w:rPr>
              <w:t>Mundo, evaluación de 2019</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Alrededor de un millón (estimación)</w:t>
            </w:r>
          </w:p>
        </w:tc>
        <w:tc>
          <w:tcPr>
            <w:tcW w:type="dxa" w:w="1312"/>
          </w:tcPr>
          <w:p>
            <w:pPr>
              <w:spacing w:after="20" w:line="264" w:lineRule="auto"/>
            </w:pPr>
            <w:r/>
            <w:r>
              <w:rPr>
                <w:rFonts w:ascii="Segoe UI" w:hAnsi="Segoe UI" w:eastAsia="Segoe UI" w:cs="Segoe UI"/>
                <w:color w:val="1F1D1A"/>
                <w:sz w:val="18"/>
              </w:rPr>
              <w:t>Amenazadas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IPBES, 2019</w:t>
            </w:r>
          </w:p>
        </w:tc>
      </w:tr>
      <w:tr>
        <w:tc>
          <w:tcPr>
            <w:tcW w:type="dxa" w:w="1312"/>
          </w:tcPr>
          <w:p>
            <w:pPr>
              <w:spacing w:after="20" w:line="264" w:lineRule="auto"/>
            </w:pPr>
            <w:r/>
            <w:r>
              <w:rPr>
                <w:rFonts w:ascii="Segoe UI" w:hAnsi="Segoe UI" w:eastAsia="Segoe UI" w:cs="Segoe UI"/>
                <w:color w:val="1F1D1A"/>
                <w:sz w:val="18"/>
              </w:rPr>
              <w:t>Biomasa de los mamíferos salvajes</w:t>
            </w:r>
          </w:p>
        </w:tc>
        <w:tc>
          <w:tcPr>
            <w:tcW w:type="dxa" w:w="1312"/>
          </w:tcPr>
          <w:p>
            <w:pPr>
              <w:spacing w:after="20" w:line="264" w:lineRule="auto"/>
            </w:pPr>
            <w:r/>
            <w:r>
              <w:rPr>
                <w:rFonts w:ascii="Segoe UI" w:hAnsi="Segoe UI" w:eastAsia="Segoe UI" w:cs="Segoe UI"/>
                <w:color w:val="1F1D1A"/>
                <w:sz w:val="18"/>
              </w:rPr>
              <w:t>Mundo, tierra y mar</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−82 % (la fuente no da el periodo en esa frase)</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IPBES, 2019</w:t>
            </w:r>
          </w:p>
        </w:tc>
      </w:tr>
      <w:tr>
        <w:tc>
          <w:tcPr>
            <w:tcW w:type="dxa" w:w="1312"/>
          </w:tcPr>
          <w:p>
            <w:pPr>
              <w:spacing w:after="20" w:line="264" w:lineRule="auto"/>
            </w:pPr>
            <w:r/>
            <w:r>
              <w:rPr>
                <w:rFonts w:ascii="Segoe UI" w:hAnsi="Segoe UI" w:eastAsia="Segoe UI" w:cs="Segoe UI"/>
                <w:color w:val="1F1D1A"/>
                <w:sz w:val="18"/>
              </w:rPr>
              <w:t>Especies amenazadas</w:t>
            </w:r>
          </w:p>
        </w:tc>
        <w:tc>
          <w:tcPr>
            <w:tcW w:type="dxa" w:w="1312"/>
          </w:tcPr>
          <w:p>
            <w:pPr>
              <w:spacing w:after="20" w:line="264" w:lineRule="auto"/>
            </w:pPr>
            <w:r/>
            <w:r>
              <w:rPr>
                <w:rFonts w:ascii="Segoe UI" w:hAnsi="Segoe UI" w:eastAsia="Segoe UI" w:cs="Segoe UI"/>
                <w:color w:val="1F1D1A"/>
                <w:sz w:val="18"/>
              </w:rPr>
              <w:t>España, 2024</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1.855 de las 63.375 especies silvestres conocidas</w:t>
            </w:r>
          </w:p>
        </w:tc>
        <w:tc>
          <w:tcPr>
            <w:tcW w:type="dxa" w:w="1312"/>
          </w:tcPr>
          <w:p>
            <w:pPr>
              <w:spacing w:after="20" w:line="264" w:lineRule="auto"/>
            </w:pPr>
            <w:r/>
            <w:r>
              <w:rPr>
                <w:rFonts w:ascii="Segoe UI" w:hAnsi="Segoe UI" w:eastAsia="Segoe UI" w:cs="Segoe UI"/>
                <w:color w:val="1F1D1A"/>
                <w:sz w:val="18"/>
              </w:rPr>
              <w:t>Con algún grado de amenaza</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2024</w:t>
            </w:r>
          </w:p>
        </w:tc>
      </w:tr>
      <w:tr>
        <w:tc>
          <w:tcPr>
            <w:tcW w:type="dxa" w:w="1312"/>
          </w:tcPr>
          <w:p>
            <w:pPr>
              <w:spacing w:after="20" w:line="264" w:lineRule="auto"/>
            </w:pPr>
            <w:r/>
            <w:r>
              <w:rPr>
                <w:rFonts w:ascii="Segoe UI" w:hAnsi="Segoe UI" w:eastAsia="Segoe UI" w:cs="Segoe UI"/>
                <w:color w:val="1F1D1A"/>
                <w:sz w:val="18"/>
              </w:rPr>
              <w:t>Aves comunes de ambientes agrícolas</w:t>
            </w:r>
          </w:p>
        </w:tc>
        <w:tc>
          <w:tcPr>
            <w:tcW w:type="dxa" w:w="1312"/>
          </w:tcPr>
          <w:p>
            <w:pPr>
              <w:spacing w:after="20" w:line="264" w:lineRule="auto"/>
            </w:pPr>
            <w:r/>
            <w:r>
              <w:rPr>
                <w:rFonts w:ascii="Segoe UI" w:hAnsi="Segoe UI" w:eastAsia="Segoe UI" w:cs="Segoe UI"/>
                <w:color w:val="1F1D1A"/>
                <w:sz w:val="18"/>
              </w:rPr>
              <w:t>España, desde 2000 (informe de 2024)</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En torno al −34 %</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2024</w:t>
            </w:r>
          </w:p>
        </w:tc>
      </w:tr>
      <w:tr>
        <w:tc>
          <w:tcPr>
            <w:tcW w:type="dxa" w:w="1312"/>
          </w:tcPr>
          <w:p>
            <w:pPr>
              <w:spacing w:after="20" w:line="264" w:lineRule="auto"/>
            </w:pPr>
            <w:r/>
            <w:r>
              <w:rPr>
                <w:rFonts w:ascii="Segoe UI" w:hAnsi="Segoe UI" w:eastAsia="Segoe UI" w:cs="Segoe UI"/>
                <w:color w:val="1F1D1A"/>
                <w:sz w:val="18"/>
              </w:rPr>
              <w:t>Lince ibérico, águila imperial, quebrantahuesos y oso pardo</w:t>
            </w:r>
          </w:p>
        </w:tc>
        <w:tc>
          <w:tcPr>
            <w:tcW w:type="dxa" w:w="1312"/>
          </w:tcPr>
          <w:p>
            <w:pPr>
              <w:spacing w:after="20" w:line="264" w:lineRule="auto"/>
            </w:pPr>
            <w:r/>
            <w:r>
              <w:rPr>
                <w:rFonts w:ascii="Segoe UI" w:hAnsi="Segoe UI" w:eastAsia="Segoe UI" w:cs="Segoe UI"/>
                <w:color w:val="1F1D1A"/>
                <w:sz w:val="18"/>
              </w:rPr>
              <w:t>España, de 1970-2011 a 2017-2018</w:t>
            </w:r>
          </w:p>
        </w:tc>
        <w:tc>
          <w:tcPr>
            <w:tcW w:type="dxa" w:w="1312"/>
          </w:tcPr>
          <w:p>
            <w:pPr>
              <w:spacing w:after="20" w:line="264" w:lineRule="auto"/>
            </w:pPr>
            <w:r/>
            <w:r>
              <w:rPr>
                <w:rFonts w:ascii="Segoe UI" w:hAnsi="Segoe UI" w:eastAsia="Segoe UI" w:cs="Segoe UI"/>
                <w:color w:val="1F1D1A"/>
                <w:sz w:val="18"/>
              </w:rPr>
              <w:t>Se gana</w:t>
            </w:r>
          </w:p>
        </w:tc>
        <w:tc>
          <w:tcPr>
            <w:tcW w:type="dxa" w:w="1312"/>
          </w:tcPr>
          <w:p>
            <w:pPr>
              <w:spacing w:after="20" w:line="264" w:lineRule="auto"/>
            </w:pPr>
            <w:r/>
            <w:r>
              <w:rPr>
                <w:rFonts w:ascii="Segoe UI" w:hAnsi="Segoe UI" w:eastAsia="Segoe UI" w:cs="Segoe UI"/>
                <w:color w:val="1F1D1A"/>
                <w:sz w:val="18"/>
              </w:rPr>
              <w:t>Lince, de unos 100 (2011) a más de 600 (2017); águila imperial, de unas decenas de parejas en los años setenta a 520 (2017); quebrantahuesos, de 22 parejas (1982) a 133 (2018); oso pardo, de 100-120 (1989) a 310-350 (2018)</w:t>
            </w:r>
          </w:p>
        </w:tc>
        <w:tc>
          <w:tcPr>
            <w:tcW w:type="dxa" w:w="1312"/>
          </w:tcPr>
          <w:p>
            <w:pPr>
              <w:spacing w:after="20" w:line="264" w:lineRule="auto"/>
            </w:pPr>
            <w:r/>
            <w:r>
              <w:rPr>
                <w:rFonts w:ascii="Segoe UI" w:hAnsi="Segoe UI" w:eastAsia="Segoe UI" w:cs="Segoe UI"/>
                <w:color w:val="1F1D1A"/>
                <w:sz w:val="18"/>
              </w:rPr>
              <w:t>Se recuperan</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2020</w:t>
            </w:r>
          </w:p>
        </w:tc>
      </w:tr>
      <w:tr>
        <w:tc>
          <w:tcPr>
            <w:tcW w:type="dxa" w:w="1312"/>
          </w:tcPr>
          <w:p>
            <w:pPr>
              <w:spacing w:after="20" w:line="264" w:lineRule="auto"/>
            </w:pPr>
            <w:r/>
            <w:r>
              <w:rPr>
                <w:rFonts w:ascii="Segoe UI" w:hAnsi="Segoe UI" w:eastAsia="Segoe UI" w:cs="Segoe UI"/>
                <w:color w:val="1F1D1A"/>
                <w:sz w:val="18"/>
              </w:rPr>
              <w:t>Tipos de hábitat de interés comunitario</w:t>
            </w:r>
          </w:p>
        </w:tc>
        <w:tc>
          <w:tcPr>
            <w:tcW w:type="dxa" w:w="1312"/>
          </w:tcPr>
          <w:p>
            <w:pPr>
              <w:spacing w:after="20" w:line="264" w:lineRule="auto"/>
            </w:pPr>
            <w:r/>
            <w:r>
              <w:rPr>
                <w:rFonts w:ascii="Segoe UI" w:hAnsi="Segoe UI" w:eastAsia="Segoe UI" w:cs="Segoe UI"/>
                <w:color w:val="1F1D1A"/>
                <w:sz w:val="18"/>
              </w:rPr>
              <w:t>España, 2013-2018</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74 % en estado desfavorable (62 % en 2007-2012; sube sobre todo porque hay menos evaluaciones con resultado desconocido; solo la región atlántica parece empeorar de verdad)</w:t>
            </w:r>
          </w:p>
        </w:tc>
        <w:tc>
          <w:tcPr>
            <w:tcW w:type="dxa" w:w="1312"/>
          </w:tcPr>
          <w:p>
            <w:pPr>
              <w:spacing w:after="20" w:line="264" w:lineRule="auto"/>
            </w:pPr>
            <w:r/>
            <w:r>
              <w:rPr>
                <w:rFonts w:ascii="Segoe UI" w:hAnsi="Segoe UI" w:eastAsia="Segoe UI" w:cs="Segoe UI"/>
                <w:color w:val="1F1D1A"/>
                <w:sz w:val="18"/>
              </w:rPr>
              <w:t>Los bosques y, sobre todo, las turberas, los peores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2020</w:t>
            </w:r>
          </w:p>
        </w:tc>
      </w:tr>
      <w:tr>
        <w:tc>
          <w:tcPr>
            <w:tcW w:type="dxa" w:w="1312"/>
          </w:tcPr>
          <w:p>
            <w:pPr>
              <w:spacing w:after="20" w:line="264" w:lineRule="auto"/>
            </w:pPr>
            <w:r/>
            <w:r>
              <w:rPr>
                <w:rFonts w:ascii="Segoe UI" w:hAnsi="Segoe UI" w:eastAsia="Segoe UI" w:cs="Segoe UI"/>
                <w:color w:val="1F1D1A"/>
                <w:sz w:val="18"/>
              </w:rPr>
              <w:t>Bosque, superficie</w:t>
            </w:r>
          </w:p>
        </w:tc>
        <w:tc>
          <w:tcPr>
            <w:tcW w:type="dxa" w:w="1312"/>
          </w:tcPr>
          <w:p>
            <w:pPr>
              <w:spacing w:after="20" w:line="264" w:lineRule="auto"/>
            </w:pPr>
            <w:r/>
            <w:r>
              <w:rPr>
                <w:rFonts w:ascii="Segoe UI" w:hAnsi="Segoe UI" w:eastAsia="Segoe UI" w:cs="Segoe UI"/>
                <w:color w:val="1F1D1A"/>
                <w:sz w:val="18"/>
              </w:rPr>
              <w:t>Mundo, 1990-2025</w:t>
            </w:r>
          </w:p>
        </w:tc>
        <w:tc>
          <w:tcPr>
            <w:tcW w:type="dxa" w:w="1312"/>
          </w:tcPr>
          <w:p>
            <w:pPr>
              <w:spacing w:after="20" w:line="264" w:lineRule="auto"/>
            </w:pPr>
            <w:r/>
            <w:r>
              <w:rPr>
                <w:rFonts w:ascii="Segoe UI" w:hAnsi="Segoe UI" w:eastAsia="Segoe UI" w:cs="Segoe UI"/>
                <w:color w:val="1F1D1A"/>
                <w:sz w:val="18"/>
              </w:rPr>
              <w:t>Se pierde (neto)</w:t>
            </w:r>
          </w:p>
        </w:tc>
        <w:tc>
          <w:tcPr>
            <w:tcW w:type="dxa" w:w="1312"/>
          </w:tcPr>
          <w:p>
            <w:pPr>
              <w:spacing w:after="20" w:line="264" w:lineRule="auto"/>
            </w:pPr>
            <w:r/>
            <w:r>
              <w:rPr>
                <w:rFonts w:ascii="Segoe UI" w:hAnsi="Segoe UI" w:eastAsia="Segoe UI" w:cs="Segoe UI"/>
                <w:color w:val="1F1D1A"/>
                <w:sz w:val="18"/>
              </w:rPr>
              <w:t>De 4.343.534 a 4.140.217 miles de hectáreas; la pérdida neta por año baja de 10,7 millones de hectáreas (1990-2000) a 4,12 (2015-2025)</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FAO, Evaluación de los recursos forestales mundiales 2025</w:t>
            </w:r>
          </w:p>
        </w:tc>
      </w:tr>
      <w:tr>
        <w:tc>
          <w:tcPr>
            <w:tcW w:type="dxa" w:w="1312"/>
          </w:tcPr>
          <w:p>
            <w:pPr>
              <w:spacing w:after="20" w:line="264" w:lineRule="auto"/>
            </w:pPr>
            <w:r/>
            <w:r>
              <w:rPr>
                <w:rFonts w:ascii="Segoe UI" w:hAnsi="Segoe UI" w:eastAsia="Segoe UI" w:cs="Segoe UI"/>
                <w:color w:val="1F1D1A"/>
                <w:sz w:val="18"/>
              </w:rPr>
              <w:t>Bosque, superficie</w:t>
            </w:r>
          </w:p>
        </w:tc>
        <w:tc>
          <w:tcPr>
            <w:tcW w:type="dxa" w:w="1312"/>
          </w:tcPr>
          <w:p>
            <w:pPr>
              <w:spacing w:after="20" w:line="264" w:lineRule="auto"/>
            </w:pPr>
            <w:r/>
            <w:r>
              <w:rPr>
                <w:rFonts w:ascii="Segoe UI" w:hAnsi="Segoe UI" w:eastAsia="Segoe UI" w:cs="Segoe UI"/>
                <w:color w:val="1F1D1A"/>
                <w:sz w:val="18"/>
              </w:rPr>
              <w:t>Europa, con Rusia, 1990-2025</w:t>
            </w:r>
          </w:p>
        </w:tc>
        <w:tc>
          <w:tcPr>
            <w:tcW w:type="dxa" w:w="1312"/>
          </w:tcPr>
          <w:p>
            <w:pPr>
              <w:spacing w:after="20" w:line="264" w:lineRule="auto"/>
            </w:pPr>
            <w:r/>
            <w:r>
              <w:rPr>
                <w:rFonts w:ascii="Segoe UI" w:hAnsi="Segoe UI" w:eastAsia="Segoe UI" w:cs="Segoe UI"/>
                <w:color w:val="1F1D1A"/>
                <w:sz w:val="18"/>
              </w:rPr>
              <w:t>Se gana</w:t>
            </w:r>
          </w:p>
        </w:tc>
        <w:tc>
          <w:tcPr>
            <w:tcW w:type="dxa" w:w="1312"/>
          </w:tcPr>
          <w:p>
            <w:pPr>
              <w:spacing w:after="20" w:line="264" w:lineRule="auto"/>
            </w:pPr>
            <w:r/>
            <w:r>
              <w:rPr>
                <w:rFonts w:ascii="Segoe UI" w:hAnsi="Segoe UI" w:eastAsia="Segoe UI" w:cs="Segoe UI"/>
                <w:color w:val="1F1D1A"/>
                <w:sz w:val="18"/>
              </w:rPr>
              <w:t>Sube</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FAO, 2025</w:t>
            </w:r>
          </w:p>
        </w:tc>
      </w:tr>
      <w:tr>
        <w:tc>
          <w:tcPr>
            <w:tcW w:type="dxa" w:w="1312"/>
          </w:tcPr>
          <w:p>
            <w:pPr>
              <w:spacing w:after="20" w:line="264" w:lineRule="auto"/>
            </w:pPr>
            <w:r/>
            <w:r>
              <w:rPr>
                <w:rFonts w:ascii="Segoe UI" w:hAnsi="Segoe UI" w:eastAsia="Segoe UI" w:cs="Segoe UI"/>
                <w:color w:val="1F1D1A"/>
                <w:sz w:val="18"/>
              </w:rPr>
              <w:t>Bosque, superficie y cómo es</w:t>
            </w:r>
          </w:p>
        </w:tc>
        <w:tc>
          <w:tcPr>
            <w:tcW w:type="dxa" w:w="1312"/>
          </w:tcPr>
          <w:p>
            <w:pPr>
              <w:spacing w:after="20" w:line="264" w:lineRule="auto"/>
            </w:pPr>
            <w:r/>
            <w:r>
              <w:rPr>
                <w:rFonts w:ascii="Segoe UI" w:hAnsi="Segoe UI" w:eastAsia="Segoe UI" w:cs="Segoe UI"/>
                <w:color w:val="1F1D1A"/>
                <w:sz w:val="18"/>
              </w:rPr>
              <w:t>España, 1990-2025</w:t>
            </w:r>
          </w:p>
        </w:tc>
        <w:tc>
          <w:tcPr>
            <w:tcW w:type="dxa" w:w="1312"/>
          </w:tcPr>
          <w:p>
            <w:pPr>
              <w:spacing w:after="20" w:line="264" w:lineRule="auto"/>
            </w:pPr>
            <w:r/>
            <w:r>
              <w:rPr>
                <w:rFonts w:ascii="Segoe UI" w:hAnsi="Segoe UI" w:eastAsia="Segoe UI" w:cs="Segoe UI"/>
                <w:color w:val="1F1D1A"/>
                <w:sz w:val="18"/>
              </w:rPr>
              <w:t>Se gana, sobre todo el que se regenera solo</w:t>
            </w:r>
          </w:p>
        </w:tc>
        <w:tc>
          <w:tcPr>
            <w:tcW w:type="dxa" w:w="1312"/>
          </w:tcPr>
          <w:p>
            <w:pPr>
              <w:spacing w:after="20" w:line="264" w:lineRule="auto"/>
            </w:pPr>
            <w:r/>
            <w:r>
              <w:rPr>
                <w:rFonts w:ascii="Segoe UI" w:hAnsi="Segoe UI" w:eastAsia="Segoe UI" w:cs="Segoe UI"/>
                <w:color w:val="1F1D1A"/>
                <w:sz w:val="18"/>
              </w:rPr>
              <w:t>+37,6 % (cálculo: de 13.905 a 19.133 miles de hectáreas); el que se regenera solo, de 11.959 a 16.314; el plantado, de 1.945 a 2.819</w:t>
            </w:r>
          </w:p>
        </w:tc>
        <w:tc>
          <w:tcPr>
            <w:tcW w:type="dxa" w:w="1312"/>
          </w:tcPr>
          <w:p>
            <w:pPr>
              <w:spacing w:after="20" w:line="264" w:lineRule="auto"/>
            </w:pPr>
            <w:r/>
            <w:r>
              <w:rPr>
                <w:rFonts w:ascii="Segoe UI" w:hAnsi="Segoe UI" w:eastAsia="Segoe UI" w:cs="Segoe UI"/>
                <w:color w:val="1F1D1A"/>
                <w:sz w:val="18"/>
              </w:rPr>
              <w:t>De lo plantado, el 37 % es plantación de gestión intensiva (en Europa, en torno al 6 %); los hábitats de bosque, entre los peores (2013-2018)</w:t>
            </w:r>
          </w:p>
        </w:tc>
        <w:tc>
          <w:tcPr>
            <w:tcW w:type="dxa" w:w="1312"/>
          </w:tcPr>
          <w:p>
            <w:pPr>
              <w:spacing w:after="20" w:line="264" w:lineRule="auto"/>
            </w:pPr>
            <w:r/>
            <w:r>
              <w:rPr>
                <w:rFonts w:ascii="Segoe UI" w:hAnsi="Segoe UI" w:eastAsia="Segoe UI" w:cs="Segoe UI"/>
                <w:color w:val="1F1D1A"/>
                <w:sz w:val="18"/>
              </w:rPr>
              <w:t>En 2024, casi una cuarta parte de los árboles muestreados había perdido más de la cuarta parte de sus hojas (defoliación moderada o grave), sobre todo por daños ligados a la sequía</w:t>
            </w:r>
          </w:p>
        </w:tc>
        <w:tc>
          <w:tcPr>
            <w:tcW w:type="dxa" w:w="1312"/>
          </w:tcPr>
          <w:p>
            <w:pPr>
              <w:spacing w:after="20" w:line="264" w:lineRule="auto"/>
            </w:pPr>
            <w:r/>
            <w:r>
              <w:rPr>
                <w:rFonts w:ascii="Segoe UI" w:hAnsi="Segoe UI" w:eastAsia="Segoe UI" w:cs="Segoe UI"/>
                <w:color w:val="1F1D1A"/>
                <w:sz w:val="18"/>
              </w:rPr>
              <w:t>FAO, 2025; MITECO, informes del Patrimonio Natural y de la Biodiversidad 2020 y 2024</w:t>
            </w:r>
          </w:p>
        </w:tc>
      </w:tr>
      <w:tr>
        <w:tc>
          <w:tcPr>
            <w:tcW w:type="dxa" w:w="1312"/>
          </w:tcPr>
          <w:p>
            <w:pPr>
              <w:spacing w:after="20" w:line="264" w:lineRule="auto"/>
            </w:pPr>
            <w:r/>
            <w:r>
              <w:rPr>
                <w:rFonts w:ascii="Segoe UI" w:hAnsi="Segoe UI" w:eastAsia="Segoe UI" w:cs="Segoe UI"/>
                <w:color w:val="1F1D1A"/>
                <w:sz w:val="18"/>
              </w:rPr>
              <w:t>Poblaciones marinas que se siguen (abundancia, no biomasa)</w:t>
            </w:r>
          </w:p>
        </w:tc>
        <w:tc>
          <w:tcPr>
            <w:tcW w:type="dxa" w:w="1312"/>
          </w:tcPr>
          <w:p>
            <w:pPr>
              <w:spacing w:after="20" w:line="264" w:lineRule="auto"/>
            </w:pPr>
            <w:r/>
            <w:r>
              <w:rPr>
                <w:rFonts w:ascii="Segoe UI" w:hAnsi="Segoe UI" w:eastAsia="Segoe UI" w:cs="Segoe UI"/>
                <w:color w:val="1F1D1A"/>
                <w:sz w:val="18"/>
              </w:rPr>
              <w:t>Mundo, 1970-2022</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−59 %</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WWF y ZSL, 2026</w:t>
            </w:r>
          </w:p>
        </w:tc>
      </w:tr>
      <w:tr>
        <w:tc>
          <w:tcPr>
            <w:tcW w:type="dxa" w:w="1312"/>
          </w:tcPr>
          <w:p>
            <w:pPr>
              <w:spacing w:after="20" w:line="264" w:lineRule="auto"/>
            </w:pPr>
            <w:r/>
            <w:r>
              <w:rPr>
                <w:rFonts w:ascii="Segoe UI" w:hAnsi="Segoe UI" w:eastAsia="Segoe UI" w:cs="Segoe UI"/>
                <w:color w:val="1F1D1A"/>
                <w:sz w:val="18"/>
              </w:rPr>
              <w:t>Pesquerías sobreexplotadas</w:t>
            </w:r>
          </w:p>
        </w:tc>
        <w:tc>
          <w:tcPr>
            <w:tcW w:type="dxa" w:w="1312"/>
          </w:tcPr>
          <w:p>
            <w:pPr>
              <w:spacing w:after="20" w:line="264" w:lineRule="auto"/>
            </w:pPr>
            <w:r/>
            <w:r>
              <w:rPr>
                <w:rFonts w:ascii="Segoe UI" w:hAnsi="Segoe UI" w:eastAsia="Segoe UI" w:cs="Segoe UI"/>
                <w:color w:val="1F1D1A"/>
                <w:sz w:val="18"/>
              </w:rPr>
              <w:t>Mundo, 1974-2021</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Del 10 % al 37,7 % de las poblaciones evaluadas (cuenta poblaciones, no capturas)</w:t>
            </w:r>
          </w:p>
        </w:tc>
        <w:tc>
          <w:tcPr>
            <w:tcW w:type="dxa" w:w="1312"/>
          </w:tcPr>
          <w:p>
            <w:pPr>
              <w:spacing w:after="20" w:line="264" w:lineRule="auto"/>
            </w:pPr>
            <w:r/>
            <w:r>
              <w:rPr>
                <w:rFonts w:ascii="Segoe UI" w:hAnsi="Segoe UI" w:eastAsia="Segoe UI" w:cs="Segoe UI"/>
                <w:color w:val="1F1D1A"/>
                <w:sz w:val="18"/>
              </w:rPr>
              <w:t>El 76,9 % de lo desembarcado en 2021 viene de poblaciones sostenibles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FAO, El estado mundial de la pesca y la acuicultura 2024</w:t>
            </w:r>
          </w:p>
        </w:tc>
      </w:tr>
      <w:tr>
        <w:tc>
          <w:tcPr>
            <w:tcW w:type="dxa" w:w="1312"/>
          </w:tcPr>
          <w:p>
            <w:pPr>
              <w:spacing w:after="20" w:line="264" w:lineRule="auto"/>
            </w:pPr>
            <w:r/>
            <w:r>
              <w:rPr>
                <w:rFonts w:ascii="Segoe UI" w:hAnsi="Segoe UI" w:eastAsia="Segoe UI" w:cs="Segoe UI"/>
                <w:color w:val="1F1D1A"/>
                <w:sz w:val="18"/>
              </w:rPr>
              <w:t>Pesquerías del Mediterráneo y el mar Negro</w:t>
            </w:r>
          </w:p>
        </w:tc>
        <w:tc>
          <w:tcPr>
            <w:tcW w:type="dxa" w:w="1312"/>
          </w:tcPr>
          <w:p>
            <w:pPr>
              <w:spacing w:after="20" w:line="264" w:lineRule="auto"/>
            </w:pPr>
            <w:r/>
            <w:r>
              <w:rPr>
                <w:rFonts w:ascii="Segoe UI" w:hAnsi="Segoe UI" w:eastAsia="Segoe UI" w:cs="Segoe UI"/>
                <w:color w:val="1F1D1A"/>
                <w:sz w:val="18"/>
              </w:rPr>
              <w:t>2012-2021</w:t>
            </w:r>
          </w:p>
        </w:tc>
        <w:tc>
          <w:tcPr>
            <w:tcW w:type="dxa" w:w="1312"/>
          </w:tcPr>
          <w:p>
            <w:pPr>
              <w:spacing w:after="20" w:line="264" w:lineRule="auto"/>
            </w:pPr>
            <w:r/>
            <w:r>
              <w:rPr>
                <w:rFonts w:ascii="Segoe UI" w:hAnsi="Segoe UI" w:eastAsia="Segoe UI" w:cs="Segoe UI"/>
                <w:color w:val="1F1D1A"/>
                <w:sz w:val="18"/>
              </w:rPr>
              <w:t>Se pierde en el nivel; se gana en la tendencia</w:t>
            </w:r>
          </w:p>
        </w:tc>
        <w:tc>
          <w:tcPr>
            <w:tcW w:type="dxa" w:w="1312"/>
          </w:tcPr>
          <w:p>
            <w:pPr>
              <w:spacing w:after="20" w:line="264" w:lineRule="auto"/>
            </w:pPr>
            <w:r/>
            <w:r>
              <w:rPr>
                <w:rFonts w:ascii="Segoe UI" w:hAnsi="Segoe UI" w:eastAsia="Segoe UI" w:cs="Segoe UI"/>
                <w:color w:val="1F1D1A"/>
                <w:sz w:val="18"/>
              </w:rPr>
              <w:t>El 37,5 % de las poblaciones, en niveles sostenibles (2021)</w:t>
            </w:r>
          </w:p>
        </w:tc>
        <w:tc>
          <w:tcPr>
            <w:tcW w:type="dxa" w:w="1312"/>
          </w:tcPr>
          <w:p>
            <w:pPr>
              <w:spacing w:after="20" w:line="264" w:lineRule="auto"/>
            </w:pPr>
            <w:r/>
            <w:r>
              <w:rPr>
                <w:rFonts w:ascii="Segoe UI" w:hAnsi="Segoe UI" w:eastAsia="Segoe UI" w:cs="Segoe UI"/>
                <w:color w:val="1F1D1A"/>
                <w:sz w:val="18"/>
              </w:rPr>
              <w:t>Las sobreexplotadas, del 73 % (2020) al 58 % (2021); la presión pesquera, un 31 % menos desde 2012</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FAO, 2024; Comisión General de Pesca del Mediterráneo, 2023</w:t>
            </w:r>
          </w:p>
        </w:tc>
      </w:tr>
      <w:tr>
        <w:tc>
          <w:tcPr>
            <w:tcW w:type="dxa" w:w="1312"/>
          </w:tcPr>
          <w:p>
            <w:pPr>
              <w:spacing w:after="20" w:line="264" w:lineRule="auto"/>
            </w:pPr>
            <w:r/>
            <w:r>
              <w:rPr>
                <w:rFonts w:ascii="Segoe UI" w:hAnsi="Segoe UI" w:eastAsia="Segoe UI" w:cs="Segoe UI"/>
                <w:color w:val="1F1D1A"/>
                <w:sz w:val="18"/>
              </w:rPr>
              <w:t>Los mares de Europa</w:t>
            </w:r>
          </w:p>
        </w:tc>
        <w:tc>
          <w:tcPr>
            <w:tcW w:type="dxa" w:w="1312"/>
          </w:tcPr>
          <w:p>
            <w:pPr>
              <w:spacing w:after="20" w:line="264" w:lineRule="auto"/>
            </w:pPr>
            <w:r/>
            <w:r>
              <w:rPr>
                <w:rFonts w:ascii="Segoe UI" w:hAnsi="Segoe UI" w:eastAsia="Segoe UI" w:cs="Segoe UI"/>
                <w:color w:val="1F1D1A"/>
                <w:sz w:val="18"/>
              </w:rPr>
              <w:t>Europa; las basuras, con datos de 2010 a 2021</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En general, malo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Contaminantes, el 80 % de las zonas evaluadas; exceso de nutrientes, casi una cuarta parte; basuras, casi el 75 % (2010-2021); hay indicios de que la basura plástica en el mar puede estar bajando</w:t>
            </w:r>
          </w:p>
        </w:tc>
        <w:tc>
          <w:tcPr>
            <w:tcW w:type="dxa" w:w="1312"/>
          </w:tcPr>
          <w:p>
            <w:pPr>
              <w:spacing w:after="20" w:line="264" w:lineRule="auto"/>
            </w:pPr>
            <w:r/>
            <w:r>
              <w:rPr>
                <w:rFonts w:ascii="Segoe UI" w:hAnsi="Segoe UI" w:eastAsia="Segoe UI" w:cs="Segoe UI"/>
                <w:color w:val="1F1D1A"/>
                <w:sz w:val="18"/>
              </w:rPr>
              <w:t>Agencia Europea de Medio Ambiente</w:t>
            </w:r>
          </w:p>
        </w:tc>
      </w:tr>
      <w:tr>
        <w:tc>
          <w:tcPr>
            <w:tcW w:type="dxa" w:w="1312"/>
          </w:tcPr>
          <w:p>
            <w:pPr>
              <w:spacing w:after="20" w:line="264" w:lineRule="auto"/>
            </w:pPr>
            <w:r/>
            <w:r>
              <w:rPr>
                <w:rFonts w:ascii="Segoe UI" w:hAnsi="Segoe UI" w:eastAsia="Segoe UI" w:cs="Segoe UI"/>
                <w:color w:val="1F1D1A"/>
                <w:sz w:val="18"/>
              </w:rPr>
              <w:t>Basuras en las playas</w:t>
            </w:r>
          </w:p>
        </w:tc>
        <w:tc>
          <w:tcPr>
            <w:tcW w:type="dxa" w:w="1312"/>
          </w:tcPr>
          <w:p>
            <w:pPr>
              <w:spacing w:after="20" w:line="264" w:lineRule="auto"/>
            </w:pPr>
            <w:r/>
            <w:r>
              <w:rPr>
                <w:rFonts w:ascii="Segoe UI" w:hAnsi="Segoe UI" w:eastAsia="Segoe UI" w:cs="Segoe UI"/>
                <w:color w:val="1F1D1A"/>
                <w:sz w:val="18"/>
              </w:rPr>
              <w:t>España, 29 playas, 2023</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316 objetos de media por muestreo, en tramos de 100 metros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Basuras</w:t>
            </w:r>
          </w:p>
        </w:tc>
        <w:tc>
          <w:tcPr>
            <w:tcW w:type="dxa" w:w="1312"/>
          </w:tcPr>
          <w:p>
            <w:pPr>
              <w:spacing w:after="20" w:line="264" w:lineRule="auto"/>
            </w:pPr>
            <w:r/>
            <w:r>
              <w:rPr>
                <w:rFonts w:ascii="Segoe UI" w:hAnsi="Segoe UI" w:eastAsia="Segoe UI" w:cs="Segoe UI"/>
                <w:color w:val="1F1D1A"/>
                <w:sz w:val="18"/>
              </w:rPr>
              <w:t>MITECO, resultados de 2023 del seguimiento de basuras en playas</w:t>
            </w:r>
          </w:p>
        </w:tc>
      </w:tr>
      <w:tr>
        <w:tc>
          <w:tcPr>
            <w:tcW w:type="dxa" w:w="1312"/>
          </w:tcPr>
          <w:p>
            <w:pPr>
              <w:spacing w:after="20" w:line="264" w:lineRule="auto"/>
            </w:pPr>
            <w:r/>
            <w:r>
              <w:rPr>
                <w:rFonts w:ascii="Segoe UI" w:hAnsi="Segoe UI" w:eastAsia="Segoe UI" w:cs="Segoe UI"/>
                <w:color w:val="1F1D1A"/>
                <w:sz w:val="18"/>
              </w:rPr>
              <w:t>El aire, con los valores legales</w:t>
            </w:r>
          </w:p>
        </w:tc>
        <w:tc>
          <w:tcPr>
            <w:tcW w:type="dxa" w:w="1312"/>
          </w:tcPr>
          <w:p>
            <w:pPr>
              <w:spacing w:after="20" w:line="264" w:lineRule="auto"/>
            </w:pPr>
            <w:r/>
            <w:r>
              <w:rPr>
                <w:rFonts w:ascii="Segoe UI" w:hAnsi="Segoe UI" w:eastAsia="Segoe UI" w:cs="Segoe UI"/>
                <w:color w:val="1F1D1A"/>
                <w:sz w:val="18"/>
              </w:rPr>
              <w:t>España, 2024</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Por encima del valor límite: dióxido de nitrógeno, 0 de 133 zonas; PM2,5, 0 de 137; PM10, 1 de 137. Ozono, por encima del valor objetivo para la salud: 20 de 132 (14 en 2023)</w:t>
            </w:r>
          </w:p>
        </w:tc>
        <w:tc>
          <w:tcPr>
            <w:tcW w:type="dxa" w:w="1312"/>
          </w:tcPr>
          <w:p>
            <w:pPr>
              <w:spacing w:after="20" w:line="264" w:lineRule="auto"/>
            </w:pPr>
            <w:r/>
            <w:r>
              <w:rPr>
                <w:rFonts w:ascii="Segoe UI" w:hAnsi="Segoe UI" w:eastAsia="Segoe UI" w:cs="Segoe UI"/>
                <w:color w:val="1F1D1A"/>
                <w:sz w:val="18"/>
              </w:rPr>
              <w:t>La exposición media a las PM2,5, un 18,44 % menos que en 2011</w:t>
            </w:r>
          </w:p>
        </w:tc>
        <w:tc>
          <w:tcPr>
            <w:tcW w:type="dxa" w:w="1312"/>
          </w:tcPr>
          <w:p>
            <w:pPr>
              <w:spacing w:after="20" w:line="264" w:lineRule="auto"/>
            </w:pPr>
            <w:r/>
            <w:r>
              <w:rPr>
                <w:rFonts w:ascii="Segoe UI" w:hAnsi="Segoe UI" w:eastAsia="Segoe UI" w:cs="Segoe UI"/>
                <w:color w:val="1F1D1A"/>
                <w:sz w:val="18"/>
              </w:rPr>
              <w:t>El ozono</w:t>
            </w:r>
          </w:p>
        </w:tc>
        <w:tc>
          <w:tcPr>
            <w:tcW w:type="dxa" w:w="1312"/>
          </w:tcPr>
          <w:p>
            <w:pPr>
              <w:spacing w:after="20" w:line="264" w:lineRule="auto"/>
            </w:pPr>
            <w:r/>
            <w:r>
              <w:rPr>
                <w:rFonts w:ascii="Segoe UI" w:hAnsi="Segoe UI" w:eastAsia="Segoe UI" w:cs="Segoe UI"/>
                <w:color w:val="1F1D1A"/>
                <w:sz w:val="18"/>
              </w:rPr>
              <w:t>MITECO, Evaluación de la calidad del aire en España 2024</w:t>
            </w:r>
          </w:p>
        </w:tc>
      </w:tr>
      <w:tr>
        <w:tc>
          <w:tcPr>
            <w:tcW w:type="dxa" w:w="1312"/>
          </w:tcPr>
          <w:p>
            <w:pPr>
              <w:spacing w:after="20" w:line="264" w:lineRule="auto"/>
            </w:pPr>
            <w:r/>
            <w:r>
              <w:rPr>
                <w:rFonts w:ascii="Segoe UI" w:hAnsi="Segoe UI" w:eastAsia="Segoe UI" w:cs="Segoe UI"/>
                <w:color w:val="1F1D1A"/>
                <w:sz w:val="18"/>
              </w:rPr>
              <w:t>El aire, con los valores guía de la OMS</w:t>
            </w:r>
          </w:p>
        </w:tc>
        <w:tc>
          <w:tcPr>
            <w:tcW w:type="dxa" w:w="1312"/>
          </w:tcPr>
          <w:p>
            <w:pPr>
              <w:spacing w:after="20" w:line="264" w:lineRule="auto"/>
            </w:pPr>
            <w:r/>
            <w:r>
              <w:rPr>
                <w:rFonts w:ascii="Segoe UI" w:hAnsi="Segoe UI" w:eastAsia="Segoe UI" w:cs="Segoe UI"/>
                <w:color w:val="1F1D1A"/>
                <w:sz w:val="18"/>
              </w:rPr>
              <w:t>UE, 2024</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Más del 90 % de la población urbana, expuesta por encima de ellos</w:t>
            </w:r>
          </w:p>
        </w:tc>
        <w:tc>
          <w:tcPr>
            <w:tcW w:type="dxa" w:w="1312"/>
          </w:tcPr>
          <w:p>
            <w:pPr>
              <w:spacing w:after="20" w:line="264" w:lineRule="auto"/>
            </w:pPr>
            <w:r/>
            <w:r>
              <w:rPr>
                <w:rFonts w:ascii="Segoe UI" w:hAnsi="Segoe UI" w:eastAsia="Segoe UI" w:cs="Segoe UI"/>
                <w:color w:val="1F1D1A"/>
                <w:sz w:val="18"/>
              </w:rPr>
              <w:t>La contaminación baja desde hace dos décadas</w:t>
            </w:r>
          </w:p>
        </w:tc>
        <w:tc>
          <w:tcPr>
            <w:tcW w:type="dxa" w:w="1312"/>
          </w:tcPr>
          <w:p>
            <w:pPr>
              <w:spacing w:after="20" w:line="264" w:lineRule="auto"/>
            </w:pPr>
            <w:r/>
            <w:r>
              <w:rPr>
                <w:rFonts w:ascii="Segoe UI" w:hAnsi="Segoe UI" w:eastAsia="Segoe UI" w:cs="Segoe UI"/>
                <w:color w:val="1F1D1A"/>
                <w:sz w:val="18"/>
              </w:rPr>
              <w:t>Hasta un 20 % de las estaciones, por encima de las normas legales de la UE</w:t>
            </w:r>
          </w:p>
        </w:tc>
        <w:tc>
          <w:tcPr>
            <w:tcW w:type="dxa" w:w="1312"/>
          </w:tcPr>
          <w:p>
            <w:pPr>
              <w:spacing w:after="20" w:line="264" w:lineRule="auto"/>
            </w:pPr>
            <w:r/>
            <w:r>
              <w:rPr>
                <w:rFonts w:ascii="Segoe UI" w:hAnsi="Segoe UI" w:eastAsia="Segoe UI" w:cs="Segoe UI"/>
                <w:color w:val="1F1D1A"/>
                <w:sz w:val="18"/>
              </w:rPr>
              <w:t>Agencia Europea de Medio Ambiente, 2026</w:t>
            </w:r>
          </w:p>
        </w:tc>
      </w:tr>
      <w:tr>
        <w:tc>
          <w:tcPr>
            <w:tcW w:type="dxa" w:w="1312"/>
          </w:tcPr>
          <w:p>
            <w:pPr>
              <w:spacing w:after="20" w:line="264" w:lineRule="auto"/>
            </w:pPr>
            <w:r/>
            <w:r>
              <w:rPr>
                <w:rFonts w:ascii="Segoe UI" w:hAnsi="Segoe UI" w:eastAsia="Segoe UI" w:cs="Segoe UI"/>
                <w:color w:val="1F1D1A"/>
                <w:sz w:val="18"/>
              </w:rPr>
              <w:t>El agua</w:t>
            </w:r>
          </w:p>
        </w:tc>
        <w:tc>
          <w:tcPr>
            <w:tcW w:type="dxa" w:w="1312"/>
          </w:tcPr>
          <w:p>
            <w:pPr>
              <w:spacing w:after="20" w:line="264" w:lineRule="auto"/>
            </w:pPr>
            <w:r/>
            <w:r>
              <w:rPr>
                <w:rFonts w:ascii="Segoe UI" w:hAnsi="Segoe UI" w:eastAsia="Segoe UI" w:cs="Segoe UI"/>
                <w:color w:val="1F1D1A"/>
                <w:sz w:val="18"/>
              </w:rPr>
              <w:t>España, seguimiento de 2023</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En buen estado, el 50,2 % de las masas superficiales (2.745 de 5.470) y el 54,1 % de las subterráneas (435 de 804); cálculo de la edición</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2024</w:t>
            </w:r>
          </w:p>
        </w:tc>
      </w:tr>
      <w:tr>
        <w:tc>
          <w:tcPr>
            <w:tcW w:type="dxa" w:w="1312"/>
          </w:tcPr>
          <w:p>
            <w:pPr>
              <w:spacing w:after="20" w:line="264" w:lineRule="auto"/>
            </w:pPr>
            <w:r/>
            <w:r>
              <w:rPr>
                <w:rFonts w:ascii="Segoe UI" w:hAnsi="Segoe UI" w:eastAsia="Segoe UI" w:cs="Segoe UI"/>
                <w:color w:val="1F1D1A"/>
                <w:sz w:val="18"/>
              </w:rPr>
              <w:t>El agua</w:t>
            </w:r>
          </w:p>
        </w:tc>
        <w:tc>
          <w:tcPr>
            <w:tcW w:type="dxa" w:w="1312"/>
          </w:tcPr>
          <w:p>
            <w:pPr>
              <w:spacing w:after="20" w:line="264" w:lineRule="auto"/>
            </w:pPr>
            <w:r/>
            <w:r>
              <w:rPr>
                <w:rFonts w:ascii="Segoe UI" w:hAnsi="Segoe UI" w:eastAsia="Segoe UI" w:cs="Segoe UI"/>
                <w:color w:val="1F1D1A"/>
                <w:sz w:val="18"/>
              </w:rPr>
              <w:t>Europa, 2021</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Estado ecológico bueno o muy bueno, el 37 % de las aguas superficiales; buen estado químico, el 29 %</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Agencia Europea de Medio Ambiente, 2024</w:t>
            </w:r>
          </w:p>
        </w:tc>
      </w:tr>
      <w:tr>
        <w:tc>
          <w:tcPr>
            <w:tcW w:type="dxa" w:w="1312"/>
          </w:tcPr>
          <w:p>
            <w:pPr>
              <w:spacing w:after="20" w:line="264" w:lineRule="auto"/>
            </w:pPr>
            <w:r/>
            <w:r>
              <w:rPr>
                <w:rFonts w:ascii="Segoe UI" w:hAnsi="Segoe UI" w:eastAsia="Segoe UI" w:cs="Segoe UI"/>
                <w:color w:val="1F1D1A"/>
                <w:sz w:val="18"/>
              </w:rPr>
              <w:t>El suelo</w:t>
            </w:r>
          </w:p>
        </w:tc>
        <w:tc>
          <w:tcPr>
            <w:tcW w:type="dxa" w:w="1312"/>
          </w:tcPr>
          <w:p>
            <w:pPr>
              <w:spacing w:after="20" w:line="264" w:lineRule="auto"/>
            </w:pPr>
            <w:r/>
            <w:r>
              <w:rPr>
                <w:rFonts w:ascii="Segoe UI" w:hAnsi="Segoe UI" w:eastAsia="Segoe UI" w:cs="Segoe UI"/>
                <w:color w:val="1F1D1A"/>
                <w:sz w:val="18"/>
              </w:rPr>
              <w:t>España</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El 24,8 % de la superficie erosionable, con erosión media o alta (más de 10 toneladas por hectárea y año)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La erosión</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2024</w:t>
            </w:r>
          </w:p>
        </w:tc>
      </w:tr>
      <w:tr>
        <w:tc>
          <w:tcPr>
            <w:tcW w:type="dxa" w:w="1312"/>
          </w:tcPr>
          <w:p>
            <w:pPr>
              <w:spacing w:after="20" w:line="264" w:lineRule="auto"/>
            </w:pPr>
            <w:r/>
            <w:r>
              <w:rPr>
                <w:rFonts w:ascii="Segoe UI" w:hAnsi="Segoe UI" w:eastAsia="Segoe UI" w:cs="Segoe UI"/>
                <w:color w:val="1F1D1A"/>
                <w:sz w:val="18"/>
              </w:rPr>
              <w:t>El suelo</w:t>
            </w:r>
          </w:p>
        </w:tc>
        <w:tc>
          <w:tcPr>
            <w:tcW w:type="dxa" w:w="1312"/>
          </w:tcPr>
          <w:p>
            <w:pPr>
              <w:spacing w:after="20" w:line="264" w:lineRule="auto"/>
            </w:pPr>
            <w:r/>
            <w:r>
              <w:rPr>
                <w:rFonts w:ascii="Segoe UI" w:hAnsi="Segoe UI" w:eastAsia="Segoe UI" w:cs="Segoe UI"/>
                <w:color w:val="1F1D1A"/>
                <w:sz w:val="18"/>
              </w:rPr>
              <w:t>UE, 2024</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Más del 60 %, probablemente no sano (basta un proceso de degradación)</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La degradación</w:t>
            </w:r>
          </w:p>
        </w:tc>
        <w:tc>
          <w:tcPr>
            <w:tcW w:type="dxa" w:w="1312"/>
          </w:tcPr>
          <w:p>
            <w:pPr>
              <w:spacing w:after="20" w:line="264" w:lineRule="auto"/>
            </w:pPr>
            <w:r/>
            <w:r>
              <w:rPr>
                <w:rFonts w:ascii="Segoe UI" w:hAnsi="Segoe UI" w:eastAsia="Segoe UI" w:cs="Segoe UI"/>
                <w:color w:val="1F1D1A"/>
                <w:sz w:val="18"/>
              </w:rPr>
              <w:t>Centro Común de Investigación de la Comisión Europea, 2024</w:t>
            </w:r>
          </w:p>
        </w:tc>
      </w:tr>
      <w:tr>
        <w:tc>
          <w:tcPr>
            <w:tcW w:type="dxa" w:w="1312"/>
          </w:tcPr>
          <w:p>
            <w:pPr>
              <w:spacing w:after="20" w:line="264" w:lineRule="auto"/>
            </w:pPr>
            <w:r/>
            <w:r>
              <w:rPr>
                <w:rFonts w:ascii="Segoe UI" w:hAnsi="Segoe UI" w:eastAsia="Segoe UI" w:cs="Segoe UI"/>
                <w:color w:val="1F1D1A"/>
                <w:sz w:val="18"/>
              </w:rPr>
              <w:t>Hijos por mujer</w:t>
            </w:r>
          </w:p>
        </w:tc>
        <w:tc>
          <w:tcPr>
            <w:tcW w:type="dxa" w:w="1312"/>
          </w:tcPr>
          <w:p>
            <w:pPr>
              <w:spacing w:after="20" w:line="264" w:lineRule="auto"/>
            </w:pPr>
            <w:r/>
            <w:r>
              <w:rPr>
                <w:rFonts w:ascii="Segoe UI" w:hAnsi="Segoe UI" w:eastAsia="Segoe UI" w:cs="Segoe UI"/>
                <w:color w:val="1F1D1A"/>
                <w:sz w:val="18"/>
              </w:rPr>
              <w:t>España, 2024</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1,10 (</w:t>
            </w:r>
            <w:r>
              <w:rPr>
                <w:rFonts w:ascii="Segoe UI" w:hAnsi="Segoe UI" w:eastAsia="Segoe UI" w:cs="Segoe UI"/>
                <w:color w:val="1F1D1A"/>
                <w:sz w:val="18"/>
              </w:rPr>
              <w:t>8.8</w:t>
            </w:r>
            <w:r>
              <w:rPr>
                <w:rFonts w:ascii="Segoe UI" w:hAnsi="Segoe UI" w:eastAsia="Segoe UI" w:cs="Segoe UI"/>
                <w:color w:val="1F1D1A"/>
                <w:sz w:val="18"/>
              </w:rPr>
              <w:t>)</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INE (</w:t>
            </w:r>
            <w:r>
              <w:rPr>
                <w:rFonts w:ascii="Segoe UI" w:hAnsi="Segoe UI" w:eastAsia="Segoe UI" w:cs="Segoe UI"/>
                <w:color w:val="1F1D1A"/>
                <w:sz w:val="18"/>
              </w:rPr>
              <w:t>8.8</w:t>
            </w:r>
            <w:r>
              <w:rPr>
                <w:rFonts w:ascii="Segoe UI" w:hAnsi="Segoe UI" w:eastAsia="Segoe UI" w:cs="Segoe UI"/>
                <w:color w:val="1F1D1A"/>
                <w:sz w:val="18"/>
              </w:rPr>
              <w:t>)</w:t>
            </w:r>
          </w:p>
        </w:tc>
      </w:tr>
      <w:tr>
        <w:tc>
          <w:tcPr>
            <w:tcW w:type="dxa" w:w="1312"/>
          </w:tcPr>
          <w:p>
            <w:pPr>
              <w:spacing w:after="20" w:line="264" w:lineRule="auto"/>
            </w:pPr>
            <w:r/>
            <w:r>
              <w:rPr>
                <w:rFonts w:ascii="Segoe UI" w:hAnsi="Segoe UI" w:eastAsia="Segoe UI" w:cs="Segoe UI"/>
                <w:color w:val="1F1D1A"/>
                <w:sz w:val="18"/>
              </w:rPr>
              <w:t>Hijos por mujer</w:t>
            </w:r>
          </w:p>
        </w:tc>
        <w:tc>
          <w:tcPr>
            <w:tcW w:type="dxa" w:w="1312"/>
          </w:tcPr>
          <w:p>
            <w:pPr>
              <w:spacing w:after="20" w:line="264" w:lineRule="auto"/>
            </w:pPr>
            <w:r/>
            <w:r>
              <w:rPr>
                <w:rFonts w:ascii="Segoe UI" w:hAnsi="Segoe UI" w:eastAsia="Segoe UI" w:cs="Segoe UI"/>
                <w:color w:val="1F1D1A"/>
                <w:sz w:val="18"/>
              </w:rPr>
              <w:t>UE, 2001-2024</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De 1,43 a 1,34, su mínimo</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Eurostat</w:t>
            </w:r>
          </w:p>
        </w:tc>
      </w:tr>
      <w:tr>
        <w:tc>
          <w:tcPr>
            <w:tcW w:type="dxa" w:w="1312"/>
          </w:tcPr>
          <w:p>
            <w:pPr>
              <w:spacing w:after="20" w:line="264" w:lineRule="auto"/>
            </w:pPr>
            <w:r/>
            <w:r>
              <w:rPr>
                <w:rFonts w:ascii="Segoe UI" w:hAnsi="Segoe UI" w:eastAsia="Segoe UI" w:cs="Segoe UI"/>
                <w:color w:val="1F1D1A"/>
                <w:sz w:val="18"/>
              </w:rPr>
              <w:t>Hijos por mujer</w:t>
            </w:r>
          </w:p>
        </w:tc>
        <w:tc>
          <w:tcPr>
            <w:tcW w:type="dxa" w:w="1312"/>
          </w:tcPr>
          <w:p>
            <w:pPr>
              <w:spacing w:after="20" w:line="264" w:lineRule="auto"/>
            </w:pPr>
            <w:r/>
            <w:r>
              <w:rPr>
                <w:rFonts w:ascii="Segoe UI" w:hAnsi="Segoe UI" w:eastAsia="Segoe UI" w:cs="Segoe UI"/>
                <w:color w:val="1F1D1A"/>
                <w:sz w:val="18"/>
              </w:rPr>
              <w:t>Mundo, 1970-2024</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De 4,83 a 2,25 (1970, estimación; 2024, primer año de la proyección)</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Naciones Unidas, Perspectivas de la población mundial 2024</w:t>
            </w:r>
          </w:p>
        </w:tc>
      </w:tr>
    </w:tbl>
    <w:p>
      <w:pPr>
        <w:spacing w:after="80"/>
      </w:pPr>
    </w:p>
    <w:p>
      <w:r>
        <w:t>Sin leer en su fuente, y por eso fuera de la tabla: la biomasa de los peces del mar, el buen estado del mar de España por descriptores, los plásticos que entran al mar en el mundo, el estado del suelo del mundo y la superficie del eucalipto en España.</w:t>
      </w:r>
    </w:p>
    <w:p>
      <w:r>
        <w:t>[encargo de fuentes «frutos del planeta», lotes A a D, 12-oct-2026 (</w:t>
      </w:r>
      <w:r>
        <w:rPr>
          <w:rFonts w:ascii="Consolas" w:hAnsi="Consolas" w:eastAsia="Consolas" w:cs="Consolas"/>
          <w:color w:val="1F1D1A"/>
          <w:sz w:val="19"/>
        </w:rPr>
        <w:t>07/fuentes/frutos_del_planeta</w:t>
      </w:r>
      <w:r>
        <w:t>), verificados por programa; cada cifra, vuelta a buscar en su archivo (</w:t>
      </w:r>
      <w:r>
        <w:rPr>
          <w:rFonts w:ascii="Consolas" w:hAnsi="Consolas" w:eastAsia="Consolas" w:cs="Consolas"/>
          <w:color w:val="1F1D1A"/>
          <w:sz w:val="19"/>
        </w:rPr>
        <w:t>comprobar_B20.py</w:t>
      </w:r>
      <w:r>
        <w:t>, 66 de 66); borrador B20]</w:t>
      </w:r>
    </w:p>
    <w:p>
      <w:r>
        <w:rPr>
          <w:b/>
        </w:rPr>
        <w:t>Lectura del autor:</w:t>
      </w:r>
      <w:r>
        <w:t xml:space="preserve"> lo que se pierde en el planeta son los daños colaterales de un sistema basado contra natura (</w:t>
      </w:r>
      <w:r>
        <w:t>5.2</w:t>
      </w:r>
      <w:r>
        <w:t>): aquí vemos los daños colaterales de la naturaleza. Por eso la poda empieza por el Estado, que gestiona el bien común. Un sistema así no sostiene la vida: está desalineado de lo que la fomenta, camuflado en sus formas y en su complejidad. Si no avanza al ritmo del pueblo, ¿a quién sirve? (</w:t>
      </w:r>
      <w:r>
        <w:t>1.1</w:t>
      </w:r>
      <w:r>
        <w:t>). Y si, como un capitán, ha perdido el rumbo, primero se le pide una contestación motivada, de buena fe, por si él mismo decide alinearse (</w:t>
      </w:r>
      <w:r>
        <w:t>10.4</w:t>
      </w:r>
      <w:r>
        <w:t xml:space="preserve">; </w:t>
      </w:r>
      <w:r>
        <w:t>10.2</w:t>
      </w:r>
      <w:r>
        <w:t>); si no, se le aparta del timón como la historia muestra que se hace, cuando el pueblo deja de sostenerlo (</w:t>
      </w:r>
      <w:r>
        <w:t>9.2</w:t>
      </w:r>
      <w:r>
        <w:t>), y siempre por las puertas que la ley ya tiene (</w:t>
      </w:r>
      <w:r>
        <w:t>capítulo 10</w:t>
      </w:r>
      <w:r>
        <w:t>). El ente sin cuerpo no tiene aliento de vida (</w:t>
      </w:r>
      <w:r>
        <w:t>2.1</w:t>
      </w:r>
      <w:r>
        <w:t xml:space="preserve">; </w:t>
      </w:r>
      <w:r>
        <w:t>anexo D</w:t>
      </w:r>
      <w:r>
        <w:t>): por eso la contestación se pide a las personas que le prestan el suyo. Se señala el hecho, no a nadie. Lo que se señala es aquello que nació del padre de la mentira en el juego de la doble polaridad, lo que torció el rumbo y secó las ramas (</w:t>
      </w:r>
      <w:r>
        <w:t>4.4</w:t>
      </w:r>
      <w:r>
        <w:t xml:space="preserve">; </w:t>
      </w:r>
      <w:r>
        <w:t>J.3</w:t>
      </w:r>
      <w:r>
        <w:t xml:space="preserve">). Qué parte del árbol mira cada capítulo está en el mapa de J.1. </w:t>
      </w:r>
      <w:r>
        <w:t>[Kiko, chats de 08.18 y 08.19, 12-oct-2026; parlamento del hilo de la poda (08/20), apartados 5.1, 11 y 12; borrador B15; lectura del autor y una conclusión con las palabras de 9.1; sin dato nuevo; los daños colaterales, con las palabras de Kiko en el chat de 08.26, 12-oct-2026 (B20 bis)]</w:t>
      </w:r>
    </w:p>
    <w:p>
      <w:r>
        <w:rPr>
          <w:b/>
        </w:rPr>
        <w:t>Lo que no hace.</w:t>
      </w:r>
      <w:r>
        <w:t xml:space="preserve"> La obra no exime de ninguna obligación vigente: mientras el Estado no cambie, las obligaciones vigentes siguen vigentes</w:t>
      </w:r>
      <w:r>
        <w:t xml:space="preserve"> (Constitución, art. 9.1)</w:t>
      </w:r>
      <w:r>
        <w:t xml:space="preserve">. Tampoco invita a desobedecer. Juzga instituciones y diseños legales, nunca personas ni colectivos. Y no da consejo financiero ni de inversión. </w:t>
      </w:r>
      <w:r>
        <w:t>[00.0-7.4; libro de estilo §4]</w:t>
      </w:r>
    </w:p>
    <w:p>
      <w:r>
        <w:rPr>
          <w:b/>
        </w:rPr>
        <w:t>La Biblioteca y esta edición.</w:t>
      </w:r>
      <w:r>
        <w:t xml:space="preserve"> La obra existe de dos formas:</w:t>
      </w:r>
    </w:p>
    <w:p>
      <w:pPr>
        <w:pStyle w:val="ListBullet"/>
      </w:pPr>
      <w:r>
        <w:rPr>
          <w:b/>
        </w:rPr>
        <w:t>la Biblioteca:</w:t>
      </w:r>
      <w:r>
        <w:t xml:space="preserve"> las 40 piezas, con la auditoría completa y todas sus fuentes. Queda como archivo, sin tocar;</w:t>
      </w:r>
    </w:p>
    <w:p>
      <w:pPr>
        <w:pStyle w:val="ListBullet"/>
      </w:pPr>
      <w:r>
        <w:rPr>
          <w:b/>
        </w:rPr>
        <w:t>esta edición,</w:t>
      </w:r>
      <w:r>
        <w:t xml:space="preserve"> escrita para leerse de seguido. No añade datos. En el nivel completo, cada párrafo dice de qué pieza sale, con su número. Por ejemplo, 08.00 es la pieza «Reflexión filosófica propia sobre el cuerpo, la conciencia y el respeto». Así cualquiera puede ir al original y comprobarlo.</w:t>
      </w:r>
    </w:p>
    <w:p>
      <w:r>
        <w:t>[glosario 1.2 y 1.3; plan de la edición]</w:t>
      </w:r>
    </w:p>
    <w:p>
      <w:r>
        <w:rPr>
          <w:b/>
        </w:rPr>
        <w:t>Cómo se hizo.</w:t>
      </w:r>
      <w:r>
        <w:t xml:space="preserve"> La obra se ordenó con ayuda de herramientas de inteligencia artificial: Claude Code, Sofía, el asistente de inteligencia artificial de Google y NotebookLM. Las reglas con que se hizo, para que cualquiera pueda repetirla en otro país, están en el </w:t>
      </w:r>
      <w:r>
        <w:t>anexo G</w:t>
      </w:r>
      <w:r>
        <w:t xml:space="preserve">. </w:t>
      </w:r>
      <w:r>
        <w:t>[glosario 1.4]</w:t>
      </w:r>
    </w:p>
    <w:p>
      <w:pPr>
        <w:pStyle w:val="Heading2"/>
      </w:pPr>
      <w:r>
        <w:t>0.3 Cómo se lee cada capítulo</w:t>
      </w:r>
    </w:p>
    <w:p>
      <w:pPr>
        <w:pBdr>
          <w:left w:val="single" w:sz="24" w:space="6" w:color="E2DED6"/>
        </w:pBdr>
        <w:shd w:val="clear" w:color="auto" w:fill="F1EEE8"/>
        <w:spacing w:before="80" w:after="160"/>
        <w:ind w:left="142" w:right="142"/>
      </w:pPr>
      <w:r>
        <w:rPr>
          <w:b/>
        </w:rPr>
        <w:t>La idea: cada capítulo separa siempre el dato de la interpretación, y el lector elige a qué nivel lee.</w:t>
      </w:r>
    </w:p>
    <w:p>
      <w:r>
        <w:rPr>
          <w:b/>
        </w:rPr>
        <w:t>Tres puertas, seis escalones.</w:t>
      </w:r>
      <w:r>
        <w:t xml:space="preserve"> El lector elige arriba por qué puerta entra y, dentro de cada puerta, cuánto quiere ver; puede cambiar cuando quiera, y el lector recuerda su elección:</w:t>
      </w:r>
    </w:p>
    <w:p>
      <w:pPr>
        <w:pStyle w:val="ListBullet"/>
      </w:pPr>
      <w:r>
        <w:rPr>
          <w:b/>
        </w:rPr>
        <w:t>Lo que concluye.</w:t>
      </w:r>
      <w:r>
        <w:t xml:space="preserve"> Primero, las conclusiones: «La idea» de cada apartado, «En pocas palabras» y «Para recordar», el esqueleto de la obra en cinco minutos. Después, la lectura entera, en español; una marca pequeña (◦) junto a cada cita avisa de que tiene fuente, y al pasar el ratón la dice.</w:t>
      </w:r>
    </w:p>
    <w:p>
      <w:pPr>
        <w:pStyle w:val="ListBullet"/>
      </w:pPr>
      <w:r>
        <w:rPr>
          <w:b/>
        </w:rPr>
        <w:t>Lo que lo sostiene.</w:t>
      </w:r>
      <w:r>
        <w:t xml:space="preserve"> Primero, de dónde sale cada cita: el libro, el artículo o el versículo. Después, el texto completo: el original de cada cita en su lengua (latín, griego, hebreo, árabe, chino…), dónde se leyó, las tablas y los textos completos, y el código que lleva a la pieza de la Biblioteca de donde sale cada párrafo.</w:t>
      </w:r>
    </w:p>
    <w:p>
      <w:pPr>
        <w:pStyle w:val="ListBullet"/>
      </w:pPr>
      <w:r>
        <w:rPr>
          <w:b/>
        </w:rPr>
        <w:t>Lo que lo confirma.</w:t>
      </w:r>
      <w:r>
        <w:t xml:space="preserve"> Primero, la prueba: junto a cada cita, el pasaje tal como está en su fuente, el archivo donde se leyó y el lugar exacto, sacados del archivo de pasajes por programa, nunca a mano; lo que se ha leído en su fuente lleva su marca, y lo que todavía no, también se dice. Después, lo extenso: lo que no cabe en el texto, como los demás pasajes de una tradición o las fichas enteras.</w:t>
      </w:r>
    </w:p>
    <w:p>
      <w:r>
        <w:rPr>
          <w:b/>
        </w:rPr>
        <w:t>Lectura del autor: para quien necesita ver y tocar.</w:t>
      </w:r>
      <w:r>
        <w:t xml:space="preserve"> Tomás no creyó por lo que le contaron: «Si no viere en sus manos la señal de los clavos, y metiere mi dedo en el lugar de los clavos, y metiere mi mano en su costado, no creeré»</w:t>
      </w:r>
      <w:r>
        <w:t xml:space="preserve"> (Jn 20:25)</w:t>
      </w:r>
      <w:r>
        <w:br/>
      </w:r>
      <w:r>
        <w:rPr>
          <w:b/>
        </w:rPr>
        <w:t>leída en su fuente · Jn 20:25</w:t>
      </w:r>
      <w:r>
        <w:br/>
      </w:r>
      <w:r>
        <w:rPr>
          <w:b/>
        </w:rPr>
        <w:t>Archivo leído:</w:t>
      </w:r>
      <w:r>
        <w:t xml:space="preserve"> spaRV1909_texto_corrido.txt (biblia_rv1909\spaRV1909_texto_corrido.txt) · contraste del archivo de pasajes: ✔</w:t>
      </w:r>
      <w:r>
        <w:br/>
      </w:r>
      <w:r>
        <w:rPr>
          <w:b/>
        </w:rPr>
        <w:t>Lugar:</w:t>
      </w:r>
      <w:r>
        <w:t xml:space="preserve"> Jn 20:25</w:t>
      </w:r>
      <w:r>
        <w:br/>
      </w:r>
      <w:r>
        <w:rPr>
          <w:b/>
        </w:rPr>
        <w:t>Tal como está en la fuente:</w:t>
      </w:r>
      <w:r>
        <w:t xml:space="preserve"> Si no viere en sus manos la señal de los clavos, y metiere mi dedo en el lugar de los clavos, y metiere mi mano en su costado, no creeré</w:t>
      </w:r>
      <w:r>
        <w:t>. Y no se le reprendió: «Mete tu dedo aquí, y ve mis manos: y alarga acá tu mano, y métela en mi costado»</w:t>
      </w:r>
      <w:r>
        <w:t xml:space="preserve"> (Jn 20:27)</w:t>
      </w:r>
      <w:r>
        <w:br/>
      </w:r>
      <w:r>
        <w:rPr>
          <w:b/>
        </w:rPr>
        <w:t>leída en su fuente · Jn 20:27</w:t>
      </w:r>
      <w:r>
        <w:br/>
      </w:r>
      <w:r>
        <w:rPr>
          <w:b/>
        </w:rPr>
        <w:t>Archivo leído:</w:t>
      </w:r>
      <w:r>
        <w:t xml:space="preserve"> spaRV1909_texto_corrido.txt (biblia_rv1909\spaRV1909_texto_corrido.txt) · contraste del archivo de pasajes: ✔</w:t>
      </w:r>
      <w:r>
        <w:br/>
      </w:r>
      <w:r>
        <w:rPr>
          <w:b/>
        </w:rPr>
        <w:t>Lugar:</w:t>
      </w:r>
      <w:r>
        <w:t xml:space="preserve"> Jn 20:27</w:t>
      </w:r>
      <w:r>
        <w:br/>
      </w:r>
      <w:r>
        <w:rPr>
          <w:b/>
        </w:rPr>
        <w:t>Tal como está en la fuente:</w:t>
      </w:r>
      <w:r>
        <w:t xml:space="preserve"> Mete tu dedo aquí, y ve mis manos: y alarga acá tu mano, y métela en mi costado</w:t>
      </w:r>
      <w:r>
        <w:t>; «bienaventurados los que no vieron y creyeron»</w:t>
      </w:r>
      <w:r>
        <w:t xml:space="preserve"> (Jn 20:29)</w:t>
      </w:r>
      <w:r>
        <w:br/>
      </w:r>
      <w:r>
        <w:rPr>
          <w:b/>
        </w:rPr>
        <w:t>leída en su fuente · Jn 20:29</w:t>
      </w:r>
      <w:r>
        <w:br/>
      </w:r>
      <w:r>
        <w:rPr>
          <w:b/>
        </w:rPr>
        <w:t>Archivo leído:</w:t>
      </w:r>
      <w:r>
        <w:t xml:space="preserve"> spaRV1909_texto_corrido.txt (biblia_rv1909\spaRV1909_texto_corrido.txt) · contraste del archivo de pasajes: ✔</w:t>
      </w:r>
      <w:r>
        <w:br/>
      </w:r>
      <w:r>
        <w:rPr>
          <w:b/>
        </w:rPr>
        <w:t>Lugar:</w:t>
      </w:r>
      <w:r>
        <w:t xml:space="preserve"> Jn 20:29</w:t>
      </w:r>
      <w:r>
        <w:br/>
      </w:r>
      <w:r>
        <w:rPr>
          <w:b/>
        </w:rPr>
        <w:t>Tal como está en la fuente:</w:t>
      </w:r>
      <w:r>
        <w:t xml:space="preserve"> bienaventurados los que no vieron y creyeron</w:t>
      </w:r>
      <w:r>
        <w:t>. La tercera puerta es para Tomás, y es un punto lícito. Quien necesita más pruebas no es menos: las necesita según su endurecimiento, que es el daño colateral de vivir en un sistema contra natura (</w:t>
      </w:r>
      <w:r>
        <w:t>10.9</w:t>
      </w:r>
      <w:r>
        <w:t>). Por eso la obra no reúne todo lo que existe, sino lo que ha leído y ha tenido por más relevante; si a alguien le falta algo que cambie una conclusión, que aporte dónde está, y se examinará con la misma vara.</w:t>
      </w:r>
    </w:p>
    <w:p>
      <w:r>
        <w:t xml:space="preserve">[Kiko, 9-oct-2026: las tres puertas y la versión D («Sí a las dos, concuerdo»; </w:t>
      </w:r>
      <w:r>
        <w:rPr>
          <w:rFonts w:ascii="Consolas" w:hAnsi="Consolas" w:eastAsia="Consolas" w:cs="Consolas"/>
          <w:color w:val="1F1D1A"/>
          <w:sz w:val="19"/>
        </w:rPr>
        <w:t>07/05</w:t>
      </w:r>
      <w:r>
        <w:t xml:space="preserve">) y, en el chat de 08, «el ejemplo de santo Tomás: si no lo veo y no lo palpo, no me lo creo; quien necesita más pruebas según su endurecimiento, como daño colateral de coexistir en un sistema totalmente contra natura»; Jn 20:25, 27 y 29 en la Reina-Valera 1909 de </w:t>
      </w:r>
      <w:r>
        <w:rPr>
          <w:rFonts w:ascii="Consolas" w:hAnsi="Consolas" w:eastAsia="Consolas" w:cs="Consolas"/>
          <w:color w:val="1F1D1A"/>
          <w:sz w:val="19"/>
        </w:rPr>
        <w:t>06</w:t>
      </w:r>
      <w:r>
        <w:t xml:space="preserve"> (</w:t>
      </w:r>
      <w:r>
        <w:rPr>
          <w:rFonts w:ascii="Consolas" w:hAnsi="Consolas" w:eastAsia="Consolas" w:cs="Consolas"/>
          <w:color w:val="1F1D1A"/>
          <w:sz w:val="19"/>
        </w:rPr>
        <w:t>spaRV1909_vpl.txt</w:t>
      </w:r>
      <w:r>
        <w:t>, leídos hoy); «contra natura» se dice de normas e instituciones, nunca de personas (5.2)]</w:t>
      </w:r>
    </w:p>
    <w:p>
      <w:r>
        <w:rPr>
          <w:b/>
        </w:rPr>
        <w:t>Las traducciones.</w:t>
      </w:r>
      <w:r>
        <w:t xml:space="preserve"> Cuando una cita tiene traductor publicado, se nombra: la Reina-Valera para la Biblia, Julio Cortés para el Corán, y así cada una. Cuando no se nombra traductor, la traducción al español es de esta edición, y el texto del que se ha hecho va al lado, en el nivel completo, para que cualquiera pueda comprobarla: el original o, cuando así se dice, una traducción reconocida. </w:t>
      </w:r>
      <w:r>
        <w:t>[Kiko, 5-oct-2026; libreta 72, punto 120]</w:t>
      </w:r>
    </w:p>
    <w:p>
      <w:r>
        <w:t xml:space="preserve">En todos los escalones se ven siempre los rótulos que separan el dato de la interpretación. Cada capítulo empieza con «En pocas palabras» y termina con «Para recordar», y cada apartado se abre con su idea en una frase. </w:t>
      </w:r>
      <w:r>
        <w:t>[decisión de Kiko del 5-oct; libreta 72, punto 112]</w:t>
      </w:r>
    </w:p>
    <w:p>
      <w:r>
        <w:rPr>
          <w:b/>
        </w:rPr>
        <w:t>Los rótulos.</w:t>
      </w:r>
      <w:r>
        <w:t xml:space="preserve"> Cada capítulo separa siempre lo que es dato de lo que es interpretación. Lo hace con rótulos fijos:</w:t>
      </w:r>
    </w:p>
    <w:p>
      <w:pPr>
        <w:spacing w:after="60"/>
        <w:ind w:left="510" w:hanging="397"/>
      </w:pPr>
      <w:r>
        <w:rPr>
          <w:b w:val="0"/>
        </w:rPr>
        <w:t xml:space="preserve">1. </w:t>
      </w:r>
      <w:r>
        <w:rPr>
          <w:b/>
        </w:rPr>
        <w:t>Los hechos,</w:t>
      </w:r>
      <w:r>
        <w:t xml:space="preserve"> cada uno con su fuente y su fecha: </w:t>
      </w:r>
    </w:p>
    <w:p>
      <w:pPr>
        <w:pStyle w:val="ListBullet2"/>
      </w:pPr>
      <w:r>
        <w:t>lo que se ha leído en su fuente original no lleva marca;</w:t>
      </w:r>
    </w:p>
    <w:p>
      <w:pPr>
        <w:pStyle w:val="ListBullet2"/>
      </w:pPr>
      <w:r>
        <w:t>lo que sale de fuentes secundarias fiables lleva la marca «fuente secundaria»;</w:t>
      </w:r>
    </w:p>
    <w:p>
      <w:pPr>
        <w:pStyle w:val="ListBullet2"/>
      </w:pPr>
      <w:r>
        <w:t>lo que no se ha podido comprobar no entra como hecho: si hay que mencionarlo, porque circula, se dice como afirmación y lleva la etiqueta «presunción» (</w:t>
      </w:r>
      <w:r>
        <w:t>0.4</w:t>
      </w:r>
      <w:r>
        <w:t>).</w:t>
      </w:r>
    </w:p>
    <w:p>
      <w:pPr>
        <w:spacing w:after="60"/>
        <w:ind w:left="510" w:hanging="397"/>
      </w:pPr>
      <w:r>
        <w:rPr>
          <w:b w:val="0"/>
        </w:rPr>
        <w:t xml:space="preserve">2. </w:t>
      </w:r>
      <w:r>
        <w:rPr>
          <w:b/>
        </w:rPr>
        <w:t>«Conclusión, lo que arrojan los datos»:</w:t>
      </w:r>
      <w:r>
        <w:t xml:space="preserve"> solo lo que se sigue de esos hechos. </w:t>
      </w:r>
    </w:p>
    <w:p>
      <w:pPr>
        <w:pStyle w:val="ListBullet2"/>
      </w:pPr>
      <w:r>
        <w:t>Cuando varios hechos, puestos en orden de fechas, marcan un camino, se dice qué dirección llevan. Por sus frutos se analiza; no se juzga la intención de nadie, porque un patrón no prueba una intención.</w:t>
      </w:r>
    </w:p>
    <w:p>
      <w:pPr>
        <w:pStyle w:val="ListBullet2"/>
      </w:pPr>
      <w:r>
        <w:t>Se dicen también los hechos que no encajan con esa dirección.</w:t>
      </w:r>
    </w:p>
    <w:p>
      <w:pPr>
        <w:spacing w:after="60"/>
        <w:ind w:left="510" w:hanging="397"/>
      </w:pPr>
      <w:r>
        <w:rPr>
          <w:b w:val="0"/>
        </w:rPr>
        <w:t xml:space="preserve">3. </w:t>
      </w:r>
      <w:r>
        <w:rPr>
          <w:b/>
        </w:rPr>
        <w:t>«Lectura del autor»:</w:t>
      </w:r>
      <w:r>
        <w:t xml:space="preserve"> la interpretación del autor, siempre marcada como suya. Las intenciones, las analogías y lo que el autor ve detrás de los hechos van aquí, nunca como dato.</w:t>
      </w:r>
    </w:p>
    <w:p>
      <w:pPr>
        <w:spacing w:after="60"/>
        <w:ind w:left="510" w:hanging="397"/>
      </w:pPr>
      <w:r>
        <w:rPr>
          <w:b w:val="0"/>
        </w:rPr>
        <w:t xml:space="preserve">4. </w:t>
      </w:r>
      <w:r>
        <w:rPr>
          <w:b/>
        </w:rPr>
        <w:t>«Límite honesto de la prueba»:</w:t>
      </w:r>
      <w:r>
        <w:t xml:space="preserve"> lo que los datos no permiten afirmar, y lo que la obra concede. Va en el mismo capítulo, junto a lo que se afirma, para que nada se diga con más fuerza de la que tiene su prueba.</w:t>
      </w:r>
    </w:p>
    <w:p>
      <w:pPr>
        <w:spacing w:after="60"/>
        <w:ind w:left="510" w:hanging="397"/>
      </w:pPr>
      <w:r>
        <w:rPr>
          <w:b w:val="0"/>
        </w:rPr>
        <w:t xml:space="preserve">5. </w:t>
      </w:r>
      <w:r>
        <w:rPr>
          <w:b/>
        </w:rPr>
        <w:t>«La mejor defensa del Estado y los contrapuntos de la obra»:</w:t>
      </w:r>
      <w:r>
        <w:t xml:space="preserve"> </w:t>
      </w:r>
    </w:p>
    <w:p>
      <w:pPr>
        <w:pStyle w:val="ListBullet2"/>
      </w:pPr>
      <w:r>
        <w:rPr>
          <w:b/>
        </w:rPr>
        <w:t>la defensa:</w:t>
      </w:r>
      <w:r>
        <w:t xml:space="preserve"> la mejor que podría dar el Estado, escrita en su propia jerga, con sus leyes, su doctrina y sus sentencias;</w:t>
      </w:r>
    </w:p>
    <w:p>
      <w:pPr>
        <w:pStyle w:val="ListBullet2"/>
      </w:pPr>
      <w:r>
        <w:rPr>
          <w:b/>
        </w:rPr>
        <w:t>los contrapuntos:</w:t>
      </w:r>
      <w:r>
        <w:t xml:space="preserve"> la respuesta de la obra. Concede lo que es cierto, responde primero con la propia ley del Estado y después con las leyes que están por encima de ella, y dice también dónde la defensa aguanta.</w:t>
      </w:r>
    </w:p>
    <w:p>
      <w:pPr>
        <w:pStyle w:val="ListBullet2"/>
      </w:pPr>
      <w:r>
        <w:t>«Una tortilla necesita sus dos caras»: el lector juzga mejor cuando oye a las dos partes.</w:t>
      </w:r>
    </w:p>
    <w:p>
      <w:pPr>
        <w:pStyle w:val="ListBullet2"/>
      </w:pPr>
      <w:r>
        <w:t>Para que el libro se lea de seguido, y para que cada objeción se responda una sola vez, las defensas no van al final de cada capítulo. Se reúnen en el juicio (</w:t>
      </w:r>
      <w:r>
        <w:t>capítulo 11</w:t>
      </w:r>
      <w:r>
        <w:t>), cargo por cargo. Cada cargo termina dándole al Estado la última palabra, como hace su propia ley con todo acusado.</w:t>
      </w:r>
    </w:p>
    <w:p>
      <w:pPr>
        <w:pStyle w:val="ListBullet2"/>
      </w:pPr>
      <w:r>
        <w:t>En cada capítulo queda una línea que dice dónde se oye su defensa.</w:t>
      </w:r>
    </w:p>
    <w:p>
      <w:r>
        <w:t>[00.0-0.0.3; 00.0-10.7; 01.00-17.1; glosario 5.5 y 8.13; libro de estilo §2 y §3]</w:t>
      </w:r>
    </w:p>
    <w:p>
      <w:r>
        <w:rPr>
          <w:b/>
        </w:rPr>
        <w:t>Las dos fórmulas de la lectura del autor.</w:t>
      </w:r>
    </w:p>
    <w:p>
      <w:pPr>
        <w:pStyle w:val="ListBullet"/>
      </w:pPr>
      <w:r>
        <w:rPr>
          <w:b/>
        </w:rPr>
        <w:t>Cuando un hecho muestra un engaño,</w:t>
      </w:r>
      <w:r>
        <w:t xml:space="preserve"> la lectura del autor lo dice siempre con la misma frase: «esto apunta hacia el padre de la mentira (Jn 8:44)». </w:t>
      </w:r>
    </w:p>
    <w:p>
      <w:pPr>
        <w:pStyle w:val="ListBullet2"/>
      </w:pPr>
      <w:r>
        <w:t>La expresión es del Evangelio de Juan, que dice del diablo: «es mentiroso, y padre de mentira»</w:t>
      </w:r>
      <w:r>
        <w:t xml:space="preserve"> (Jn 8:44)</w:t>
      </w:r>
      <w:r>
        <w:br/>
      </w:r>
      <w:r>
        <w:rPr>
          <w:b/>
        </w:rPr>
        <w:t>leída en su fuente · Jn 8:44</w:t>
      </w:r>
      <w:r>
        <w:br/>
      </w:r>
      <w:r>
        <w:rPr>
          <w:b/>
        </w:rPr>
        <w:t>Archivo leído:</w:t>
      </w:r>
      <w:r>
        <w:t xml:space="preserve"> rva_jn8.txt (c4_44\rva_jn8.txt) · contraste del archivo de pasajes: ✔</w:t>
      </w:r>
      <w:r>
        <w:br/>
      </w:r>
      <w:r>
        <w:rPr>
          <w:b/>
        </w:rPr>
        <w:t>Tal como está en la fuente:</w:t>
      </w:r>
      <w:r>
        <w:t xml:space="preserve"> Cuando habla mentira, de suyo habla; porque es mentiroso, y padre de mentira.</w:t>
      </w:r>
      <w:r>
        <w:br/>
      </w:r>
      <w:r>
        <w:rPr>
          <w:b/>
        </w:rPr>
        <w:t>Traducción guardada:</w:t>
      </w:r>
      <w:r>
        <w:t xml:space="preserve"> Jn 8:44, RVA</w:t>
      </w:r>
      <w:r>
        <w:t>.</w:t>
      </w:r>
    </w:p>
    <w:p>
      <w:pPr>
        <w:pStyle w:val="ListBullet2"/>
      </w:pPr>
      <w:r>
        <w:t>«Apunta hacia» dice la dirección que se ve en los frutos, no un origen que nadie puede probar.</w:t>
      </w:r>
    </w:p>
    <w:p>
      <w:pPr>
        <w:pStyle w:val="ListBullet2"/>
      </w:pPr>
      <w:r>
        <w:t xml:space="preserve">Se explica en </w:t>
      </w:r>
      <w:r>
        <w:t>4.4</w:t>
      </w:r>
      <w:r>
        <w:t>.</w:t>
      </w:r>
    </w:p>
    <w:p>
      <w:pPr>
        <w:pStyle w:val="ListBullet"/>
      </w:pPr>
      <w:r>
        <w:rPr>
          <w:b/>
        </w:rPr>
        <w:t>Cuando un hecho clama al cielo,</w:t>
      </w:r>
      <w:r>
        <w:t xml:space="preserve"> la lectura del autor lo dice con otra fórmula. El criterio no es de la obra: es la lista que la tradición llama «pecados que claman al cielo»</w:t>
      </w:r>
      <w:r>
        <w:t xml:space="preserve"> (Catecismo de la Iglesia católica, n.º 1867)</w:t>
      </w:r>
      <w:r>
        <w:br/>
      </w:r>
      <w:r>
        <w:rPr>
          <w:b/>
        </w:rPr>
        <w:t>pasaje guardado</w:t>
      </w:r>
      <w:r>
        <w:br/>
      </w:r>
      <w:r>
        <w:rPr>
          <w:b/>
        </w:rPr>
        <w:t>Archivo leído:</w:t>
      </w:r>
      <w:r>
        <w:t xml:space="preserve"> cec1867.html (ant\canon\cec1867.html) · contraste del archivo de pasajes: ✔</w:t>
      </w:r>
      <w:r>
        <w:br/>
      </w:r>
      <w:r>
        <w:rPr>
          <w:b/>
        </w:rPr>
        <w:t>Lugar:</w:t>
      </w:r>
      <w:r>
        <w:t xml:space="preserve"> Catecismo de la Iglesia católica, n.º 1867</w:t>
      </w:r>
      <w:r>
        <w:br/>
      </w:r>
      <w:r>
        <w:rPr>
          <w:b/>
        </w:rPr>
        <w:t>Tal como está en la fuente:</w:t>
      </w:r>
      <w:r>
        <w:t xml:space="preserve"> pecados que claman al cielo</w:t>
      </w:r>
      <w:r>
        <w:t xml:space="preserve">. La obra toma de ella los tres que tocan al Estado: </w:t>
      </w:r>
    </w:p>
    <w:p>
      <w:pPr>
        <w:pStyle w:val="ListBullet2"/>
      </w:pPr>
      <w:r>
        <w:t>«el clamor del pueblo oprimido»;</w:t>
      </w:r>
    </w:p>
    <w:p>
      <w:pPr>
        <w:pStyle w:val="ListBullet2"/>
      </w:pPr>
      <w:r>
        <w:t>«el lamento del extranjero, de la viuda y el huérfano»;</w:t>
      </w:r>
    </w:p>
    <w:p>
      <w:pPr>
        <w:pStyle w:val="ListBullet2"/>
      </w:pPr>
      <w:r>
        <w:t>«la injusticia para con el asalariado». En esos casos, y solo con el hecho comprobado en su fuente original, la lectura del autor dice «esto clama al cielo». Recuerda también que quizá no fue del todo culpa de quienes lo decidieron, y que es un aviso para rectificar. El texto completo se da la primera vez que se usa.</w:t>
      </w:r>
    </w:p>
    <w:p>
      <w:pPr>
        <w:pStyle w:val="ListBullet"/>
      </w:pPr>
      <w:r>
        <w:rPr>
          <w:b/>
        </w:rPr>
        <w:t>Ninguna de las dos fórmulas se aplica nunca a una persona ni a un colectivo con nombre.</w:t>
      </w:r>
    </w:p>
    <w:p>
      <w:r>
        <w:t>[glosario 9.1 y 9.3; libro de estilo §3 y §4; Jn 8:44, Reina-Valera Antigua]</w:t>
      </w:r>
    </w:p>
    <w:p>
      <w:pPr>
        <w:pStyle w:val="Heading2"/>
      </w:pPr>
      <w:r>
        <w:t>0.4 Verdad, presunción, falso y mentira</w:t>
      </w:r>
    </w:p>
    <w:p>
      <w:pPr>
        <w:pBdr>
          <w:left w:val="single" w:sz="24" w:space="6" w:color="E2DED6"/>
        </w:pBdr>
        <w:shd w:val="clear" w:color="auto" w:fill="F1EEE8"/>
        <w:spacing w:before="80" w:after="160"/>
        <w:ind w:left="142" w:right="142"/>
      </w:pPr>
      <w:r>
        <w:rPr>
          <w:b/>
        </w:rPr>
        <w:t>La idea: verdad, presunción, falso y mentira son cuatro cosas distintas, y esta obra no las mezcla.</w:t>
      </w:r>
    </w:p>
    <w:p>
      <w:r>
        <w:t>Esta obra usa cuatro palabras con un sentido fijo, para no llamar mentira a lo que todavía no se ha probado falso:</w:t>
      </w:r>
    </w:p>
    <w:p>
      <w:pPr>
        <w:spacing w:after="60"/>
        <w:ind w:left="510" w:hanging="397"/>
      </w:pPr>
      <w:r>
        <w:rPr>
          <w:b w:val="0"/>
        </w:rPr>
        <w:t xml:space="preserve">1. </w:t>
      </w:r>
      <w:r>
        <w:rPr>
          <w:b/>
        </w:rPr>
        <w:t>La verdad:</w:t>
      </w:r>
      <w:r>
        <w:t xml:space="preserve"> lo que se comprueba con su fuente.</w:t>
      </w:r>
    </w:p>
    <w:p>
      <w:pPr>
        <w:spacing w:after="60"/>
        <w:ind w:left="510" w:hanging="397"/>
      </w:pPr>
      <w:r>
        <w:rPr>
          <w:b w:val="0"/>
        </w:rPr>
        <w:t xml:space="preserve">2. </w:t>
      </w:r>
      <w:r>
        <w:rPr>
          <w:b/>
        </w:rPr>
        <w:t>La presunción:</w:t>
      </w:r>
      <w:r>
        <w:t xml:space="preserve"> lo que se da por cierto sin haberlo probado. Todavía no se sabe si es verdad o falso. Cuando esta obra menciona algo sin documento que lo avale, lo marca con la etiqueta «presunción» (</w:t>
      </w:r>
      <w:r>
        <w:t>anexo E</w:t>
      </w:r>
      <w:r>
        <w:t>).</w:t>
      </w:r>
    </w:p>
    <w:p>
      <w:pPr>
        <w:spacing w:after="60"/>
        <w:ind w:left="510" w:hanging="397"/>
      </w:pPr>
      <w:r>
        <w:rPr>
          <w:b w:val="0"/>
        </w:rPr>
        <w:t xml:space="preserve">3. </w:t>
      </w:r>
      <w:r>
        <w:rPr>
          <w:b/>
        </w:rPr>
        <w:t>Lo falso:</w:t>
      </w:r>
      <w:r>
        <w:t xml:space="preserve"> lo que la norma o el dato demuestran que no es así. Se dice como «Conclusión, lo que arrojan los datos».</w:t>
      </w:r>
    </w:p>
    <w:p>
      <w:pPr>
        <w:spacing w:after="60"/>
        <w:ind w:left="510" w:hanging="397"/>
      </w:pPr>
      <w:r>
        <w:rPr>
          <w:b w:val="0"/>
        </w:rPr>
        <w:t xml:space="preserve">4. </w:t>
      </w:r>
      <w:r>
        <w:rPr>
          <w:b/>
        </w:rPr>
        <w:t>La mentira:</w:t>
      </w:r>
      <w:r>
        <w:t xml:space="preserve"> lo falso dicho sabiendo que es falso. </w:t>
      </w:r>
    </w:p>
    <w:p>
      <w:pPr>
        <w:pStyle w:val="ListBullet2"/>
      </w:pPr>
      <w:r>
        <w:t>Tomás de Aquino lo explica así: «es contra la naturaleza, e indebido, que alguien diga con su palabra lo que no tiene en la mente»</w:t>
      </w:r>
      <w:r>
        <w:t xml:space="preserve"> [original: «innaturale est et indebitum quod aliquis voce significet id quod non habet in mente»]</w:t>
      </w:r>
      <w:r>
        <w:t xml:space="preserve"> (Suma teológica II-II, q. 110, a. 3)</w:t>
      </w:r>
      <w:r>
        <w:br/>
      </w:r>
      <w:r>
        <w:rPr>
          <w:b/>
        </w:rPr>
        <w:t>leída en su fuente · Suma teológica II-II, q. 110, a. 3</w:t>
      </w:r>
      <w:r>
        <w:br/>
      </w:r>
      <w:r>
        <w:rPr>
          <w:b/>
        </w:rPr>
        <w:t>Archivo leído:</w:t>
      </w:r>
      <w:r>
        <w:t xml:space="preserve"> aquino_corpusthomisticum_sth3109_IIaIIae_q109-115.html (reparacion_citas\aquino_corpusthomisticum_sth3109_IIaIIae_q109-115.html) · contraste del archivo de pasajes: ✔</w:t>
      </w:r>
      <w:r>
        <w:br/>
      </w:r>
      <w:r>
        <w:rPr>
          <w:b/>
        </w:rPr>
        <w:t>Lugar:</w:t>
      </w:r>
      <w:r>
        <w:t xml:space="preserve"> Suma teológica II-II, q. 110, a. 3</w:t>
      </w:r>
      <w:r>
        <w:br/>
      </w:r>
      <w:r>
        <w:rPr>
          <w:b/>
        </w:rPr>
        <w:t>Tal como está en la fuente:</w:t>
      </w:r>
      <w:r>
        <w:t xml:space="preserve"> innaturale est et indebitum quod aliquis voce significet id quod non habet in mente</w:t>
      </w:r>
      <w:r>
        <w:t>.</w:t>
      </w:r>
    </w:p>
    <w:p>
      <w:pPr>
        <w:pStyle w:val="ListBullet2"/>
      </w:pPr>
      <w:r>
        <w:t>Como supone saber lo que hay en la mente de quien lo dice, solo se afirma cuando hay constancia de que se sabía. Si no, va como «Lectura del autor».</w:t>
      </w:r>
    </w:p>
    <w:p>
      <w:r>
        <w:rPr>
          <w:b/>
        </w:rPr>
        <w:t>La presunción, en la ley.</w:t>
      </w:r>
      <w:r>
        <w:t xml:space="preserve"> La ley usa la palabra con más cuidado. Una presunción legal dispensa de probar un hecho, pero solo si el hecho del que parte está probado o admitido: «Tales presunciones sólo serán admisibles cuando la certeza del hecho indicio del que parte la presunción haya quedado establecida mediante admisión o prueba»</w:t>
      </w:r>
      <w:r>
        <w:t xml:space="preserve"> (Ley de Enjuiciamiento Civil, art. 385.1)</w:t>
      </w:r>
      <w:r>
        <w:br/>
      </w:r>
      <w:r>
        <w:rPr>
          <w:b/>
        </w:rPr>
        <w:t>leída en su fuente · Ley de Enjuiciamiento Civil, art. 385.1</w:t>
      </w:r>
      <w:r>
        <w:br/>
      </w:r>
      <w:r>
        <w:rPr>
          <w:b/>
        </w:rPr>
        <w:t>Archivo leído:</w:t>
      </w:r>
      <w:r>
        <w:t xml:space="preserve"> lec_ley1_2000.html (c5\lec_ley1_2000.html) · contraste del archivo de pasajes: ✔</w:t>
      </w:r>
      <w:r>
        <w:br/>
      </w:r>
      <w:r>
        <w:rPr>
          <w:b/>
        </w:rPr>
        <w:t>Lugar:</w:t>
      </w:r>
      <w:r>
        <w:t xml:space="preserve"> Ley de Enjuiciamiento Civil, art. 385.1</w:t>
      </w:r>
      <w:r>
        <w:br/>
      </w:r>
      <w:r>
        <w:rPr>
          <w:b/>
        </w:rPr>
        <w:t>Tal como está en la fuente:</w:t>
      </w:r>
      <w:r>
        <w:t xml:space="preserve"> Tales presunciones sólo serán admisibles cuando la certeza del hecho indicio del que parte la presunción haya quedado establecida mediante admisión o prueba</w:t>
      </w:r>
      <w:r>
        <w:t>. Y el tribunal que presume un hecho necesita otro «admitido o probado», un «enlace preciso y directo» entre los dos, y debe razonarlo en la sentencia</w:t>
      </w:r>
      <w:r>
        <w:t xml:space="preserve"> (Ley de Enjuiciamiento Civil, art. 386.1)</w:t>
      </w:r>
      <w:r>
        <w:t xml:space="preserve">. Esa ley habla de los pleitos civiles; esta obra usa la palabra en su sentido de siempre y toma la regla de la ley como vara, no su aplicación: no dice que toda afirmación del Estado sea una presunción legal. Llama </w:t>
      </w:r>
      <w:r>
        <w:rPr>
          <w:b/>
        </w:rPr>
        <w:t>presunción</w:t>
      </w:r>
      <w:r>
        <w:t xml:space="preserve"> a lo que se da por cierto sin que conste el hecho del que parte, y pregunta por él.</w:t>
      </w:r>
    </w:p>
    <w:p>
      <w:r>
        <w:t>[glosario 3.4 y 3.5; Ley de Enjuiciamiento Civil, arts. 385.1 y 386.1, leídos en el BOE; borrador B1, 9-oct; 04p fila 36]</w:t>
      </w:r>
    </w:p>
    <w:p>
      <w:pPr>
        <w:pStyle w:val="Heading2"/>
      </w:pPr>
      <w:r>
        <w:t>0.5 La vara: la verdad de los hechos y sus frutos</w:t>
      </w:r>
    </w:p>
    <w:p>
      <w:pPr>
        <w:pBdr>
          <w:left w:val="single" w:sz="24" w:space="6" w:color="E2DED6"/>
        </w:pBdr>
        <w:shd w:val="clear" w:color="auto" w:fill="F1EEE8"/>
        <w:spacing w:before="80" w:after="160"/>
        <w:ind w:left="142" w:right="142"/>
      </w:pPr>
      <w:r>
        <w:rPr>
          <w:b/>
        </w:rPr>
        <w:t>La idea: esta obra mide en dos pasos, la verdad de los hechos y sus frutos, y solo tiene por sólido lo que coincide en tradiciones independientes. La pesa: ¿roca o arena? Y, por sus frutos, ¿sirve más allá de sí, se sirve, o no cuida ni cumple? Vale para quien pesa (lectura del autor).</w:t>
      </w:r>
    </w:p>
    <w:p>
      <w:r>
        <w:rPr>
          <w:b/>
        </w:rPr>
        <w:t>Por sus frutos los conoceréis.</w:t>
      </w:r>
      <w:r>
        <w:t xml:space="preserve"> La fórmula de esta obra es una cita literal: «Por sus frutos los conoceréis»</w:t>
      </w:r>
      <w:r>
        <w:t xml:space="preserve"> (Mt 7:16)</w:t>
      </w:r>
      <w:r>
        <w:br/>
      </w:r>
      <w:r>
        <w:rPr>
          <w:b/>
        </w:rPr>
        <w:t>leída en su fuente · Mt 7:16</w:t>
      </w:r>
      <w:r>
        <w:br/>
      </w:r>
      <w:r>
        <w:rPr>
          <w:b/>
        </w:rPr>
        <w:t>Archivo leído:</w:t>
      </w:r>
      <w:r>
        <w:t xml:space="preserve"> biblia_c1.html (ant\c1\biblia_c1.html) · contraste del archivo de pasajes: ✔</w:t>
      </w:r>
      <w:r>
        <w:br/>
      </w:r>
      <w:r>
        <w:rPr>
          <w:b/>
        </w:rPr>
        <w:t>Lugar:</w:t>
      </w:r>
      <w:r>
        <w:t xml:space="preserve"> Mt 7:16</w:t>
      </w:r>
      <w:r>
        <w:br/>
      </w:r>
      <w:r>
        <w:rPr>
          <w:b/>
        </w:rPr>
        <w:t>Tal como está en la fuente:</w:t>
      </w:r>
      <w:r>
        <w:t xml:space="preserve"> Por sus frutos los conoceréis</w:t>
      </w:r>
      <w:r>
        <w:t>.</w:t>
      </w:r>
    </w:p>
    <w:p>
      <w:pPr>
        <w:pStyle w:val="ListBullet"/>
      </w:pPr>
      <w:r>
        <w:t>En el griego del Evangelio dice «por sus frutos los reconoceréis»</w:t>
      </w:r>
      <w:r>
        <w:t xml:space="preserve"> [original: «ἀπὸ τῶν καρπῶν αὐτῶν ἐπιγνώσεσθε αὐτούς»]</w:t>
      </w:r>
      <w:r>
        <w:t xml:space="preserve">. El verbo es </w:t>
      </w:r>
      <w:r>
        <w:rPr>
          <w:i/>
        </w:rPr>
        <w:t>epiginóskō</w:t>
      </w:r>
      <w:r>
        <w:t>, «reconocer».</w:t>
      </w:r>
    </w:p>
    <w:p>
      <w:pPr>
        <w:pStyle w:val="ListBullet"/>
      </w:pPr>
      <w:r>
        <w:t>No es el mismo verbo de «No juzguéis, para que no seáis juzgados»</w:t>
      </w:r>
      <w:r>
        <w:t xml:space="preserve"> (Mt 7:1)</w:t>
      </w:r>
      <w:r>
        <w:br/>
      </w:r>
      <w:r>
        <w:rPr>
          <w:b/>
        </w:rPr>
        <w:t>leída en su fuente · Mt 7:1</w:t>
      </w:r>
      <w:r>
        <w:br/>
      </w:r>
      <w:r>
        <w:rPr>
          <w:b/>
        </w:rPr>
        <w:t>Archivo leído:</w:t>
      </w:r>
      <w:r>
        <w:t xml:space="preserve"> mt7.html (ant\canon\mt7.html) · contraste del archivo de pasajes: ✔</w:t>
      </w:r>
      <w:r>
        <w:br/>
      </w:r>
      <w:r>
        <w:rPr>
          <w:b/>
        </w:rPr>
        <w:t>Lugar:</w:t>
      </w:r>
      <w:r>
        <w:t xml:space="preserve"> Mt 7:1</w:t>
      </w:r>
      <w:r>
        <w:br/>
      </w:r>
      <w:r>
        <w:rPr>
          <w:b/>
        </w:rPr>
        <w:t>Tal como está en la fuente:</w:t>
      </w:r>
      <w:r>
        <w:t xml:space="preserve"> No juzguéis, para que no seáis juzgados</w:t>
      </w:r>
      <w:r>
        <w:t xml:space="preserve">, que es </w:t>
      </w:r>
      <w:r>
        <w:rPr>
          <w:i/>
        </w:rPr>
        <w:t>krínō</w:t>
      </w:r>
      <w:r>
        <w:t>, «juzgar». En Lucas, ese «no juzguéis» va con «no condenéis»</w:t>
      </w:r>
      <w:r>
        <w:t xml:space="preserve"> (Lc 6:37)</w:t>
      </w:r>
      <w:r>
        <w:t>.</w:t>
      </w:r>
    </w:p>
    <w:p>
      <w:r>
        <w:t>Son dos cosas distintas:</w:t>
      </w:r>
    </w:p>
    <w:p>
      <w:pPr>
        <w:pStyle w:val="ListBullet"/>
      </w:pPr>
      <w:r>
        <w:t>condenar a alguien por lo que cree o por lo que es, que esta obra no hace;</w:t>
      </w:r>
    </w:p>
    <w:p>
      <w:pPr>
        <w:pStyle w:val="ListBullet"/>
      </w:pPr>
      <w:r>
        <w:t>y reconocer por los actos, comprobables y con fuente, que sí hace.</w:t>
      </w:r>
    </w:p>
    <w:p>
      <w:r>
        <w:t>El mismo Evangelio pide discernir, pero con justicia: «No juzguéis según lo que parece, mas juzgad justo juicio»</w:t>
      </w:r>
      <w:r>
        <w:t xml:space="preserve"> (Jn 7:24)</w:t>
      </w:r>
      <w:r>
        <w:br/>
      </w:r>
      <w:r>
        <w:rPr>
          <w:b/>
        </w:rPr>
        <w:t>leída en su fuente · Jn 7:24</w:t>
      </w:r>
      <w:r>
        <w:br/>
      </w:r>
      <w:r>
        <w:rPr>
          <w:b/>
        </w:rPr>
        <w:t>Archivo leído:</w:t>
      </w:r>
      <w:r>
        <w:t xml:space="preserve"> jn_7_24_rva.html; rvr1960_jn_7_24.html (c9g\jn_7_24_rva.html) · contraste del archivo de pasajes: ✔</w:t>
      </w:r>
      <w:r>
        <w:br/>
      </w:r>
      <w:r>
        <w:rPr>
          <w:b/>
        </w:rPr>
        <w:t>Lugar:</w:t>
      </w:r>
      <w:r>
        <w:t xml:space="preserve"> RVA</w:t>
      </w:r>
      <w:r>
        <w:br/>
      </w:r>
      <w:r>
        <w:rPr>
          <w:b/>
        </w:rPr>
        <w:t>Dirección:</w:t>
      </w:r>
      <w:r>
        <w:t xml:space="preserve"> </w:t>
      </w:r>
      <w:r>
        <w:t>https://www.biblegateway.com/passage/?search=John+7%3A24&amp;version=RVA</w:t>
      </w:r>
      <w:r>
        <w:br/>
      </w:r>
      <w:r>
        <w:rPr>
          <w:b/>
        </w:rPr>
        <w:t>Tal como está en la fuente:</w:t>
      </w:r>
      <w:r>
        <w:t xml:space="preserve"> No juzguéis según lo que parece, mas juzgad justo juicio.</w:t>
      </w:r>
      <w:r>
        <w:t>. Por eso esta obra es un análisis, no un juicio.</w:t>
      </w:r>
    </w:p>
    <w:p>
      <w:r>
        <w:t>[00.00-2.1; 00.0-10.5; glosario 5.3; Mt 7:1, Mt 7:16, Lc 6:37 y Jn 7:24, Reina-Valera Antigua]</w:t>
      </w:r>
    </w:p>
    <w:p>
      <w:r>
        <w:rPr>
          <w:b/>
        </w:rPr>
        <w:t>Lo dicen todas las tradiciones.</w:t>
      </w:r>
      <w:r>
        <w:t xml:space="preserve"> Que a una persona o a una institución se la conoce por sus hechos, y no por sus palabras, lo dicen tradiciones sin contacto documentado entre sí. Algunos ejemplos:</w:t>
      </w:r>
    </w:p>
    <w:p>
      <w:pPr>
        <w:pStyle w:val="ListBullet"/>
      </w:pPr>
      <w:r>
        <w:rPr>
          <w:b/>
        </w:rPr>
        <w:t>Corán:</w:t>
      </w:r>
      <w:r>
        <w:t xml:space="preserve"> «¡Creyentes! ¿Por qué decís lo que no hacéis?»</w:t>
      </w:r>
      <w:r>
        <w:t xml:space="preserve"> (Corán 61:2, traducción de Julio Cortés)</w:t>
      </w:r>
      <w:r>
        <w:br/>
      </w:r>
      <w:r>
        <w:rPr>
          <w:b/>
        </w:rPr>
        <w:t>leída en su fuente · Corán 61:2,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61:2, traducción de Julio Cortés</w:t>
      </w:r>
      <w:r>
        <w:br/>
      </w:r>
      <w:r>
        <w:rPr>
          <w:b/>
        </w:rPr>
        <w:t>Tal como está en la fuente:</w:t>
      </w:r>
      <w:r>
        <w:t xml:space="preserve"> ¡Creyentes! ¿Por qué decís lo que no hacéis?</w:t>
      </w:r>
      <w:r>
        <w:t>.</w:t>
      </w:r>
    </w:p>
    <w:p>
      <w:pPr>
        <w:pStyle w:val="ListBullet"/>
      </w:pPr>
      <w:r>
        <w:rPr>
          <w:b/>
        </w:rPr>
        <w:t>Judaísmo:</w:t>
      </w:r>
      <w:r>
        <w:t xml:space="preserve"> «no es el estudio lo principal, sino la acción»</w:t>
      </w:r>
      <w:r>
        <w:t xml:space="preserve"> [original: «וְלֹא הַמִּדְרָשׁ הוּא הָעִקָּר, אֶלָּא הַמַּעֲשֶׂה»]</w:t>
      </w:r>
      <w:r>
        <w:t xml:space="preserve"> (Pirkei Avot 1:17)</w:t>
      </w:r>
      <w:r>
        <w:br/>
      </w:r>
      <w:r>
        <w:rPr>
          <w:b/>
        </w:rPr>
        <w:t>leída en su fuente · Pirkei Avot 1:17</w:t>
      </w:r>
      <w:r>
        <w:br/>
      </w:r>
      <w:r>
        <w:rPr>
          <w:b/>
        </w:rPr>
        <w:t>Original donde está:</w:t>
      </w:r>
      <w:r>
        <w:t xml:space="preserve"> sefaria_Pirkei_Avot_1.json</w:t>
      </w:r>
      <w:r>
        <w:br/>
      </w:r>
      <w:r>
        <w:t>El pasaje literal no está en el archivo de pasajes con este comienzo; la auditoría lo halló en ese original.</w:t>
      </w:r>
      <w:r>
        <w:t>.</w:t>
      </w:r>
    </w:p>
    <w:p>
      <w:pPr>
        <w:pStyle w:val="ListBullet"/>
      </w:pPr>
      <w:r>
        <w:rPr>
          <w:b/>
        </w:rPr>
        <w:t>Primera carta de Juan:</w:t>
      </w:r>
      <w:r>
        <w:t xml:space="preserve"> «no amemos de palabra ni de lengua, sino de obra y en verdad»</w:t>
      </w:r>
      <w:r>
        <w:t xml:space="preserve"> (1 Jn 3:18)</w:t>
      </w:r>
      <w:r>
        <w:br/>
      </w:r>
      <w:r>
        <w:rPr>
          <w:b/>
        </w:rPr>
        <w:t>leída en su fuente · 1 Jn 3:18</w:t>
      </w:r>
      <w:r>
        <w:br/>
      </w:r>
      <w:r>
        <w:rPr>
          <w:b/>
        </w:rPr>
        <w:t>Archivo leído:</w:t>
      </w:r>
      <w:r>
        <w:t xml:space="preserve"> lv19.html (ant\canon\lv19.html) · contraste del archivo de pasajes: ✔</w:t>
      </w:r>
      <w:r>
        <w:br/>
      </w:r>
      <w:r>
        <w:rPr>
          <w:b/>
        </w:rPr>
        <w:t>Lugar:</w:t>
      </w:r>
      <w:r>
        <w:t xml:space="preserve"> 1 Jn 3:18</w:t>
      </w:r>
      <w:r>
        <w:br/>
      </w:r>
      <w:r>
        <w:rPr>
          <w:b/>
        </w:rPr>
        <w:t>Tal como está en la fuente:</w:t>
      </w:r>
      <w:r>
        <w:t xml:space="preserve"> no amemos de palabra ni de lengua, sino de obra y en verdad</w:t>
      </w:r>
      <w:r>
        <w:t>.</w:t>
      </w:r>
    </w:p>
    <w:p>
      <w:pPr>
        <w:pStyle w:val="ListBullet"/>
      </w:pPr>
      <w:r>
        <w:rPr>
          <w:b/>
        </w:rPr>
        <w:t>Aristóteles:</w:t>
      </w:r>
      <w:r>
        <w:t xml:space="preserve"> «la verdad, en materia de conducta, se juzga por los hechos y por la vida real»</w:t>
      </w:r>
      <w:r>
        <w:t xml:space="preserve"> [original: «truth, in matters of moral action, is judged from facts and from actual life», en la traducción inglesa de Chase]</w:t>
      </w:r>
      <w:r>
        <w:t xml:space="preserve"> (Ética a Nicómaco X, 8)</w:t>
      </w:r>
      <w:r>
        <w:br/>
      </w:r>
      <w:r>
        <w:rPr>
          <w:b/>
        </w:rPr>
        <w:t>leída en su fuente · Ética a Nicómaco X, 8</w:t>
      </w:r>
      <w:r>
        <w:br/>
      </w:r>
      <w:r>
        <w:rPr>
          <w:b/>
        </w:rPr>
        <w:t>Archivo leído:</w:t>
      </w:r>
      <w:r>
        <w:t xml:space="preserve"> aristoteles_etica_nicomaco_chase_gutenberg_8438.txt (reparacion_citas\aristoteles_etica_nicomaco_chase_gutenberg_8438.txt) · contraste del archivo de pasajes: ✔</w:t>
      </w:r>
      <w:r>
        <w:br/>
      </w:r>
      <w:r>
        <w:rPr>
          <w:b/>
        </w:rPr>
        <w:t>Lugar:</w:t>
      </w:r>
      <w:r>
        <w:t xml:space="preserve"> Ética a Nicómaco X, 8</w:t>
      </w:r>
      <w:r>
        <w:br/>
      </w:r>
      <w:r>
        <w:rPr>
          <w:b/>
        </w:rPr>
        <w:t>Tal como está en la fuente:</w:t>
      </w:r>
      <w:r>
        <w:t xml:space="preserve"> truth, in matters of moral action, is judged from facts and from actual life</w:t>
      </w:r>
      <w:r>
        <w:t>.</w:t>
      </w:r>
    </w:p>
    <w:p>
      <w:r>
        <w:t>Y con la misma coincidencia, el criterio de no hacer daño al otro: «amarás á tu prójimo como á ti mismo»</w:t>
      </w:r>
      <w:r>
        <w:t xml:space="preserve"> (Lv 19:18)</w:t>
      </w:r>
      <w:r>
        <w:br/>
      </w:r>
      <w:r>
        <w:rPr>
          <w:b/>
        </w:rPr>
        <w:t>leída en su fuente · Lv 19:18</w:t>
      </w:r>
      <w:r>
        <w:br/>
      </w:r>
      <w:r>
        <w:rPr>
          <w:b/>
        </w:rPr>
        <w:t>Archivo leído:</w:t>
      </w:r>
      <w:r>
        <w:t xml:space="preserve"> ga_5_14_rva.html; ga_6_1_rva.html; ga_6_1_rvr1960.html (c9h\ga_5_14_rva.html) · contraste del archivo de pasajes: ✔</w:t>
      </w:r>
      <w:r>
        <w:br/>
      </w:r>
      <w:r>
        <w:rPr>
          <w:b/>
        </w:rPr>
        <w:t>Lugar:</w:t>
      </w:r>
      <w:r>
        <w:t xml:space="preserve"> 5:14</w:t>
      </w:r>
      <w:r>
        <w:br/>
      </w:r>
      <w:r>
        <w:rPr>
          <w:b/>
        </w:rPr>
        <w:t>Dirección:</w:t>
      </w:r>
      <w:r>
        <w:t xml:space="preserve"> </w:t>
      </w:r>
      <w:r>
        <w:t>https://www.biblegateway.com/passage/?search=Galatians+5%3A14&amp;version=RVA</w:t>
      </w:r>
      <w:r>
        <w:t xml:space="preserve"> ; </w:t>
      </w:r>
      <w:r>
        <w:t>https://www.biblegateway.com/passage/?search=Galatians+6%3A1&amp;version=RVA</w:t>
      </w:r>
      <w:r>
        <w:br/>
      </w:r>
      <w:r>
        <w:rPr>
          <w:b/>
        </w:rPr>
        <w:t>Tal como está en la fuente:</w:t>
      </w:r>
      <w:r>
        <w:t xml:space="preserve"> Porque toda la ley en aquesta sola palabra se cumple: Amarás á tu prójimo como á ti mismo.</w:t>
      </w:r>
      <w:r>
        <w:t>; «La caridad no hace mal al prójimo: así que, el cumplimento de la ley es la caridad»</w:t>
      </w:r>
      <w:r>
        <w:t xml:space="preserve"> (Rm 13:10)</w:t>
      </w:r>
      <w:r>
        <w:br/>
      </w:r>
      <w:r>
        <w:rPr>
          <w:b/>
        </w:rPr>
        <w:t>leída en su fuente · Rm 13:10</w:t>
      </w:r>
      <w:r>
        <w:br/>
      </w:r>
      <w:r>
        <w:rPr>
          <w:b/>
        </w:rPr>
        <w:t>Archivo leído:</w:t>
      </w:r>
      <w:r>
        <w:t xml:space="preserve"> ro_13_10_rva.html; ro_13_10_rvr1960.html (c9h\ro_13_10_rva.html) · contraste del archivo de pasajes: ✔</w:t>
      </w:r>
      <w:r>
        <w:br/>
      </w:r>
      <w:r>
        <w:rPr>
          <w:b/>
        </w:rPr>
        <w:t>Lugar:</w:t>
      </w:r>
      <w:r>
        <w:t xml:space="preserve"> RVA, v. 10</w:t>
      </w:r>
      <w:r>
        <w:br/>
      </w:r>
      <w:r>
        <w:rPr>
          <w:b/>
        </w:rPr>
        <w:t>Dirección:</w:t>
      </w:r>
      <w:r>
        <w:t xml:space="preserve"> </w:t>
      </w:r>
      <w:r>
        <w:t>https://www.biblegateway.com/passage/?search=Romans+13%3A10&amp;version=RVA</w:t>
      </w:r>
      <w:r>
        <w:t xml:space="preserve"> ; </w:t>
      </w:r>
      <w:r>
        <w:t>https://www.biblegateway.com/passage/?search=Romans+13%3A10&amp;version=RVR1960</w:t>
      </w:r>
      <w:r>
        <w:br/>
      </w:r>
      <w:r>
        <w:rPr>
          <w:b/>
        </w:rPr>
        <w:t>Tal como está en la fuente:</w:t>
      </w:r>
      <w:r>
        <w:t xml:space="preserve"> La caridad no hace mal al prójimo: así que, el cumplimento de la ley es la caridad.</w:t>
      </w:r>
      <w:r>
        <w:br/>
      </w:r>
      <w:r>
        <w:rPr>
          <w:b/>
        </w:rPr>
        <w:t>Traducción guardada:</w:t>
      </w:r>
      <w:r>
        <w:t xml:space="preserve"> así, «cumplimento»</w:t>
      </w:r>
      <w:r>
        <w:t>.</w:t>
      </w:r>
    </w:p>
    <w:p>
      <w:r>
        <w:t>[00.00-2.2 a 2.14; glosario 5.3; las citas, comprobadas en su fuente]</w:t>
      </w:r>
    </w:p>
    <w:p>
      <w:r>
        <w:rPr>
          <w:b/>
        </w:rPr>
        <w:t>La regla de oro.</w:t>
      </w:r>
      <w:r>
        <w:t xml:space="preserve"> El criterio de no hacer al otro lo que uno no quiere para sí está escrito, con palabras distintas, en tradiciones de regiones y épocas muy separadas. Algunos ejemplos:</w:t>
      </w:r>
    </w:p>
    <w:p>
      <w:pPr>
        <w:pStyle w:val="ListBullet"/>
      </w:pPr>
      <w:r>
        <w:rPr>
          <w:b/>
        </w:rPr>
        <w:t>Israel:</w:t>
      </w:r>
      <w:r>
        <w:t xml:space="preserve"> «amarás á tu prójimo como á ti mismo»</w:t>
      </w:r>
      <w:r>
        <w:t xml:space="preserve"> (Lv 19:18)</w:t>
      </w:r>
      <w:r>
        <w:br/>
      </w:r>
      <w:r>
        <w:rPr>
          <w:b/>
        </w:rPr>
        <w:t>leída en su fuente · Lv 19:18</w:t>
      </w:r>
      <w:r>
        <w:br/>
      </w:r>
      <w:r>
        <w:rPr>
          <w:b/>
        </w:rPr>
        <w:t>Archivo leído:</w:t>
      </w:r>
      <w:r>
        <w:t xml:space="preserve"> ga_5_14_rva.html; ga_6_1_rva.html; ga_6_1_rvr1960.html (c9h\ga_5_14_rva.html) · contraste del archivo de pasajes: ✔</w:t>
      </w:r>
      <w:r>
        <w:br/>
      </w:r>
      <w:r>
        <w:rPr>
          <w:b/>
        </w:rPr>
        <w:t>Lugar:</w:t>
      </w:r>
      <w:r>
        <w:t xml:space="preserve"> 5:14</w:t>
      </w:r>
      <w:r>
        <w:br/>
      </w:r>
      <w:r>
        <w:rPr>
          <w:b/>
        </w:rPr>
        <w:t>Dirección:</w:t>
      </w:r>
      <w:r>
        <w:t xml:space="preserve"> </w:t>
      </w:r>
      <w:r>
        <w:t>https://www.biblegateway.com/passage/?search=Galatians+5%3A14&amp;version=RVA</w:t>
      </w:r>
      <w:r>
        <w:t xml:space="preserve"> ; </w:t>
      </w:r>
      <w:r>
        <w:t>https://www.biblegateway.com/passage/?search=Galatians+6%3A1&amp;version=RVA</w:t>
      </w:r>
      <w:r>
        <w:br/>
      </w:r>
      <w:r>
        <w:rPr>
          <w:b/>
        </w:rPr>
        <w:t>Tal como está en la fuente:</w:t>
      </w:r>
      <w:r>
        <w:t xml:space="preserve"> Porque toda la ley en aquesta sola palabra se cumple: Amarás á tu prójimo como á ti mismo.</w:t>
      </w:r>
      <w:r>
        <w:t>. Y Hillel, a quien pedían la Torá entera, respondió: «Lo que te es odioso no lo hagas a otro; eso es toda la Torá, y el resto es su explicación»</w:t>
      </w:r>
      <w:r>
        <w:t xml:space="preserve"> [original: «That which is hateful to you do not do to another; that is the entire Torah, and the rest is its interpretation. Go study.», en la traducción inglesa de Sefaria]</w:t>
      </w:r>
      <w:r>
        <w:t xml:space="preserve"> (Talmud de Babilonia, Shabat 31a)</w:t>
      </w:r>
      <w:r>
        <w:br/>
      </w:r>
      <w:r>
        <w:rPr>
          <w:b/>
        </w:rPr>
        <w:t>leída en su fuente · Talmud de Babilonia, Shabat 31a</w:t>
      </w:r>
      <w:r>
        <w:br/>
      </w:r>
      <w:r>
        <w:rPr>
          <w:b/>
        </w:rPr>
        <w:t>Archivo leído:</w:t>
      </w:r>
      <w:r>
        <w:t xml:space="preserve"> sefaria_shabbat_31a_english.json (flecos_9oct\regla_de_oro\sefaria_shabbat_31a_english.json) · contraste del archivo de pasajes: ✔</w:t>
      </w:r>
      <w:r>
        <w:br/>
      </w:r>
      <w:r>
        <w:rPr>
          <w:b/>
        </w:rPr>
        <w:t>Lugar:</w:t>
      </w:r>
      <w:r>
        <w:t xml:space="preserve"> Talmud de Babilonia, Shabat 31a</w:t>
      </w:r>
      <w:r>
        <w:br/>
      </w:r>
      <w:r>
        <w:rPr>
          <w:b/>
        </w:rPr>
        <w:t>Tal como está en la fuente:</w:t>
      </w:r>
      <w:r>
        <w:t xml:space="preserve"> That which is hateful to you do not do to another; that is the entire Torah, and the rest is its interpretation. Go study.</w:t>
      </w:r>
      <w:r>
        <w:t>.</w:t>
      </w:r>
    </w:p>
    <w:p>
      <w:pPr>
        <w:pStyle w:val="ListBullet"/>
      </w:pPr>
      <w:r>
        <w:rPr>
          <w:b/>
        </w:rPr>
        <w:t>El Evangelio:</w:t>
      </w:r>
      <w:r>
        <w:t xml:space="preserve"> «todas las cosas que quisierais que los hombres hiciesen con vosotros, así también haced vosotros con ellos; porque esta es la ley y los profetas»</w:t>
      </w:r>
      <w:r>
        <w:t xml:space="preserve"> (Mt 7:12)</w:t>
      </w:r>
      <w:r>
        <w:br/>
      </w:r>
      <w:r>
        <w:rPr>
          <w:b/>
        </w:rPr>
        <w:t>leída en su fuente · Mt 7:12</w:t>
      </w:r>
      <w:r>
        <w:br/>
      </w:r>
      <w:r>
        <w:rPr>
          <w:b/>
        </w:rPr>
        <w:t>Archivo leído:</w:t>
      </w:r>
      <w:r>
        <w:t xml:space="preserve"> lc_6_31_rva.html; mt_7_12_rva.html; rvr1960_lc_6_31.html; rvr1960_mt_7_12.html (c9g\mt_7_12_rva.html) · contraste del archivo de pasajes: ✔</w:t>
      </w:r>
      <w:r>
        <w:br/>
      </w:r>
      <w:r>
        <w:rPr>
          <w:b/>
        </w:rPr>
        <w:t>Lugar:</w:t>
      </w:r>
      <w:r>
        <w:t xml:space="preserve"> RVA Lc 6:31</w:t>
      </w:r>
      <w:r>
        <w:br/>
      </w:r>
      <w:r>
        <w:rPr>
          <w:b/>
        </w:rPr>
        <w:t>Dirección:</w:t>
      </w:r>
      <w:r>
        <w:t xml:space="preserve"> </w:t>
      </w:r>
      <w:r>
        <w:t>https://www.biblegateway.com/passage/?search=Luke+6%3A31&amp;version=RVA</w:t>
      </w:r>
      <w:r>
        <w:br/>
      </w:r>
      <w:r>
        <w:rPr>
          <w:b/>
        </w:rPr>
        <w:t>Tal como está en la fuente:</w:t>
      </w:r>
      <w:r>
        <w:t xml:space="preserve"> Así que, todas las cosas que quisierais que los hombres hiciesen con vosotros, así también haced vosotros con ellos; porque esta es la ley y los profetas.</w:t>
      </w:r>
      <w:r>
        <w:t>.</w:t>
      </w:r>
    </w:p>
    <w:p>
      <w:pPr>
        <w:pStyle w:val="ListBullet"/>
      </w:pPr>
      <w:r>
        <w:rPr>
          <w:b/>
        </w:rPr>
        <w:t>China:</w:t>
      </w:r>
      <w:r>
        <w:t xml:space="preserve"> Confucio, preguntado si hay una palabra que sirva de regla para toda la vida: «¿No es la reciprocidad? Lo que no quieras que te hagan, no se lo hagas a otros»</w:t>
      </w:r>
      <w:r>
        <w:t xml:space="preserve"> [original: «子曰、其恕乎、己所不欲、勿施於人。»]</w:t>
      </w:r>
      <w:r>
        <w:t xml:space="preserve"> (Analectas 15, 23, en la edición de Legge)</w:t>
      </w:r>
      <w:r>
        <w:br/>
      </w:r>
      <w:r>
        <w:rPr>
          <w:b/>
        </w:rPr>
        <w:t>leída en su fuente · Analectas 15, 23, en la edición de Legge</w:t>
      </w:r>
      <w:r>
        <w:br/>
      </w:r>
      <w:r>
        <w:rPr>
          <w:b/>
        </w:rPr>
        <w:t>Original donde está:</w:t>
      </w:r>
      <w:r>
        <w:t xml:space="preserve"> zhwikisource_Analectas_衛靈公第十五.txt</w:t>
      </w:r>
      <w:r>
        <w:br/>
      </w:r>
      <w:r>
        <w:t>El pasaje literal no está en el archivo de pasajes con este comienzo; la auditoría lo halló en ese original.</w:t>
      </w:r>
      <w:r>
        <w:t>.</w:t>
      </w:r>
    </w:p>
    <w:p>
      <w:pPr>
        <w:pStyle w:val="ListBullet"/>
      </w:pPr>
      <w:r>
        <w:rPr>
          <w:b/>
        </w:rPr>
        <w:t>India:</w:t>
      </w:r>
      <w:r>
        <w:t xml:space="preserve"> «No debe hacerse nunca a otro lo que uno tiene por dañino para sí mismo. Esta es, en breve, la regla de la Rectitud»</w:t>
      </w:r>
      <w:r>
        <w:t xml:space="preserve"> [original: «One should never do that to another which one regards as injurious to one's own self. This, in brief, is the rule of Righteousness.», en la traducción inglesa de Ganguli]</w:t>
      </w:r>
      <w:r>
        <w:t xml:space="preserve"> (Mahabharata, Anushasana Parva, sección 113)</w:t>
      </w:r>
      <w:r>
        <w:br/>
      </w:r>
      <w:r>
        <w:rPr>
          <w:b/>
        </w:rPr>
        <w:t>leída en su fuente · Mahabharata, Anushasana Parva, sección 113</w:t>
      </w:r>
      <w:r>
        <w:br/>
      </w:r>
      <w:r>
        <w:rPr>
          <w:b/>
        </w:rPr>
        <w:t>Archivo leído:</w:t>
      </w:r>
      <w:r>
        <w:t xml:space="preserve"> mbh_15477.txt (ant\india\mbh_15477.txt) · contraste del archivo de pasajes: ✔</w:t>
      </w:r>
      <w:r>
        <w:br/>
      </w:r>
      <w:r>
        <w:rPr>
          <w:b/>
        </w:rPr>
        <w:t>Lugar:</w:t>
      </w:r>
      <w:r>
        <w:t xml:space="preserve"> Mahabharata, Anushasana Parva, sección 113</w:t>
      </w:r>
      <w:r>
        <w:br/>
      </w:r>
      <w:r>
        <w:rPr>
          <w:b/>
        </w:rPr>
        <w:t>Tal como está en la fuente:</w:t>
      </w:r>
      <w:r>
        <w:t xml:space="preserve"> One should never do that to another which one regards as injurious to one's own self. This, in brief, is the rule of Righteousness.</w:t>
      </w:r>
      <w:r>
        <w:t>.</w:t>
      </w:r>
    </w:p>
    <w:p>
      <w:pPr>
        <w:pStyle w:val="ListBullet"/>
      </w:pPr>
      <w:r>
        <w:rPr>
          <w:b/>
        </w:rPr>
        <w:t>El budismo,</w:t>
      </w:r>
      <w:r>
        <w:t xml:space="preserve"> en el </w:t>
      </w:r>
      <w:r>
        <w:rPr>
          <w:i/>
        </w:rPr>
        <w:t>Udanavarga</w:t>
      </w:r>
      <w:r>
        <w:t>: «como lo que es querido para ti lo es también para los otros, no hieras a otros con lo que te duele a ti»</w:t>
      </w:r>
      <w:r>
        <w:t xml:space="preserve"> [original: «as it is the same thing that is dear to you and to others, hurt not others with what pains yourself», en la traducción inglesa de Rockhill]</w:t>
      </w:r>
      <w:r>
        <w:t xml:space="preserve"> (Udanavarga V, 18)</w:t>
      </w:r>
      <w:r>
        <w:br/>
      </w:r>
      <w:r>
        <w:rPr>
          <w:b/>
        </w:rPr>
        <w:t>leída en su fuente · Udanavarga V, 18</w:t>
      </w:r>
      <w:r>
        <w:br/>
      </w:r>
      <w:r>
        <w:rPr>
          <w:b/>
        </w:rPr>
        <w:t>Archivo leído:</w:t>
      </w:r>
      <w:r>
        <w:t xml:space="preserve"> rockhill_udanavarga_1883_archive_dlicsl4729.txt (flecos_9oct\regla_de_oro\rockhill_udanavarga_1883_archive_dlicsl4729.txt) · contraste del archivo de pasajes: ✔</w:t>
      </w:r>
      <w:r>
        <w:br/>
      </w:r>
      <w:r>
        <w:rPr>
          <w:b/>
        </w:rPr>
        <w:t>Lugar:</w:t>
      </w:r>
      <w:r>
        <w:t xml:space="preserve"> Udanavarga V, 18</w:t>
      </w:r>
      <w:r>
        <w:br/>
      </w:r>
      <w:r>
        <w:rPr>
          <w:b/>
        </w:rPr>
        <w:t>Tal como está en la fuente:</w:t>
      </w:r>
      <w:r>
        <w:t xml:space="preserve"> as it is the same thing that is dear to you and to others, hurt not others with what pains yourself</w:t>
      </w:r>
      <w:r>
        <w:t>.</w:t>
      </w:r>
    </w:p>
    <w:p>
      <w:pPr>
        <w:pStyle w:val="ListBullet"/>
      </w:pPr>
      <w:r>
        <w:rPr>
          <w:b/>
        </w:rPr>
        <w:t>El jainismo:</w:t>
      </w:r>
      <w:r>
        <w:t xml:space="preserve"> «tratar a todos los seres del mundo como uno mismo querría ser tratado»</w:t>
      </w:r>
      <w:r>
        <w:t xml:space="preserve"> [original: «treating all creatures in the world so as he himself would be treated», en la traducción inglesa de Jacobi]</w:t>
      </w:r>
      <w:r>
        <w:t xml:space="preserve"> (Sutrakritanga I, 11)</w:t>
      </w:r>
      <w:r>
        <w:br/>
      </w:r>
      <w:r>
        <w:rPr>
          <w:b/>
        </w:rPr>
        <w:t>leída en su fuente · Sutrakritanga I, 11</w:t>
      </w:r>
      <w:r>
        <w:br/>
      </w:r>
      <w:r>
        <w:rPr>
          <w:b/>
        </w:rPr>
        <w:t>Archivo leído:</w:t>
      </w:r>
      <w:r>
        <w:t xml:space="preserve"> jacobi_jaina_sutras_part2_sbe45_archive.txt (flecos_9oct\regla_de_oro\jacobi_jaina_sutras_part2_sbe45_archive.txt) · contraste del archivo de pasajes: ✔</w:t>
      </w:r>
      <w:r>
        <w:br/>
      </w:r>
      <w:r>
        <w:rPr>
          <w:b/>
        </w:rPr>
        <w:t>Lugar:</w:t>
      </w:r>
      <w:r>
        <w:t xml:space="preserve"> Sutrakritanga I, 11</w:t>
      </w:r>
      <w:r>
        <w:br/>
      </w:r>
      <w:r>
        <w:rPr>
          <w:b/>
        </w:rPr>
        <w:t>Tal como está en la fuente:</w:t>
      </w:r>
      <w:r>
        <w:t xml:space="preserve"> treating all creatures in the world so as he himself would be treated</w:t>
      </w:r>
      <w:r>
        <w:t>.</w:t>
      </w:r>
    </w:p>
    <w:p>
      <w:pPr>
        <w:pStyle w:val="ListBullet"/>
      </w:pPr>
      <w:r>
        <w:rPr>
          <w:b/>
        </w:rPr>
        <w:t>Persia (zoroastrismo):</w:t>
      </w:r>
      <w:r>
        <w:t xml:space="preserve"> la naturaleza es buena solo cuando «no hace a otro lo que no es bueno para sí misma»</w:t>
      </w:r>
      <w:r>
        <w:t xml:space="preserve"> [original: «shall not do unto another whatever is not good for its own self», en la traducción inglesa de West]</w:t>
      </w:r>
      <w:r>
        <w:t xml:space="preserve"> (Dadistan-i-Dinik 94, 5)</w:t>
      </w:r>
      <w:r>
        <w:br/>
      </w:r>
      <w:r>
        <w:rPr>
          <w:b/>
        </w:rPr>
        <w:t>leída en su fuente · Dadistan-i-Dinik 94, 5</w:t>
      </w:r>
      <w:r>
        <w:br/>
      </w:r>
      <w:r>
        <w:rPr>
          <w:b/>
        </w:rPr>
        <w:t>Archivo leído:</w:t>
      </w:r>
      <w:r>
        <w:t xml:space="preserve"> west_pahlavi_texts_part2_sbe18_archive.txt (flecos_9oct\regla_de_oro\west_pahlavi_texts_part2_sbe18_archive.txt) · contraste del archivo de pasajes: ✔</w:t>
      </w:r>
      <w:r>
        <w:br/>
      </w:r>
      <w:r>
        <w:rPr>
          <w:b/>
        </w:rPr>
        <w:t>Lugar:</w:t>
      </w:r>
      <w:r>
        <w:t xml:space="preserve"> Dadistan-i-Dinik 94, 5</w:t>
      </w:r>
      <w:r>
        <w:br/>
      </w:r>
      <w:r>
        <w:rPr>
          <w:b/>
        </w:rPr>
        <w:t>Tal como está en la fuente:</w:t>
      </w:r>
      <w:r>
        <w:t xml:space="preserve"> shall not do unto another whatever is not good for its own self</w:t>
      </w:r>
      <w:r>
        <w:t>.</w:t>
      </w:r>
    </w:p>
    <w:p>
      <w:pPr>
        <w:pStyle w:val="ListBullet"/>
      </w:pPr>
      <w:r>
        <w:rPr>
          <w:b/>
        </w:rPr>
        <w:t>Grecia:</w:t>
      </w:r>
      <w:r>
        <w:t xml:space="preserve"> «No hagas a otros lo que te irrita que te hagan a ti»</w:t>
      </w:r>
      <w:r>
        <w:t xml:space="preserve"> [original: «Do not do to others that which angers you when they do it to you.», en la traducción inglesa de Norlin]</w:t>
      </w:r>
      <w:r>
        <w:t xml:space="preserve"> (Isócrates, Nicocles 61)</w:t>
      </w:r>
      <w:r>
        <w:br/>
      </w:r>
      <w:r>
        <w:rPr>
          <w:b/>
        </w:rPr>
        <w:t>leída en su fuente · Isócrates, Nicocles 61</w:t>
      </w:r>
      <w:r>
        <w:br/>
      </w:r>
      <w:r>
        <w:rPr>
          <w:b/>
        </w:rPr>
        <w:t>Archivo leído:</w:t>
      </w:r>
      <w:r>
        <w:t xml:space="preserve"> perseus_isocrates_nicocles_3_61_norlin.txt (flecos_9oct\regla_de_oro\perseus_isocrates_nicocles_3_61_norlin.txt) · contraste del archivo de pasajes: ✔</w:t>
      </w:r>
      <w:r>
        <w:br/>
      </w:r>
      <w:r>
        <w:rPr>
          <w:b/>
        </w:rPr>
        <w:t>Lugar:</w:t>
      </w:r>
      <w:r>
        <w:t xml:space="preserve"> Isócrates, Nicocles 61</w:t>
      </w:r>
      <w:r>
        <w:br/>
      </w:r>
      <w:r>
        <w:rPr>
          <w:b/>
        </w:rPr>
        <w:t>Tal como está en la fuente:</w:t>
      </w:r>
      <w:r>
        <w:t xml:space="preserve"> Do not do to others that which angers you when they do it to you.</w:t>
      </w:r>
      <w:r>
        <w:t>.</w:t>
      </w:r>
    </w:p>
    <w:p>
      <w:pPr>
        <w:pStyle w:val="ListBullet"/>
      </w:pPr>
      <w:r>
        <w:rPr>
          <w:b/>
        </w:rPr>
        <w:t>El islam:</w:t>
      </w:r>
      <w:r>
        <w:t xml:space="preserve"> «Ninguno de vosotros tendrá fe hasta que desee para su hermano lo que desea para sí»</w:t>
      </w:r>
      <w:r>
        <w:t xml:space="preserve"> [original: «None of you will have faith till he wishes for his (Muslim) brother what he likes for himself», en la copia inglesa de la colección de Bujari]</w:t>
      </w:r>
      <w:r>
        <w:t xml:space="preserve"> (Sahih al-Bujari 13)</w:t>
      </w:r>
      <w:r>
        <w:br/>
      </w:r>
      <w:r>
        <w:rPr>
          <w:b/>
        </w:rPr>
        <w:t>leída en su fuente · Sahih al-Bujari 13</w:t>
      </w:r>
      <w:r>
        <w:br/>
      </w:r>
      <w:r>
        <w:rPr>
          <w:b/>
        </w:rPr>
        <w:t>Archivo leído:</w:t>
      </w:r>
      <w:r>
        <w:t xml:space="preserve"> eng-bukhari.json (cierre_B3_B4_9oct\hadices_completos_hadith_api\eng-bukhari.json) · contraste del archivo de pasajes: ✔</w:t>
      </w:r>
      <w:r>
        <w:br/>
      </w:r>
      <w:r>
        <w:rPr>
          <w:b/>
        </w:rPr>
        <w:t>Lugar:</w:t>
      </w:r>
      <w:r>
        <w:t xml:space="preserve"> Sahih al-Bujari 13</w:t>
      </w:r>
      <w:r>
        <w:br/>
      </w:r>
      <w:r>
        <w:rPr>
          <w:b/>
        </w:rPr>
        <w:t>Tal como está en la fuente:</w:t>
      </w:r>
      <w:r>
        <w:t xml:space="preserve"> None of you will have faith till he wishes for his (Muslim) brother what he likes for himself</w:t>
      </w:r>
      <w:r>
        <w:t>.</w:t>
      </w:r>
    </w:p>
    <w:p>
      <w:r>
        <w:rPr>
          <w:b/>
        </w:rPr>
        <w:t>Lo que se puede decir y lo que no.</w:t>
      </w:r>
      <w:r>
        <w:t xml:space="preserve"> Coinciden en lo esencial regiones sin relación comprobada: Israel, China, India, Grecia y Persia. No se prueba que sean independientes entre sí, y Mateo y el hadiz beben de la tradición bíblica. En Egipto no se halló un precepto equivalente, y el que se cita en resúmenes, en el </w:t>
      </w:r>
      <w:r>
        <w:rPr>
          <w:i/>
        </w:rPr>
        <w:t>Campesino elocuente</w:t>
      </w:r>
      <w:r>
        <w:t xml:space="preserve">, no se leyó en su fuente. </w:t>
      </w:r>
      <w:r>
        <w:t>[fuentes del agente de flecos, lote 6 (9-oct-2026); lista 04p, fila 30; 04o, 5]</w:t>
      </w:r>
    </w:p>
    <w:p>
      <w:r>
        <w:rPr>
          <w:b/>
        </w:rPr>
        <w:t>La vara.</w:t>
      </w:r>
      <w:r>
        <w:t xml:space="preserve"> Con eso se hace la vara con que esta obra mide. Mide en dos pasos:</w:t>
      </w:r>
    </w:p>
    <w:p>
      <w:pPr>
        <w:spacing w:after="60"/>
        <w:ind w:left="510" w:hanging="397"/>
      </w:pPr>
      <w:r>
        <w:rPr>
          <w:b w:val="0"/>
        </w:rPr>
        <w:t xml:space="preserve">1. </w:t>
      </w:r>
      <w:r>
        <w:rPr>
          <w:b/>
        </w:rPr>
        <w:t>Primero, la verdad de los hechos:</w:t>
      </w:r>
      <w:r>
        <w:t xml:space="preserve"> si son ciertos, con su fuente.</w:t>
      </w:r>
    </w:p>
    <w:p>
      <w:pPr>
        <w:spacing w:after="60"/>
        <w:ind w:left="510" w:hanging="397"/>
      </w:pPr>
      <w:r>
        <w:rPr>
          <w:b w:val="0"/>
        </w:rPr>
        <w:t xml:space="preserve">2. </w:t>
      </w:r>
      <w:r>
        <w:rPr>
          <w:b/>
        </w:rPr>
        <w:t>Después, sus frutos,</w:t>
      </w:r>
      <w:r>
        <w:t xml:space="preserve"> con un criterio común a esas tradiciones: si dañan al prójimo, si hay reciprocidad, si hubo consentimiento y si hay beneficio mutuo.</w:t>
      </w:r>
    </w:p>
    <w:p>
      <w:r>
        <w:t>De dónde nace un acto (el amor, el egoísmo o la ignorancia) queda como lectura del autor, no como hecho. Cualquiera puede aplicar la vara sin ser jurista. Se aplica pieza a pieza, y no todo lo que mide sale torcido: por eso su conclusión de conjunto es creíble. Y se aplica a los dos lados, también a quien audita.</w:t>
      </w:r>
    </w:p>
    <w:p>
      <w:r>
        <w:t>[00.00-2.15; 00.00-2.20; 00.0-10.2; glosario 5.1]</w:t>
      </w:r>
    </w:p>
    <w:p>
      <w:r>
        <w:rPr>
          <w:b/>
        </w:rPr>
        <w:t>La balanza.</w:t>
      </w:r>
      <w:r>
        <w:t xml:space="preserve"> La vara, la pesa justa, el centro y el dial son un solo instrumento con cuatro nombres. La vara mide la verdad de los hechos y sus frutos; la pesa justa es lo recibido, la medida que las tradiciones guardaron y que no se trampea (</w:t>
      </w:r>
      <w:r>
        <w:t>3.2</w:t>
      </w:r>
      <w:r>
        <w:t xml:space="preserve">; </w:t>
      </w:r>
      <w:r>
        <w:t>anexo F</w:t>
      </w:r>
      <w:r>
        <w:t>); el centro es el bien común, que no lo pone quien mide, sino la ley de Dios y la natural (</w:t>
      </w:r>
      <w:r>
        <w:t>J.2</w:t>
      </w:r>
      <w:r>
        <w:t>); y el dial dice cuánto y hacia qué lado se aparta de ese centro lo medido: por defecto, si no cuida ni cumple, o por exceso, si se sirve a sí mismo (</w:t>
      </w:r>
      <w:r>
        <w:t>J.3</w:t>
      </w:r>
      <w:r>
        <w:t>). Es una sola balanza para todo el libro, y con ella se pesa al final, cosa por cosa, lo que el libro expone (</w:t>
      </w:r>
      <w:r>
        <w:t>J.8</w:t>
      </w:r>
      <w:r>
        <w:t xml:space="preserve">). </w:t>
      </w:r>
      <w:r>
        <w:t>[parlamento de la balanza (08/22), apartados 8 y 11; J.0 a J.4]</w:t>
      </w:r>
    </w:p>
    <w:p>
      <w:r>
        <w:rPr>
          <w:b/>
        </w:rPr>
        <w:t>Lectura del autor: la pesa.</w:t>
      </w:r>
      <w:r>
        <w:t xml:space="preserve"> En palabras del autor, cada cosa «sirve a un propósito más allá de ti, alineado con las leyes divinas, o tiene algún tipo de corrupción y procede de algo que aleja a la humanidad del bien común». Dicho con las palabras de este libro, se pesa en los dos pasos de la vara. Primero, ¿roca o arena?: si lo que se afirma se sostiene en su fuente, como la casa sobre la peña (</w:t>
      </w:r>
      <w:r>
        <w:t>5.4</w:t>
      </w:r>
      <w:r>
        <w:t>), y si no, en qué punto de la escala queda: presunción, falso o mentira (</w:t>
      </w:r>
      <w:r>
        <w:t>0.4</w:t>
      </w:r>
      <w:r>
        <w:t>). Después, por sus frutos: ¿sirve a un propósito más allá de sí, alineado con lo recibido, la ley de Dios y la natural; se sirve a sí mismo; o no cuida ni cumple? Esas dos maneras de apartarse del centro son lo que el autor llama corrupción, en el sentido de este libro y no en el del Código Penal: la ley que no mira a la utilidad común, sino a la codicia o la gloria de quien la hace (</w:t>
      </w:r>
      <w:r>
        <w:t>1.1</w:t>
      </w:r>
      <w:r>
        <w:t xml:space="preserve">; </w:t>
      </w:r>
      <w:r>
        <w:t>1.6</w:t>
      </w:r>
      <w:r>
        <w:t>), y la forma que conserva el nombre y pierde la sustancia (</w:t>
      </w:r>
      <w:r>
        <w:t>7.5</w:t>
      </w:r>
      <w:r>
        <w:t xml:space="preserve">; </w:t>
      </w:r>
      <w:r>
        <w:t>9.2</w:t>
      </w:r>
      <w:r>
        <w:t>). De dónde procede no se pesa: se pesa adónde lleva, por sus frutos (</w:t>
      </w:r>
      <w:r>
        <w:t>J.7</w:t>
      </w:r>
      <w:r>
        <w:t>), y su origen, si se lee, va con la fórmula «apunta hacia» (</w:t>
      </w:r>
      <w:r>
        <w:t>0.3</w:t>
      </w:r>
      <w:r>
        <w:t>). Y la misma pesa vale para quien pesa, también para esta obra (</w:t>
      </w:r>
      <w:r>
        <w:t>2.5</w:t>
      </w:r>
      <w:r>
        <w:t xml:space="preserve">). </w:t>
      </w:r>
      <w:r>
        <w:t>[Kiko, chats de 08.20 y 08.21, 12-oct-2026, 10:0x a 10:5x; parlamento de la balanza (08/22), apartados 10 y 11; lectura del autor, sin dato nuevo]</w:t>
      </w:r>
    </w:p>
    <w:p>
      <w:r>
        <w:rPr>
          <w:b/>
        </w:rPr>
        <w:t>La convergencia.</w:t>
      </w:r>
      <w:r>
        <w:t xml:space="preserve"> ¿Cómo se sabe que las tradiciones dicen de verdad lo mismo, y que no es casualidad? Por la convergencia.</w:t>
      </w:r>
    </w:p>
    <w:p>
      <w:pPr>
        <w:pStyle w:val="ListBullet"/>
      </w:pPr>
      <w:r>
        <w:rPr>
          <w:b/>
        </w:rPr>
        <w:t>La regla:</w:t>
      </w:r>
      <w:r>
        <w:t xml:space="preserve"> una afirmación se tiene por sólida cuando aparece en tres o más fuentes independientes, es decir, tradiciones, épocas o disciplinas sin una línea de transmisión entre ellas. Y solo después de haber buscado la fuente de peso que sostiene lo contrario.</w:t>
      </w:r>
    </w:p>
    <w:p>
      <w:pPr>
        <w:pStyle w:val="ListBullet"/>
      </w:pPr>
      <w:r>
        <w:rPr>
          <w:b/>
        </w:rPr>
        <w:t>La imagen es una mesa:</w:t>
      </w:r>
      <w:r>
        <w:t xml:space="preserve"> </w:t>
      </w:r>
    </w:p>
    <w:p>
      <w:pPr>
        <w:pStyle w:val="ListBullet2"/>
      </w:pPr>
      <w:r>
        <w:t xml:space="preserve">cada fuente independiente es una </w:t>
      </w:r>
      <w:r>
        <w:rPr>
          <w:b/>
        </w:rPr>
        <w:t>pata</w:t>
      </w:r>
      <w:r>
        <w:t>;</w:t>
      </w:r>
    </w:p>
    <w:p>
      <w:pPr>
        <w:pStyle w:val="ListBullet2"/>
      </w:pPr>
      <w:r>
        <w:t xml:space="preserve">la fuente que contradice es la </w:t>
      </w:r>
      <w:r>
        <w:rPr>
          <w:b/>
        </w:rPr>
        <w:t>pata coja</w:t>
      </w:r>
      <w:r>
        <w:t>;</w:t>
      </w:r>
    </w:p>
    <w:p>
      <w:pPr>
        <w:pStyle w:val="ListBullet2"/>
      </w:pPr>
      <w:r>
        <w:t>la prueba consiste en quitar una pata y ver si la mesa sigue en pie.</w:t>
      </w:r>
    </w:p>
    <w:p>
      <w:pPr>
        <w:pStyle w:val="ListBullet"/>
      </w:pPr>
      <w:r>
        <w:rPr>
          <w:b/>
        </w:rPr>
        <w:t>Si no aparece ninguna pata coja,</w:t>
      </w:r>
      <w:r>
        <w:t xml:space="preserve"> el hallazgo es sospechoso, no sólido: alguien tuvo que sostener lo contrario.</w:t>
      </w:r>
    </w:p>
    <w:p>
      <w:pPr>
        <w:pStyle w:val="ListBullet"/>
      </w:pPr>
      <w:r>
        <w:rPr>
          <w:b/>
        </w:rPr>
        <w:t>La condición,</w:t>
      </w:r>
      <w:r>
        <w:t xml:space="preserve"> para que el principio no se pueda tumbar: una práctica muy extendida no es por eso buena. La esclavitud estuvo muy extendida, y no pasa la vara: daña al prójimo y no hay reciprocidad. Tampoco pasan la vara el robo hacia fuera que unos germanos tenían por honroso y la mutilación genital femenina de hoy (</w:t>
      </w:r>
      <w:r>
        <w:t>1.5</w:t>
      </w:r>
      <w:r>
        <w:t>). Lo que converge y además pasa la vara es lo que esta obra tiene por ley por encima de toda ley. Lo que solo se repite puede ser una costumbre torcida.</w:t>
      </w:r>
    </w:p>
    <w:p>
      <w:r>
        <w:t>[01.00-0.1; 00.00-1.5; glosario 5.4]</w:t>
      </w:r>
    </w:p>
    <w:p>
      <w:pPr>
        <w:pStyle w:val="Heading2"/>
      </w:pPr>
      <w:r>
        <w:t>0.6 El mapa del libro</w:t>
      </w:r>
    </w:p>
    <w:p>
      <w:pPr>
        <w:pBdr>
          <w:left w:val="single" w:sz="24" w:space="6" w:color="E2DED6"/>
        </w:pBdr>
        <w:shd w:val="clear" w:color="auto" w:fill="F1EEE8"/>
        <w:spacing w:before="80" w:after="160"/>
        <w:ind w:left="142" w:right="142"/>
      </w:pPr>
      <w:r>
        <w:rPr>
          <w:b/>
        </w:rPr>
        <w:t>La idea: el libro va de lo que está por encima de toda ley a lo que cada persona puede hacer, y termina en el juicio.</w:t>
      </w:r>
    </w:p>
    <w:p>
      <w:pPr>
        <w:pStyle w:val="ListBullet"/>
      </w:pPr>
      <w:r>
        <w:rPr>
          <w:b/>
        </w:rPr>
        <w:t>1</w:t>
      </w:r>
      <w:r>
        <w:rPr>
          <w:b/>
        </w:rPr>
        <w:t xml:space="preserve"> El orden de las leyes:</w:t>
      </w:r>
      <w:r>
        <w:t xml:space="preserve"> cuáles son las leyes que están por encima de las que escribe el Estado, en qué orden, y quién invirtió ese orden.</w:t>
      </w:r>
    </w:p>
    <w:p>
      <w:pPr>
        <w:pStyle w:val="ListBullet"/>
      </w:pPr>
      <w:r>
        <w:rPr>
          <w:b/>
        </w:rPr>
        <w:t>2</w:t>
      </w:r>
      <w:r>
        <w:rPr>
          <w:b/>
        </w:rPr>
        <w:t xml:space="preserve"> La persona y los derechos que preceden al Estado:</w:t>
      </w:r>
      <w:r>
        <w:t xml:space="preserve"> la persona, su derecho de nacimiento y «soberanos somos todos».</w:t>
      </w:r>
    </w:p>
    <w:p>
      <w:pPr>
        <w:pStyle w:val="ListBullet"/>
      </w:pPr>
      <w:r>
        <w:rPr>
          <w:b/>
        </w:rPr>
        <w:t>3</w:t>
      </w:r>
      <w:r>
        <w:rPr>
          <w:b/>
        </w:rPr>
        <w:t xml:space="preserve"> Lo que todas las tradiciones guardaron: el Arca:</w:t>
      </w:r>
      <w:r>
        <w:t xml:space="preserve"> la ley de Dios, principio por principio, en las tradiciones del mundo, con su pata coja.</w:t>
      </w:r>
    </w:p>
    <w:p>
      <w:pPr>
        <w:pStyle w:val="ListBullet"/>
      </w:pPr>
      <w:r>
        <w:rPr>
          <w:b/>
        </w:rPr>
        <w:t>4</w:t>
      </w:r>
      <w:r>
        <w:rPr>
          <w:b/>
        </w:rPr>
        <w:t xml:space="preserve"> Discernir: el mal sin cuerpo:</w:t>
      </w:r>
      <w:r>
        <w:t xml:space="preserve"> cómo describen las religiones el mal que no tiene cuerpo, y la lucha entre el bien y el mal.</w:t>
      </w:r>
    </w:p>
    <w:p>
      <w:pPr>
        <w:pStyle w:val="ListBullet"/>
      </w:pPr>
      <w:r>
        <w:rPr>
          <w:b/>
        </w:rPr>
        <w:t>5</w:t>
      </w:r>
      <w:r>
        <w:rPr>
          <w:b/>
        </w:rPr>
        <w:t xml:space="preserve"> Lo que se da por supuesto:</w:t>
      </w:r>
      <w:r>
        <w:t xml:space="preserve"> las presunciones en que se sostiene el sistema.</w:t>
      </w:r>
    </w:p>
    <w:p>
      <w:pPr>
        <w:pStyle w:val="ListBullet"/>
      </w:pPr>
      <w:r>
        <w:rPr>
          <w:b/>
        </w:rPr>
        <w:t>6</w:t>
      </w:r>
      <w:r>
        <w:rPr>
          <w:b/>
        </w:rPr>
        <w:t xml:space="preserve"> Cómo se construyó el Estado:</w:t>
      </w:r>
      <w:r>
        <w:t xml:space="preserve"> el contrato que nadie firmó, cómo se autoproclama un Estado, y la propiedad y el poder.</w:t>
      </w:r>
    </w:p>
    <w:p>
      <w:pPr>
        <w:pStyle w:val="ListBullet"/>
      </w:pPr>
      <w:r>
        <w:rPr>
          <w:b/>
        </w:rPr>
        <w:t>7</w:t>
      </w:r>
      <w:r>
        <w:rPr>
          <w:b/>
        </w:rPr>
        <w:t xml:space="preserve"> La auditoría:</w:t>
      </w:r>
      <w:r>
        <w:t xml:space="preserve"> la Constitución frente a los hechos.</w:t>
      </w:r>
    </w:p>
    <w:p>
      <w:pPr>
        <w:pStyle w:val="ListBullet"/>
      </w:pPr>
      <w:r>
        <w:rPr>
          <w:b/>
        </w:rPr>
        <w:t>8</w:t>
      </w:r>
      <w:r>
        <w:rPr>
          <w:b/>
        </w:rPr>
        <w:t xml:space="preserve"> Los frutos:</w:t>
      </w:r>
      <w:r>
        <w:t xml:space="preserve"> el dinero, la deuda, la carga sobre cada persona, la vivienda y la confianza, medidos con datos.</w:t>
      </w:r>
    </w:p>
    <w:p>
      <w:pPr>
        <w:pStyle w:val="ListBullet"/>
      </w:pPr>
      <w:r>
        <w:rPr>
          <w:b/>
        </w:rPr>
        <w:t>9</w:t>
      </w:r>
      <w:r>
        <w:rPr>
          <w:b/>
        </w:rPr>
        <w:t xml:space="preserve"> El dictamen:</w:t>
      </w:r>
      <w:r>
        <w:t xml:space="preserve"> la conclusión de la obra, con sus límites.</w:t>
      </w:r>
    </w:p>
    <w:p>
      <w:pPr>
        <w:pStyle w:val="ListBullet"/>
      </w:pPr>
      <w:r>
        <w:rPr>
          <w:b/>
        </w:rPr>
        <w:t>10</w:t>
      </w:r>
      <w:r>
        <w:rPr>
          <w:b/>
        </w:rPr>
        <w:t xml:space="preserve"> Las puertas:</w:t>
      </w:r>
      <w:r>
        <w:t xml:space="preserve"> lo que se propone y lo que cada persona puede hacer, dentro de la ley.</w:t>
      </w:r>
    </w:p>
    <w:p>
      <w:pPr>
        <w:pStyle w:val="ListBullet"/>
      </w:pPr>
      <w:r>
        <w:rPr>
          <w:b/>
        </w:rPr>
        <w:t>11</w:t>
      </w:r>
      <w:r>
        <w:rPr>
          <w:b/>
        </w:rPr>
        <w:t xml:space="preserve"> El juicio popular de la verdad:</w:t>
      </w:r>
      <w:r>
        <w:t xml:space="preserve"> las objeciones del Estado y lo que la obra le responde; los cargos, cada uno con la defensa del Estado y su última palabra; las preguntas y el llamamiento.</w:t>
      </w:r>
    </w:p>
    <w:p>
      <w:pPr>
        <w:pStyle w:val="ListBullet"/>
      </w:pPr>
      <w:r>
        <w:rPr>
          <w:b/>
        </w:rPr>
        <w:t>Anexos A a J:</w:t>
      </w:r>
      <w:r>
        <w:t xml:space="preserve"> las piezas de consulta, para quien quiera el detalle: </w:t>
      </w:r>
    </w:p>
    <w:p>
      <w:pPr>
        <w:pStyle w:val="ListBullet2"/>
      </w:pPr>
      <w:r>
        <w:t>la Constitución artículo por artículo;</w:t>
      </w:r>
    </w:p>
    <w:p>
      <w:pPr>
        <w:pStyle w:val="ListBullet2"/>
      </w:pPr>
      <w:r>
        <w:t>la carga fiscal y los datos;</w:t>
      </w:r>
    </w:p>
    <w:p>
      <w:pPr>
        <w:pStyle w:val="ListBullet2"/>
      </w:pPr>
      <w:r>
        <w:t>los modelos de escrito;</w:t>
      </w:r>
    </w:p>
    <w:p>
      <w:pPr>
        <w:pStyle w:val="ListBullet2"/>
      </w:pPr>
      <w:r>
        <w:t>lo que se afirma sin documento;</w:t>
      </w:r>
    </w:p>
    <w:p>
      <w:pPr>
        <w:pStyle w:val="ListBullet2"/>
      </w:pPr>
      <w:r>
        <w:t>los textos de cada tradición;</w:t>
      </w:r>
    </w:p>
    <w:p>
      <w:pPr>
        <w:pStyle w:val="ListBullet2"/>
      </w:pPr>
      <w:r>
        <w:t>cómo se hizo esta obra;</w:t>
      </w:r>
    </w:p>
    <w:p>
      <w:pPr>
        <w:pStyle w:val="ListBullet2"/>
      </w:pPr>
      <w:r>
        <w:t>el glosario y las fuentes;</w:t>
      </w:r>
    </w:p>
    <w:p>
      <w:pPr>
        <w:pStyle w:val="ListBullet2"/>
      </w:pPr>
      <w:r>
        <w:t>la balanza equilibrada: el método con que se mide hacia dónde apunta cada cosa, con lo que las tradiciones guardaron como centro.</w:t>
      </w:r>
    </w:p>
    <w:p>
      <w:pPr>
        <w:pStyle w:val="ListBullet"/>
      </w:pPr>
      <w:r>
        <w:rPr>
          <w:b/>
        </w:rPr>
        <w:t>El mapa del árbol:</w:t>
      </w:r>
      <w:r>
        <w:t xml:space="preserve"> la segunda puerta de entrada: la obra dibujada como un solo árbol, con la raíz (lo que se recibe y converge), el tronco, las ramas y los frutos, las tres columnas como dial y lo creado como capa; cada círculo lleva su apartado, su fuente y su nivel. Se abre desde el índice general.</w:t>
      </w:r>
    </w:p>
    <w:p>
      <w:r>
        <w:t>[índice aprobado en la F2; 00.0-8 (mapa de la auditoría del Pórtico), rehecho; el mapa del árbol, M6, 9-oct-2026]</w:t>
      </w:r>
    </w:p>
    <w:p>
      <w:pPr>
        <w:pStyle w:val="Heading2"/>
      </w:pPr>
      <w:r>
        <w:t>Dónde se oye la defensa del Estado</w:t>
      </w:r>
    </w:p>
    <w:p>
      <w:r>
        <w:t xml:space="preserve">La defensa del Estado frente a este capítulo («la obra no es neutral: la vara la pone el autor»), y lo que la obra le responde, se oyen en el juicio: </w:t>
      </w:r>
      <w:r>
        <w:t>11.2</w:t>
      </w:r>
      <w:r>
        <w:t>, las cuestiones previas.</w:t>
      </w:r>
    </w:p>
    <w:p>
      <w:r>
        <w:t>[glosario 8.13; el texto pasa a «11 material - cuestiones previas»]</w:t>
      </w:r>
    </w:p>
    <w:p>
      <w:pPr>
        <w:pStyle w:val="Heading2"/>
      </w:pPr>
      <w:r>
        <w:t>Para recordar</w:t>
      </w:r>
    </w:p>
    <w:p>
      <w:pPr>
        <w:pStyle w:val="ListBullet"/>
      </w:pPr>
      <w:r>
        <w:t>Esta obra no pide fe: cada afirmación lleva su fuente, y el lector elige cuánto quiere ver de ella.</w:t>
      </w:r>
    </w:p>
    <w:p>
      <w:pPr>
        <w:pStyle w:val="ListBullet"/>
      </w:pPr>
      <w:r>
        <w:t>El dato y la interpretación van siempre separados, y la intención de nadie se afirma como hecho.</w:t>
      </w:r>
    </w:p>
    <w:p>
      <w:pPr>
        <w:pStyle w:val="ListBullet"/>
      </w:pPr>
      <w:r>
        <w:t>Verdad, presunción, falso y mentira no son lo mismo.</w:t>
      </w:r>
    </w:p>
    <w:p>
      <w:pPr>
        <w:pStyle w:val="ListBullet"/>
      </w:pPr>
      <w:r>
        <w:t>Por sus frutos se reconoce; no se condena a nadie por lo que es ni por lo que cree.</w:t>
      </w:r>
    </w:p>
    <w:p>
      <w:pPr>
        <w:pStyle w:val="ListBullet"/>
      </w:pPr>
      <w:r>
        <w:t>La obra no exime de ninguna obligación vigente ni invita a desobedecer: su camino es la constancia escrita, el Registro de los frutos, el juicio popular de la verdad y la metamorfosis del Estado.</w:t>
      </w:r>
    </w:p>
    <w:p>
      <w:r>
        <w:br w:type="page"/>
      </w:r>
    </w:p>
    <w:p>
      <w:pPr>
        <w:pStyle w:val="Heading1"/>
      </w:pPr>
      <w:r>
        <w:t>1 El orden de las leyes</w:t>
      </w:r>
    </w:p>
    <w:p>
      <w:pPr>
        <w:spacing w:after="200"/>
      </w:pPr>
      <w:r>
        <w:rPr>
          <w:rFonts w:ascii="Segoe UI" w:hAnsi="Segoe UI" w:eastAsia="Segoe UI" w:cs="Segoe UI"/>
          <w:color w:val="6B665E"/>
          <w:sz w:val="17"/>
        </w:rPr>
        <w:t>Primera versión: 5 de octubre de 2026 · Última revisión: 12 de octubre de 2026 · Cambios anotados en el capítulo: 13 · Citas leídas en su fuente: 105</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(c) en 1.3, «carta a los tesalonicenses», en minúscula, como «carta a los corintios» en 3.7 (07/herramientas/aplicar_cinco_de_forma.py). Ninguna otra palabra cambia. Cambio del 12-oct-2026, el cierre, dentro del paso 3 (B13: Kiko, chat de 08.18, 06:3x, «si» a la forma «sin contacto documentado entre sí»; orden de 08.29, filas 709 y 710 de 08/01, tras la auditoría de 10.36): las 5 frases en este capítulo con la forma de antes pasan a decir «sin contacto documentado» (07/herramientas/aplicar_contacto_documentado.py).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2 (borrador B16). Ninguna otra palabra cambia. Cambio del 12-oct-2026 (B13, punto 7 en otra forma; decisión de 08.18 sobre la frase que Kiko aprobó en el chat de 08.18, 06:3x: «si»; la vio 10.29): en 1.9, «convergen en tradiciones que no se leyeron entre sí» pasa a «sin contacto documentado entre sí». Ninguna otra palabra cambia. Cambio del 12-oct-2026 (Kiko, chat de 08.18, 06:3x, pasado por 08.18 tal cual, a «¿das el sí a los nueve cambios de 07.6?»: «si»; borrador B13, el barrido de los cuantificadores vagos en las frases con dato): «tradiciones que nunca se leyeron entre sí» pasa a «tradiciones sin contacto documentado entre sí» en «En pocas palabras» y en «La idea» de 1.4 (la forma del veredicto de 1.4 y de 1.9); y en 1.5, «la esclavitud estuvo en casi todos los pueblos» pasa a «estuvo muy extendida»: ninguna fuente de la obra da ese «casi todos». Ninguna otra palabra cambia. Cambio del 9-oct-2026 (Kiko: «Sí, ponlo en 1.5»; fila 29 de 04p): en 1.5, tras «La condición», un bloque nuevo, «Dos ejemplos de costumbre que no pasa la vara»: el robo hacia fuera de la propia tribu entre los germanos según César (VI, 23) y la mutilación genital femenina con las cifras de la OMS y la resolución de la ONU de 2012, con su «Lectura del autor». «La idea» de 1.5 no cambia. Cambio del 9-oct-2026 (Kiko: «sí al B10 con las dos recomendaciones, aplícalo»; fila 41 de 04p; borrador B10): en el ejemplo de la moneda, al final de 1.5, la lista de dónde están los hechos de hoy añade 8.10 (la salud y la familia). Cambio del 9-oct-2026 (Kiko: «Sí a las tres, redáctalo» y «sí a B9»; fila 41 de 04p, parte a; borrador B9 de la carpeta 07): al final de 1.5, una «Lectura del autor» con la moneda como ejemplo de costumbre que se asume por el uso y no pasa la vara (el paso del oro a la confianza, la ironía de la confianza que se pierde con la inflación, «en el plan divino esto no cabía»); los hechos se remiten a 8.1, 5.1, 5.4 y 8.4, sin cifras nuevas. Y una línea al final de 1.6 que remite al ejemplo. Cambio del 9-oct-2026 (Kiko: «Sí a todo el B3 y el B4, aplícalos» en el chat de la ventana que acompaña, y «SÍ A TODO, LO PARLAMENTADO EN ESTE CONSENSO» en el de la que trabaja; fila 2 de 04p; borrador B3 de la carpeta 07): al final del capítulo, un apartado nuevo, 1.9 «La legitimidad de la autoridad: original y derivada» (la autoridad original es la de la ley de Dios y la natural; la derivada, la de la costumbre y la ley escrita, que se pierde por el conflicto de interés, por salirse del bien común y por apartarse de lo superior; Mencio y el Shû King como testigos del criterio, no del hecho; la prueba de una pregunta; que se elige), con una viñeta en «En pocas palabras», una frase en 1.0 y una viñeta en «Para recordar». «Verdad comprobada», no «verdad absoluta» (decisión del borrador, aprobada). Cambio del 9-oct-2026 (Kiko: «Sí al B1, aplícalo en 06»; borrador B1 de la carpeta 07; filas 3, 4 y 36 de 04p y definición de «ley escrita»): en 1.1, un párrafo nuevo «La ley escrita se juzga por a quién sirve» (sirve a lo de arriba, o sirve a quien la escribe; lo mismo vale para la costumbre; el testimonio escrito de la ley de Dios o de la natural no es «ley escrita» en este sentido); en 1.4, «Dos sentidos de “natural”»; en 1.5, «La condición» de la costumbre; en 1.6, «Las tres maneras de servir al hombre» (Aquino, Suma teológica I-II, q. 96, a. 4, leído en el latín de Corpus Thomisticum). No cambia ninguna cita anterior. Cambio del 9-oct-2026 (Kiko, decisión Q16 del bloque 04n, «sí a todas»; fila 5 de 04p): en la voz de la obra, «ley escrita» en lugar de «derecho positivo», que queda solo entre comillas al citar a Aquino y para decir cómo la llama él. Cambiados: el concepto de esta cabecera, el orden de las cuatro leyes y el apartado de la ley escrita en 1.1, la lectura del autor de 1.1 y el título de 1.6. Ninguna cita, dato ni fuente cambia. Cambio del 8-oct-2026 (fase de reparación, traducciones sin original, quinta tanda): puestos, junto a sus traducciones, los originales de Savigny (1814, pp. 13-14), de la ley del 30 ventoso del año XII (art. 7), del ABGB austriaco (§ 10) y de Hobbes (Leviatán XXVI); los cuatro estaban leídos en su fuente (libreta 58) y hoy se bajaron y se cotejaron letra a letra. Cambio del 8-oct-2026 (fase de reparación, auditoría de las citas contra los originales): puesto el original latino junto a cuatro citas traducidas que no lo llevaban (libro de estilo §1): Digesto 1.3.32, Suma teológica I-II q. 97 a. 3, Código de Justiniano 8.52.2 y 3.5.1. Leídos hoy en los archivos locales (Digesto y Códice en Grenoble; Aquino en Corpus Thomisticum). ESTADO: APROBADO por Kiko el 5-oct-2026 («sí a las dos»). Su material está marcado en el inventario (04 CAPITULOS/marcas/marcas del capitulo 1.txt). Cualquier cambio posterior, con su aprobación. Añadido el 5-oct, con su aprobación: los flecos leídos en su fuente (informe 05b; libreta 72, punto 135). Trazabilidad: al final de cada párrafo o bloque, entre corchetes, de dónde sale (código del inventario de procedencia, entrada del glosario único o libreta). Lo que el capítulo no usa pasa, sin perderse, a su sitio: la metáfora del árbol de Kiko (11.00) a 2.0; el catálogo de presunciones de los cimientos (00.2 §1) a 5.2; la caída (Gn 6) a 4.3; las tradiciones orales y Suárez a 3.5 (antes 3.6); Ubuntu a 2.2; el taoísmo a 3.2; Mill y Dworkin a 11.2; las correcciones de Crisipo, Ulpiano, Bentham y «sine causa» al anexo G; la Unión Europea y las leyes orgánicas a los cargos 2 y 12; las vías reales de defensa (20.00) a 10.4; las máximas latinas, al anexo H. Citas: todas las literales se han leído hoy en su fuente original (Aquino en corpusthomisticum.org; Isidoro en thelatinlibrary.com; Aristóteles, Platón y Sófocles en Perseus; Mencio en Wikisource; Biblia en la Reina-Valera Antigua; Corán en la traducción de Julio Cortés; Dhammapada en SuttaCentral; Principios de Núremberg en legal.un.org; Código Civil, Constitución, Ley Orgánica del Poder Judicial, Leyes 29/1998, 39/2015 y 40/2015 en el BOE), o ya estaban leídas en su fuente en la libreta 58 (jerarquía de las fuentes). Lo que no se ha podido leer en el original lleva la marca «fuente secundaria». Conceptos que ancla este capítulo: el orden de las leyes; la ley de Dios; la ley natural y el orden natural; la costumbre; la ley escrita («la ley puesta por los hombres»); la corrupción de la ley; el principio de Núremberg; el orden oficial, «el orden puesto por el hombre» y «el orden invertido»; las dos jurisdicciones; la autoridad original y la derivada; la prueba de una pregunta. TRES NIVELES (Kiko, 5-oct-2026, «sí a las dos»; libreta 72, puntos 112 y 113): pasado al formato de tres niveles sin cambiar ningún dato ni ninguna cita. Añadido: «En pocas palabras», «La idea» de cada apartado y «Para recordar». Marcas: {fuente: …} niveles 2 y 3; {original: …} nivel 3; [trazabilidad] nivel 3; {completo} solo nivel 3; {breve} solo niveles 1 y 2.</w:t>
      </w:r>
    </w:p>
    <w:p>
      <w:pPr>
        <w:pBdr>
          <w:left w:val="single" w:sz="24" w:space="6" w:color="E2DED6"/>
        </w:pBdr>
        <w:shd w:val="clear" w:color="auto" w:fill="F1EEE8"/>
        <w:spacing w:before="80" w:after="160"/>
        <w:ind w:left="142" w:right="142"/>
      </w:pPr>
      <w:r>
        <w:rPr>
          <w:b/>
        </w:rPr>
        <w:t>En pocas palabras:</w:t>
      </w:r>
    </w:p>
    <w:p>
      <w:pPr>
        <w:pStyle w:val="ListBullet"/>
      </w:pPr>
      <w:r>
        <w:t>Las leyes tienen un orden: por encima de todo, la ley de Dios; después, la ley natural; después, la costumbre; y al final, la ley que escriben los hombres.</w:t>
      </w:r>
    </w:p>
    <w:p>
      <w:pPr>
        <w:pStyle w:val="ListBullet"/>
      </w:pPr>
      <w:r>
        <w:t>La ley natural, saber distinguir el bien del mal con la razón, la tiene cualquier persona: lo confirman tradiciones sin contacto documentado entre sí.</w:t>
      </w:r>
    </w:p>
    <w:p>
      <w:pPr>
        <w:pStyle w:val="ListBullet"/>
      </w:pPr>
      <w:r>
        <w:t>La ley humana que contradice a las de arriba deja de ser ley: es «corrupción de la ley».</w:t>
      </w:r>
    </w:p>
    <w:p>
      <w:pPr>
        <w:pStyle w:val="ListBullet"/>
      </w:pPr>
      <w:r>
        <w:t>El orden oficial del Estado es el inverso, y lo invirtió casi siempre quien tenía el poder de legislar.</w:t>
      </w:r>
    </w:p>
    <w:p>
      <w:pPr>
        <w:pStyle w:val="ListBullet"/>
      </w:pPr>
      <w:r>
        <w:t>Esta obra trabaja en la jurisdicción de la verdad, y no exime de ninguna obligación del Estado.</w:t>
      </w:r>
    </w:p>
    <w:p>
      <w:pPr>
        <w:pStyle w:val="ListBullet"/>
      </w:pPr>
      <w:r>
        <w:t>Solo la ley de Dios y la ley natural tienen autoridad original; la costumbre y la ley escrita la tienen derivada, y la pierden cuando quien manda se sirve a sí mismo.</w:t>
      </w:r>
    </w:p>
    <w:p>
      <w:pPr>
        <w:pStyle w:val="Heading2"/>
      </w:pPr>
      <w:r>
        <w:t>1.0 Propósito</w:t>
      </w:r>
    </w:p>
    <w:p>
      <w:r>
        <w:t>Antes de medir nada hay que saber con qué se mide. Este capítulo pone en orden las leyes que la humanidad ha tenido por leyes: la de Dios, la natural, la costumbre y la que escriben los hombres. Explica cada una, dice en qué orden las guardaron los pueblos, y muestra que el orden oficial del Estado es el inverso, quién lo invirtió, y de dónde saca su título quien manda (</w:t>
      </w:r>
      <w:r>
        <w:t>1.9</w:t>
      </w:r>
      <w:r>
        <w:t xml:space="preserve">). A partir de aquí, cada cosa se llama por su lugar en ese orden, y no por el nombre que le da el orden oficial. </w:t>
      </w:r>
      <w:r>
        <w:t>[glosario 4.1, 4.7 y 4.8]</w:t>
      </w:r>
    </w:p>
    <w:p>
      <w:pPr>
        <w:pStyle w:val="Heading2"/>
      </w:pPr>
      <w:r>
        <w:t>1.1 Las cuatro leyes y su orden</w:t>
      </w:r>
    </w:p>
    <w:p>
      <w:pPr>
        <w:pBdr>
          <w:left w:val="single" w:sz="24" w:space="6" w:color="E2DED6"/>
        </w:pBdr>
        <w:shd w:val="clear" w:color="auto" w:fill="F1EEE8"/>
        <w:spacing w:before="80" w:after="160"/>
        <w:ind w:left="142" w:right="142"/>
      </w:pPr>
      <w:r>
        <w:rPr>
          <w:b/>
        </w:rPr>
        <w:t>La idea: por encima de todo, la ley de Dios; después, la ley natural; después, la costumbre; y al final, la ley que escriben los hombres. El orden oficial es el inverso.</w:t>
      </w:r>
    </w:p>
    <w:p>
      <w:r>
        <w:t>Por encima de todo, la ley de Dios; después, la ley natural; por debajo, la costumbre; y por último, la ley humana, la ley escrita. Es el orden que expone Tomás de Aquino en la Suma teológica</w:t>
      </w:r>
      <w:r>
        <w:t xml:space="preserve"> (I-II, q. 91)</w:t>
      </w:r>
      <w:r>
        <w:t xml:space="preserve">, y el que guardaron, cada una a su manera, las tradiciones que este capítulo recorre. </w:t>
      </w:r>
      <w:r>
        <w:t>[00.0-2.1; glosario 4.1]</w:t>
      </w:r>
    </w:p>
    <w:p>
      <w:r>
        <w:rPr>
          <w:b/>
        </w:rPr>
        <w:t>La ley natural</w:t>
      </w:r>
      <w:r>
        <w:t>, para Aquino, es la parte de la ley de Dios que la razón humana alcanza por sí misma: «esa participación de la ley eterna en la criatura racional se llama ley natural»</w:t>
      </w:r>
      <w:r>
        <w:t xml:space="preserve"> [original: «talis participatio legis aeternae in rationali creatura lex naturalis dicitur»]</w:t>
      </w:r>
      <w:r>
        <w:t xml:space="preserve"> (Suma teológica I-II, q. 91, a. 2)</w:t>
      </w:r>
      <w:r>
        <w:br/>
      </w:r>
      <w:r>
        <w:rPr>
          <w:b/>
        </w:rPr>
        <w:t>leída en su fuente · Suma teológica I-II, q. 91, a. 2</w:t>
      </w:r>
      <w:r>
        <w:br/>
      </w:r>
      <w:r>
        <w:rPr>
          <w:b/>
        </w:rPr>
        <w:t>Archivo leído:</w:t>
      </w:r>
      <w:r>
        <w:t xml:space="preserve"> sth2090.html (ant\c1\sth2090.html) · contraste del archivo de pasajes: ✔</w:t>
      </w:r>
      <w:r>
        <w:br/>
      </w:r>
      <w:r>
        <w:rPr>
          <w:b/>
        </w:rPr>
        <w:t>Lugar:</w:t>
      </w:r>
      <w:r>
        <w:t xml:space="preserve"> Suma teológica I-II, q. 91, a. 2</w:t>
      </w:r>
      <w:r>
        <w:br/>
      </w:r>
      <w:r>
        <w:rPr>
          <w:b/>
        </w:rPr>
        <w:t>Tal como está en la fuente:</w:t>
      </w:r>
      <w:r>
        <w:t xml:space="preserve"> talis participatio legis aeternae in rationali creatura lex naturalis dicitur</w:t>
      </w:r>
      <w:r>
        <w:t xml:space="preserve">. </w:t>
      </w:r>
      <w:r>
        <w:t>[00.0-2.1; Aquino leído en latín]</w:t>
      </w:r>
    </w:p>
    <w:p>
      <w:r>
        <w:rPr>
          <w:b/>
        </w:rPr>
        <w:t>La ley escrita</w:t>
      </w:r>
      <w:r>
        <w:t xml:space="preserve"> es lo que Aquino llama «derecho positivo», y el nombre no quiere decir que sea buena.</w:t>
      </w:r>
    </w:p>
    <w:p>
      <w:pPr>
        <w:pStyle w:val="ListBullet"/>
      </w:pPr>
      <w:r>
        <w:t>«Positivo» es lo puesto: Aquino llama a la ley humana la ley «puesta por los hombres»</w:t>
      </w:r>
      <w:r>
        <w:t xml:space="preserve"> [original: «lex humanitus posita»]</w:t>
      </w:r>
      <w:r>
        <w:t xml:space="preserve"> (Suma teológica I-II, q. 95, a. 2)</w:t>
      </w:r>
      <w:r>
        <w:t>.</w:t>
      </w:r>
    </w:p>
    <w:p>
      <w:pPr>
        <w:pStyle w:val="ListBullet"/>
      </w:pPr>
      <w:r>
        <w:t>Es el derecho que se fija por acuerdo, o «cuando lo ordena el príncipe, que tiene a su cargo al pueblo»: «y esto se llama derecho positivo»</w:t>
      </w:r>
      <w:r>
        <w:t xml:space="preserve"> [original: «ex condicto»; «cum hoc ordinat princeps, qui curam populi habet»; «Et hoc dicitur ius positivum»]</w:t>
      </w:r>
      <w:r>
        <w:t xml:space="preserve"> (Suma teológica II-II, q. 57, a. 2)</w:t>
      </w:r>
      <w:r>
        <w:br/>
      </w:r>
      <w:r>
        <w:rPr>
          <w:b/>
        </w:rPr>
        <w:t>pasaje guardado · Suma teológica II-II, q. 57, a. 2</w:t>
      </w:r>
      <w:r>
        <w:br/>
      </w:r>
      <w:r>
        <w:rPr>
          <w:b/>
        </w:rPr>
        <w:t>Archivo leído:</w:t>
      </w:r>
      <w:r>
        <w:t xml:space="preserve"> sth3057.html (ant\c1\sth3057.html) · contraste del archivo de pasajes: ✔</w:t>
      </w:r>
      <w:r>
        <w:br/>
      </w:r>
      <w:r>
        <w:rPr>
          <w:b/>
        </w:rPr>
        <w:t>Lugar:</w:t>
      </w:r>
      <w:r>
        <w:t xml:space="preserve"> Suma teológica II-II, q. 57, a. 2</w:t>
      </w:r>
      <w:r>
        <w:br/>
      </w:r>
      <w:r>
        <w:rPr>
          <w:b/>
        </w:rPr>
        <w:t>Tal como está en la fuente:</w:t>
      </w:r>
      <w:r>
        <w:t xml:space="preserve"> cum hoc ordinat princeps, qui curam populi habet</w:t>
      </w:r>
      <w:r>
        <w:t>.</w:t>
      </w:r>
    </w:p>
    <w:p>
      <w:pPr>
        <w:pStyle w:val="ListBullet"/>
      </w:pPr>
      <w:r>
        <w:t>Puede hacer justas las cosas que de suyo no se oponen a la justicia natural. Pero «si algo de suyo repugna al derecho natural, no puede hacerse justo por voluntad humana», y «por eso se dice en Isaías 10: ¡ay de los que establecen leyes injustas!»</w:t>
      </w:r>
      <w:r>
        <w:t xml:space="preserve"> [original: «si aliquid de se repugnantiam habeat ad ius naturale, non potest voluntate humana fieri iustum»; «unde dicitur Isaiae X, vae qui condunt leges iniquas»]</w:t>
      </w:r>
      <w:r>
        <w:t xml:space="preserve"> (Suma teológica II-II, q. 57, a. 2, respuesta a la segunda objeción)</w:t>
      </w:r>
      <w:r>
        <w:br/>
      </w:r>
      <w:r>
        <w:rPr>
          <w:b/>
        </w:rPr>
        <w:t>leída en su fuente · Suma teológica II-II, q. 57, a. 2, respuesta a la segunda objeción</w:t>
      </w:r>
      <w:r>
        <w:br/>
      </w:r>
      <w:r>
        <w:rPr>
          <w:b/>
        </w:rPr>
        <w:t>Archivo leído:</w:t>
      </w:r>
      <w:r>
        <w:t xml:space="preserve"> sth3057.html (ant\c1\sth3057.html) · contraste del archivo de pasajes: ✔</w:t>
      </w:r>
      <w:r>
        <w:br/>
      </w:r>
      <w:r>
        <w:rPr>
          <w:b/>
        </w:rPr>
        <w:t>Lugar:</w:t>
      </w:r>
      <w:r>
        <w:t xml:space="preserve"> Suma teológica II-II, q. 57, a. 2, respuesta a la segunda objeción</w:t>
      </w:r>
      <w:r>
        <w:br/>
      </w:r>
      <w:r>
        <w:rPr>
          <w:b/>
        </w:rPr>
        <w:t>Tal como está en la fuente:</w:t>
      </w:r>
      <w:r>
        <w:t xml:space="preserve"> si aliquid de se repugnantiam habeat ad ius naturale, non potest voluntate humana fieri iustum</w:t>
      </w:r>
      <w:r>
        <w:t>.</w:t>
      </w:r>
    </w:p>
    <w:p>
      <w:pPr>
        <w:pStyle w:val="ListBullet"/>
      </w:pPr>
      <w:r>
        <w:t>Isaías sigue: «¡Ay de los que establecen leyes injustas, y determinando prescriben tiranía, Por apartar del juicio á los pobres, y por quitar el derecho á los afligidos de mi pueblo; por despojar las viudas, y robar los huérfanos!»</w:t>
      </w:r>
      <w:r>
        <w:t xml:space="preserve"> (Is 10:1-2)</w:t>
      </w:r>
      <w:r>
        <w:br/>
      </w:r>
      <w:r>
        <w:rPr>
          <w:b/>
        </w:rPr>
        <w:t>leída en su fuente · Is 10:1-2</w:t>
      </w:r>
      <w:r>
        <w:br/>
      </w:r>
      <w:r>
        <w:rPr>
          <w:b/>
        </w:rPr>
        <w:t>Archivo leído:</w:t>
      </w:r>
      <w:r>
        <w:t xml:space="preserve"> is_10_1-2_rva.html; rvr1960_is_10_1-2.html (c9g\is_10_1-2_rva.html) · contraste del archivo de pasajes: ✔</w:t>
      </w:r>
      <w:r>
        <w:br/>
      </w:r>
      <w:r>
        <w:rPr>
          <w:b/>
        </w:rPr>
        <w:t>Lugar:</w:t>
      </w:r>
      <w:r>
        <w:t xml:space="preserve"> RVA v. 1-2</w:t>
      </w:r>
      <w:r>
        <w:br/>
      </w:r>
      <w:r>
        <w:rPr>
          <w:b/>
        </w:rPr>
        <w:t>Dirección:</w:t>
      </w:r>
      <w:r>
        <w:t xml:space="preserve"> </w:t>
      </w:r>
      <w:r>
        <w:t>https://www.biblegateway.com/passage/?search=Isaiah+10%3A1-2&amp;version=RVA</w:t>
      </w:r>
      <w:r>
        <w:br/>
      </w:r>
      <w:r>
        <w:rPr>
          <w:b/>
        </w:rPr>
        <w:t>Tal como está en la fuente:</w:t>
      </w:r>
      <w:r>
        <w:t xml:space="preserve"> AY de los que establecen leyes injustas, y determinando prescriben tiranía, Por apartar del juicio á los pobres, y por quitar el derecho á los afligidos de mi pueblo; por despojar las viudas, y robar los huérfanos!</w:t>
      </w:r>
      <w:r>
        <w:t>.</w:t>
      </w:r>
    </w:p>
    <w:p>
      <w:pPr>
        <w:pStyle w:val="ListBullet"/>
      </w:pPr>
      <w:r>
        <w:t>Y la ley humana que se aparta de la natural deja de ser ley: «si en algo discrepa de la ley natural, ya no será ley, sino corrupción de la ley»</w:t>
      </w:r>
      <w:r>
        <w:t xml:space="preserve"> [original: «Si vero in aliquo a lege naturali discordet, iam non erit lex, sed legis corruptio»]</w:t>
      </w:r>
      <w:r>
        <w:t xml:space="preserve"> (Suma teológica I-II, q. 95, a. 2)</w:t>
      </w:r>
      <w:r>
        <w:br/>
      </w:r>
      <w:r>
        <w:rPr>
          <w:b/>
        </w:rPr>
        <w:t>leída en su fuente · Suma teológica I-II, q. 95, a. 2</w:t>
      </w:r>
      <w:r>
        <w:br/>
      </w:r>
      <w:r>
        <w:rPr>
          <w:b/>
        </w:rPr>
        <w:t>Archivo leído:</w:t>
      </w:r>
      <w:r>
        <w:t xml:space="preserve"> 12.00_Aquino_Summa_I-II_q95-97_corpusthomisticum.html (c6\12.00_Aquino_Summa_I-II_q95-97_corpusthomisticum.html) · contraste del archivo de pasajes: ✔</w:t>
      </w:r>
      <w:r>
        <w:br/>
      </w:r>
      <w:r>
        <w:rPr>
          <w:b/>
        </w:rPr>
        <w:t>Dirección:</w:t>
      </w:r>
      <w:r>
        <w:t xml:space="preserve"> </w:t>
      </w:r>
      <w:r>
        <w:t>https://www.corpusthomisticum.org/sth2095.html</w:t>
      </w:r>
      <w:r>
        <w:br/>
      </w:r>
      <w:r>
        <w:rPr>
          <w:b/>
        </w:rPr>
        <w:t>Tal como está en la fuente:</w:t>
      </w:r>
      <w:r>
        <w:t xml:space="preserve"> Si vero in aliquo, a lege naturali discordet, iam non erit lex sed legis corruptio.</w:t>
      </w:r>
      <w:r>
        <w:br/>
      </w:r>
      <w:r>
        <w:rPr>
          <w:b/>
        </w:rPr>
        <w:t>Traducción guardada:</w:t>
      </w:r>
      <w:r>
        <w:t xml:space="preserve"> Pero si en algo discrepa de la ley natural, ya no será ley, sino corrupción de la ley.</w:t>
      </w:r>
      <w:r>
        <w:t>.</w:t>
      </w:r>
    </w:p>
    <w:p>
      <w:r>
        <w:t>[00.0-2.2 y 00.0-2.6, corregido: la frase «se llama positivo a lo que procede de la voluntad humana» está en una objeción del artículo, no en la respuesta de Aquino; se cita la respuesta. Glosario 4.5]</w:t>
      </w:r>
    </w:p>
    <w:p>
      <w:r>
        <w:rPr>
          <w:b/>
        </w:rPr>
        <w:t>La ley escrita se juzga por a quién sirve.</w:t>
      </w:r>
      <w:r>
        <w:t xml:space="preserve"> Es la que escribe un legislador humano, y puede estar de dos maneras.</w:t>
      </w:r>
    </w:p>
    <w:p>
      <w:pPr>
        <w:pStyle w:val="ListBullet"/>
      </w:pPr>
      <w:r>
        <w:rPr>
          <w:b/>
        </w:rPr>
        <w:t>Sirve a lo de arriba.</w:t>
      </w:r>
      <w:r>
        <w:t xml:space="preserve"> Desarrolla la ley natural y se dirige al bien común. Entonces es ley: «toda ley puesta por los hombres tiene tanto de razón de ley cuanto deriva de la ley natural»</w:t>
      </w:r>
      <w:r>
        <w:t xml:space="preserve"> [original: «omnis lex humanitus posita intantum habet de ratione legis, inquantum a lege naturae derivatur»]</w:t>
      </w:r>
      <w:r>
        <w:t xml:space="preserve"> (Suma teológica I-II, q. 95, a. 2)</w:t>
      </w:r>
      <w:r>
        <w:br/>
      </w:r>
      <w:r>
        <w:rPr>
          <w:b/>
        </w:rPr>
        <w:t>leída en su fuente · Suma teológica I-II, q. 95, a. 2</w:t>
      </w:r>
      <w:r>
        <w:br/>
      </w:r>
      <w:r>
        <w:rPr>
          <w:b/>
        </w:rPr>
        <w:t>Archivo leído:</w:t>
      </w:r>
      <w:r>
        <w:t xml:space="preserve"> 12.00_Aquino_Summa_I-II_q95-97_corpusthomisticum.html (c6\12.00_Aquino_Summa_I-II_q95-97_corpusthomisticum.html) · contraste del archivo de pasajes: ✔</w:t>
      </w:r>
      <w:r>
        <w:br/>
      </w:r>
      <w:r>
        <w:rPr>
          <w:b/>
        </w:rPr>
        <w:t>Lugar:</w:t>
      </w:r>
      <w:r>
        <w:t xml:space="preserve"> Suma teológica I-II, q. 95, a. 2</w:t>
      </w:r>
      <w:r>
        <w:br/>
      </w:r>
      <w:r>
        <w:rPr>
          <w:b/>
        </w:rPr>
        <w:t>Tal como está en la fuente:</w:t>
      </w:r>
      <w:r>
        <w:t xml:space="preserve"> omnis lex humanitus posita intantum habet de ratione legis, inquantum a lege naturae derivatur</w:t>
      </w:r>
      <w:r>
        <w:t>. Deriva de ella por conclusión o por determinación (</w:t>
      </w:r>
      <w:r>
        <w:t>1.6</w:t>
      </w:r>
      <w:r>
        <w:t>).</w:t>
      </w:r>
    </w:p>
    <w:p>
      <w:pPr>
        <w:pStyle w:val="ListBullet"/>
      </w:pPr>
      <w:r>
        <w:rPr>
          <w:b/>
        </w:rPr>
        <w:t>Sirve a quien la escribe.</w:t>
      </w:r>
      <w:r>
        <w:t xml:space="preserve"> Contradice la ley natural, o la dicta quien manda para su provecho: leyes «que no se refieren a la utilidad común, sino más bien a su propia codicia o gloria»</w:t>
      </w:r>
      <w:r>
        <w:t xml:space="preserve"> [original: «non pertinentes ad utilitatem communem, sed magis ad propriam cupiditatem vel gloriam»]</w:t>
      </w:r>
      <w:r>
        <w:t xml:space="preserve"> (Suma teológica I-II, q. 96, a. 4)</w:t>
      </w:r>
      <w:r>
        <w:br/>
      </w:r>
      <w:r>
        <w:rPr>
          <w:b/>
        </w:rPr>
        <w:t>leída en su fuente · Suma teológica I-II, q. 96, a. 4</w:t>
      </w:r>
      <w:r>
        <w:br/>
      </w:r>
      <w:r>
        <w:rPr>
          <w:b/>
        </w:rPr>
        <w:t>Archivo leído:</w:t>
      </w:r>
      <w:r>
        <w:t xml:space="preserve"> 12.00_Aquino_Summa_I-II_q95-97_corpusthomisticum.html (c6\12.00_Aquino_Summa_I-II_q95-97_corpusthomisticum.html) · contraste del archivo de pasajes: ✔</w:t>
      </w:r>
      <w:r>
        <w:br/>
      </w:r>
      <w:r>
        <w:rPr>
          <w:b/>
        </w:rPr>
        <w:t>Lugar:</w:t>
      </w:r>
      <w:r>
        <w:t xml:space="preserve"> Suma teológica I-II, q. 96, a. 4</w:t>
      </w:r>
      <w:r>
        <w:br/>
      </w:r>
      <w:r>
        <w:rPr>
          <w:b/>
        </w:rPr>
        <w:t>Tal como está en la fuente:</w:t>
      </w:r>
      <w:r>
        <w:t xml:space="preserve"> non pertinentes ad utilitatem communem, sed magis ad propriam cupiditatem vel gloriam</w:t>
      </w:r>
      <w:r>
        <w:t>. Entonces no es ley, sino «corrupción de la ley» (</w:t>
      </w:r>
      <w:r>
        <w:t>1.6</w:t>
      </w:r>
      <w:r>
        <w:t>).</w:t>
      </w:r>
    </w:p>
    <w:p>
      <w:r>
        <w:t>La costumbre se juzga igual: la que converge entre tradiciones y pasa la vara sirve a lo de arriba; la que solo se repite, como la esclavitud, sirve al hombre (</w:t>
      </w:r>
      <w:r>
        <w:t>1.5</w:t>
      </w:r>
      <w:r>
        <w:t xml:space="preserve"> y </w:t>
      </w:r>
      <w:r>
        <w:t>3.1</w:t>
      </w:r>
      <w:r>
        <w:t>). Y lo que pone por escrito la ley de Dios o la ley natural, como los libros sagrados o las declaraciones de derechos, no es «ley escrita» en este sentido: es el testimonio escrito de lo de arriba. Esto se dice en la jurisdicción de la verdad; ante los tribunales rige el derecho vigente (</w:t>
      </w:r>
      <w:r>
        <w:t>1.8</w:t>
      </w:r>
      <w:r>
        <w:t xml:space="preserve">). </w:t>
      </w:r>
      <w:r>
        <w:t>[Aquino, I-II q. 95 a. 2 y q. 96 a. 4, leído en latín; borrador B1, 9-oct]</w:t>
      </w:r>
    </w:p>
    <w:p>
      <w:r>
        <w:rPr>
          <w:b/>
        </w:rPr>
        <w:t>El orden oficial es el inverso.</w:t>
      </w:r>
      <w:r>
        <w:t xml:space="preserve"> El Código Civil fija así las fuentes del derecho: «Las fuentes del ordenamiento jurídico español son la ley, la costumbre y los principios generales del derecho»</w:t>
      </w:r>
      <w:r>
        <w:t xml:space="preserve"> (Código Civil, art. 1.1)</w:t>
      </w:r>
      <w:r>
        <w:br/>
      </w:r>
      <w:r>
        <w:rPr>
          <w:b/>
        </w:rPr>
        <w:t>leída en su fuente · Código Civil, art. 1.1</w:t>
      </w:r>
      <w:r>
        <w:br/>
      </w:r>
      <w:r>
        <w:rPr>
          <w:b/>
        </w:rPr>
        <w:t>Archivo leído:</w:t>
      </w:r>
      <w:r>
        <w:t xml:space="preserve"> codigo_civil_1889.html (c5\codigo_civil_1889.html) · contraste del archivo de pasajes: ✔</w:t>
      </w:r>
      <w:r>
        <w:br/>
      </w:r>
      <w:r>
        <w:rPr>
          <w:b/>
        </w:rPr>
        <w:t>Lugar:</w:t>
      </w:r>
      <w:r>
        <w:t xml:space="preserve"> Art. 1.1 (#a1)</w:t>
      </w:r>
      <w:r>
        <w:br/>
      </w:r>
      <w:r>
        <w:rPr>
          <w:b/>
        </w:rPr>
        <w:t>Dirección:</w:t>
      </w:r>
      <w:r>
        <w:t xml:space="preserve"> </w:t>
      </w:r>
      <w:r>
        <w:t>https://www.boe.es/buscar/act.php?id=BOE-A-1889-4763</w:t>
      </w:r>
      <w:r>
        <w:br/>
      </w:r>
      <w:r>
        <w:rPr>
          <w:b/>
        </w:rPr>
        <w:t>Tal como está en la fuente:</w:t>
      </w:r>
      <w:r>
        <w:t xml:space="preserve"> 1. Las fuentes del ordenamiento jurídico español son la ley, la costumbre y los principios generales del derecho.</w:t>
      </w:r>
      <w:r>
        <w:t>. La costumbre «sólo regirá en defecto de ley aplicable, siempre que no sea contraria a la moral o al orden público, y que resulte probada»</w:t>
      </w:r>
      <w:r>
        <w:t xml:space="preserve"> (art. 1.3)</w:t>
      </w:r>
      <w:r>
        <w:br/>
      </w:r>
      <w:r>
        <w:rPr>
          <w:b/>
        </w:rPr>
        <w:t>leída en su fuente · art. 1.3</w:t>
      </w:r>
      <w:r>
        <w:br/>
      </w:r>
      <w:r>
        <w:rPr>
          <w:b/>
        </w:rPr>
        <w:t>Archivo leído:</w:t>
      </w:r>
      <w:r>
        <w:t xml:space="preserve"> codigo_civil_1889.html (c5\codigo_civil_1889.html) · contraste del archivo de pasajes: ✔</w:t>
      </w:r>
      <w:r>
        <w:br/>
      </w:r>
      <w:r>
        <w:rPr>
          <w:b/>
        </w:rPr>
        <w:t>Lugar:</w:t>
      </w:r>
      <w:r>
        <w:t xml:space="preserve"> Art. 1.1</w:t>
      </w:r>
      <w:r>
        <w:br/>
      </w:r>
      <w:r>
        <w:rPr>
          <w:b/>
        </w:rPr>
        <w:t>Dirección:</w:t>
      </w:r>
      <w:r>
        <w:t xml:space="preserve"> </w:t>
      </w:r>
      <w:r>
        <w:t>https://www.boe.es/buscar/act.php?id=BOE-A-1889-4763</w:t>
      </w:r>
      <w:r>
        <w:br/>
      </w:r>
      <w:r>
        <w:rPr>
          <w:b/>
        </w:rPr>
        <w:t>Tal como está en la fuente:</w:t>
      </w:r>
      <w:r>
        <w:t xml:space="preserve"> La costumbre sólo regirá en defecto de ley aplicable, siempre que no sea contraria a la moral o al orden público, y que resulte probada.</w:t>
      </w:r>
      <w:r>
        <w:t>. Y los principios generales del derecho, que son la puerta por la que entra la ley natural, «se aplicarán en defecto de ley o costumbre»</w:t>
      </w:r>
      <w:r>
        <w:t xml:space="preserve"> (art. 1.4)</w:t>
      </w:r>
      <w:r>
        <w:br/>
      </w:r>
      <w:r>
        <w:rPr>
          <w:b/>
        </w:rPr>
        <w:t>leída en su fuente · art. 1.4</w:t>
      </w:r>
      <w:r>
        <w:br/>
      </w:r>
      <w:r>
        <w:rPr>
          <w:b/>
        </w:rPr>
        <w:t>Archivo leído:</w:t>
      </w:r>
      <w:r>
        <w:t xml:space="preserve"> codigo_civil_1889.html (c5\codigo_civil_1889.html) · contraste del archivo de pasajes: ✔</w:t>
      </w:r>
      <w:r>
        <w:br/>
      </w:r>
      <w:r>
        <w:rPr>
          <w:b/>
        </w:rPr>
        <w:t>Lugar:</w:t>
      </w:r>
      <w:r>
        <w:t xml:space="preserve"> Art. 1.4</w:t>
      </w:r>
      <w:r>
        <w:br/>
      </w:r>
      <w:r>
        <w:rPr>
          <w:b/>
        </w:rPr>
        <w:t>Dirección:</w:t>
      </w:r>
      <w:r>
        <w:t xml:space="preserve"> </w:t>
      </w:r>
      <w:r>
        <w:t>https://www.boe.es/buscar/act.php?id=BOE-A-1889-4763</w:t>
      </w:r>
      <w:r>
        <w:br/>
      </w:r>
      <w:r>
        <w:rPr>
          <w:b/>
        </w:rPr>
        <w:t>Tal como está en la fuente:</w:t>
      </w:r>
      <w:r>
        <w:t xml:space="preserve"> 4. Los principios generales del derecho se aplicarán en defecto de ley o costumbre</w:t>
      </w:r>
      <w:r>
        <w:t xml:space="preserve">. Lo humano, arriba; lo natural, al final. </w:t>
      </w:r>
      <w:r>
        <w:t>[00.2-1.1 y 1.3; 02.00-2.3; 11.00-7.1; Código Civil leído en el BOE]</w:t>
      </w:r>
    </w:p>
    <w:p>
      <w:r>
        <w:rPr>
          <w:b/>
        </w:rPr>
        <w:t>Dentro de España hay quien guarda el orden antiguo.</w:t>
      </w:r>
      <w:r>
        <w:t xml:space="preserve"> El Fuero Nuevo de Navarra pone la costumbre por delante de la ley escrita: «La costumbre establecida y asentada en la realidad social navarra, aunque sea contra ley, prevalece sobre el Derecho escrito siempre que no se oponga a la moral o al orden público»</w:t>
      </w:r>
      <w:r>
        <w:t xml:space="preserve"> (Fuero Nuevo de Navarra, ley 3)</w:t>
      </w:r>
      <w:r>
        <w:br/>
      </w:r>
      <w:r>
        <w:rPr>
          <w:b/>
        </w:rPr>
        <w:t>leída en su fuente · Fuero Nuevo de Navarra, ley 3</w:t>
      </w:r>
      <w:r>
        <w:br/>
      </w:r>
      <w:r>
        <w:rPr>
          <w:b/>
        </w:rPr>
        <w:t>Archivo leído:</w:t>
      </w:r>
      <w:r>
        <w:t xml:space="preserve"> boe_BOE-A-1973-330_Fuero_Nuevo_Navarra_consolidado.xml (reparacion_citas\boe_BOE-A-1973-330_Fuero_Nuevo_Navarra_consolidado.xml) · contraste del archivo de pasajes: ✔</w:t>
      </w:r>
      <w:r>
        <w:br/>
      </w:r>
      <w:r>
        <w:rPr>
          <w:b/>
        </w:rPr>
        <w:t>Lugar:</w:t>
      </w:r>
      <w:r>
        <w:t xml:space="preserve"> Fuero Nuevo de Navarra, ley 3</w:t>
      </w:r>
      <w:r>
        <w:br/>
      </w:r>
      <w:r>
        <w:rPr>
          <w:b/>
        </w:rPr>
        <w:t>Tal como está en la fuente:</w:t>
      </w:r>
      <w:r>
        <w:t xml:space="preserve"> La costumbre establecida y asentada en la realidad social navarra, aunque sea contra ley, prevalece sobre el Derecho escrito siempre que no se oponga a la moral o al orden público</w:t>
      </w:r>
      <w:r>
        <w:t xml:space="preserve">. </w:t>
      </w:r>
      <w:r>
        <w:t>[00.0-2.3; 02.00-9.2; libreta 58]</w:t>
      </w:r>
    </w:p>
    <w:p>
      <w:r>
        <w:rPr>
          <w:b/>
        </w:rPr>
        <w:t>Lectura del autor:</w:t>
      </w:r>
      <w:r>
        <w:t xml:space="preserve"> la ley escrita no es mala por ser obra de los hombres. Se tuerce cuando se pone por encima de la ley natural y de la ley de Dios, a las que debía servir. </w:t>
      </w:r>
      <w:r>
        <w:t>[00.0-2.4]</w:t>
      </w:r>
    </w:p>
    <w:p>
      <w:pPr>
        <w:pStyle w:val="Heading2"/>
      </w:pPr>
      <w:r>
        <w:t>1.2 La ley de Dios</w:t>
      </w:r>
    </w:p>
    <w:p>
      <w:pPr>
        <w:pBdr>
          <w:left w:val="single" w:sz="24" w:space="6" w:color="E2DED6"/>
        </w:pBdr>
        <w:shd w:val="clear" w:color="auto" w:fill="F1EEE8"/>
        <w:spacing w:before="80" w:after="160"/>
        <w:ind w:left="142" w:right="142"/>
      </w:pPr>
      <w:r>
        <w:rPr>
          <w:b/>
        </w:rPr>
        <w:t>La idea: la ley de Dios es la que gobierna lo creado, y por eso va la primera.</w:t>
      </w:r>
    </w:p>
    <w:p>
      <w:r>
        <w:t xml:space="preserve">Esta obra llama </w:t>
      </w:r>
      <w:r>
        <w:rPr>
          <w:b/>
        </w:rPr>
        <w:t>la ley de Dios</w:t>
      </w:r>
      <w:r>
        <w:t xml:space="preserve"> a la que gobierna lo creado y que las tradiciones guardaron en sus libros sagrados, «da igual el nombre que cada pueblo dé a Dios» (</w:t>
      </w:r>
      <w:r>
        <w:t>0.1</w:t>
      </w:r>
      <w:r>
        <w:t>). Tomás de Aquino distingue la ley eterna, el gobierno de Dios sobre todo lo creado, de la ley divina, la revelada en la Escritura</w:t>
      </w:r>
      <w:r>
        <w:t xml:space="preserve"> (Suma teológica I-II, q. 91, a. 1 y 4)</w:t>
      </w:r>
      <w:r>
        <w:t xml:space="preserve">. La obra reúne las dos en el primer escalón. </w:t>
      </w:r>
      <w:r>
        <w:t>[glosario 4.2; 00.0-1.1]</w:t>
      </w:r>
    </w:p>
    <w:p>
      <w:r>
        <w:t>Por qué va la primera lo dice la propia Escritura: «Es menester obedecer á Dios antes que á los hombres»</w:t>
      </w:r>
      <w:r>
        <w:t xml:space="preserve"> (Hch 5:29)</w:t>
      </w:r>
      <w:r>
        <w:br/>
      </w:r>
      <w:r>
        <w:rPr>
          <w:b/>
        </w:rPr>
        <w:t>leída en su fuente · Hch 5:29</w:t>
      </w:r>
      <w:r>
        <w:br/>
      </w:r>
      <w:r>
        <w:rPr>
          <w:b/>
        </w:rPr>
        <w:t>Archivo leído:</w:t>
      </w:r>
      <w:r>
        <w:t xml:space="preserve"> rom_13_4-6_rva.html; mt_22_21_rva.html; hch_5_29_rva.html (c9g\hch_5_29_rva.html) · contraste del archivo de pasajes: ✔</w:t>
      </w:r>
      <w:r>
        <w:br/>
      </w:r>
      <w:r>
        <w:rPr>
          <w:b/>
        </w:rPr>
        <w:t>Lugar:</w:t>
      </w:r>
      <w:r>
        <w:t xml:space="preserve"> Rom 13:4</w:t>
      </w:r>
      <w:r>
        <w:br/>
      </w:r>
      <w:r>
        <w:rPr>
          <w:b/>
        </w:rPr>
        <w:t>Dirección:</w:t>
      </w:r>
      <w:r>
        <w:t xml:space="preserve"> </w:t>
      </w:r>
      <w:r>
        <w:t>https://www.biblegateway.com/passage/?search=Romans+13%3A4-6&amp;version=RVA</w:t>
      </w:r>
      <w:r>
        <w:br/>
      </w:r>
      <w:r>
        <w:rPr>
          <w:b/>
        </w:rPr>
        <w:t>Tal como está en la fuente:</w:t>
      </w:r>
      <w:r>
        <w:t xml:space="preserve"> Es menester obedecer á Dios antes que á los hombres.</w:t>
      </w:r>
      <w:r>
        <w:t xml:space="preserve">. </w:t>
      </w:r>
      <w:r>
        <w:t>[00.2-2.2; Reina-Valera Antigua]</w:t>
      </w:r>
    </w:p>
    <w:p>
      <w:pPr>
        <w:pStyle w:val="Heading2"/>
      </w:pPr>
      <w:r>
        <w:t>1.3 Discernir: no todo lo que se ha llamado «dios» es el Creador</w:t>
      </w:r>
    </w:p>
    <w:p>
      <w:pPr>
        <w:pBdr>
          <w:left w:val="single" w:sz="24" w:space="6" w:color="E2DED6"/>
        </w:pBdr>
        <w:shd w:val="clear" w:color="auto" w:fill="F1EEE8"/>
        <w:spacing w:before="80" w:after="160"/>
        <w:ind w:left="142" w:right="142"/>
      </w:pPr>
      <w:r>
        <w:rPr>
          <w:b/>
        </w:rPr>
        <w:t>La idea: no todo lo que se ha llamado «dios» es el Creador. El verdadero sirve y rechaza la adoración; el que suplanta la reclama.</w:t>
      </w:r>
    </w:p>
    <w:p>
      <w:r>
        <w:t>Poner la ley de Dios en el primer lugar exige saber reconocerla, porque no todo lo que la historia ha llamado «dios» es el Creador. La propia Escritura lo avisa:</w:t>
      </w:r>
    </w:p>
    <w:p>
      <w:pPr>
        <w:pStyle w:val="ListBullet"/>
      </w:pPr>
      <w:r>
        <w:t>llama a un poder «el dios de este siglo», que «cegó los entendimientos»</w:t>
      </w:r>
      <w:r>
        <w:t xml:space="preserve"> (2 Co 4:4)</w:t>
      </w:r>
      <w:r>
        <w:t>;</w:t>
      </w:r>
    </w:p>
    <w:p>
      <w:pPr>
        <w:pStyle w:val="ListBullet"/>
      </w:pPr>
      <w:r>
        <w:t>dice de ciertos sacrificios que «á los demonios lo sacrifican, y no á Dios»</w:t>
      </w:r>
      <w:r>
        <w:t xml:space="preserve"> (1 Co 10:20)</w:t>
      </w:r>
      <w:r>
        <w:br/>
      </w:r>
      <w:r>
        <w:rPr>
          <w:b/>
        </w:rPr>
        <w:t>leída en su fuente · 1 Co 10:20</w:t>
      </w:r>
      <w:r>
        <w:br/>
      </w:r>
      <w:r>
        <w:rPr>
          <w:b/>
        </w:rPr>
        <w:t>Archivo leído:</w:t>
      </w:r>
      <w:r>
        <w:t xml:space="preserve"> biblia_c1.html (ant\c1\biblia_c1.html) · contraste del archivo de pasajes: ✔</w:t>
      </w:r>
      <w:r>
        <w:br/>
      </w:r>
      <w:r>
        <w:rPr>
          <w:b/>
        </w:rPr>
        <w:t>Lugar:</w:t>
      </w:r>
      <w:r>
        <w:t xml:space="preserve"> 1 Co 10:20</w:t>
      </w:r>
      <w:r>
        <w:br/>
      </w:r>
      <w:r>
        <w:rPr>
          <w:b/>
        </w:rPr>
        <w:t>Tal como está en la fuente:</w:t>
      </w:r>
      <w:r>
        <w:t xml:space="preserve"> á los demonios lo sacrifican, y no á Dios</w:t>
      </w:r>
      <w:r>
        <w:t>;</w:t>
      </w:r>
    </w:p>
    <w:p>
      <w:pPr>
        <w:pStyle w:val="ListBullet"/>
      </w:pPr>
      <w:r>
        <w:t>y a unos «dioses» que juzgaban injustamente les dice: «Yo dije: Vosotros sois dioses. E hijos todos vosotros del Altísimo. Empero como hombres moriréis. Y caeréis como cualquiera de los tiranos»</w:t>
      </w:r>
      <w:r>
        <w:t xml:space="preserve"> (Sal 82:6-7)</w:t>
      </w:r>
      <w:r>
        <w:br/>
      </w:r>
      <w:r>
        <w:rPr>
          <w:b/>
        </w:rPr>
        <w:t>leída en su fuente · Sal 82:6-7</w:t>
      </w:r>
      <w:r>
        <w:br/>
      </w:r>
      <w:r>
        <w:rPr>
          <w:b/>
        </w:rPr>
        <w:t>Original donde está:</w:t>
      </w:r>
      <w:r>
        <w:t xml:space="preserve"> spaRV1909_texto_corrido.txt</w:t>
      </w:r>
      <w:r>
        <w:br/>
      </w:r>
      <w:r>
        <w:t>El pasaje literal no está en el archivo de pasajes con este comienzo; la auditoría lo halló en ese original.</w:t>
      </w:r>
      <w:r>
        <w:t>.</w:t>
      </w:r>
    </w:p>
    <w:p>
      <w:r>
        <w:t>Por eso pide discernir: «no creáis á todo espíritu, sino probad los espíritus si son de Dios»</w:t>
      </w:r>
      <w:r>
        <w:t xml:space="preserve"> (1 Jn 4:1)</w:t>
      </w:r>
      <w:r>
        <w:br/>
      </w:r>
      <w:r>
        <w:rPr>
          <w:b/>
        </w:rPr>
        <w:t>leída en su fuente · 1 Jn 4:1</w:t>
      </w:r>
      <w:r>
        <w:br/>
      </w:r>
      <w:r>
        <w:rPr>
          <w:b/>
        </w:rPr>
        <w:t>Archivo leído:</w:t>
      </w:r>
      <w:r>
        <w:t xml:space="preserve"> biblia_c1.html (ant\c1\biblia_c1.html) · contraste del archivo de pasajes: ✔</w:t>
      </w:r>
      <w:r>
        <w:br/>
      </w:r>
      <w:r>
        <w:rPr>
          <w:b/>
        </w:rPr>
        <w:t>Lugar:</w:t>
      </w:r>
      <w:r>
        <w:t xml:space="preserve"> 1 Jn 4:1</w:t>
      </w:r>
      <w:r>
        <w:br/>
      </w:r>
      <w:r>
        <w:rPr>
          <w:b/>
        </w:rPr>
        <w:t>Tal como está en la fuente:</w:t>
      </w:r>
      <w:r>
        <w:t xml:space="preserve"> no creáis á todo espíritu, sino probad los espíritus si son de Dios</w:t>
      </w:r>
      <w:r>
        <w:t>. Y da la vara: «el que no ama, no conoce á Dios; porque Dios es amor»</w:t>
      </w:r>
      <w:r>
        <w:t xml:space="preserve"> (1 Jn 4:8)</w:t>
      </w:r>
      <w:r>
        <w:br/>
      </w:r>
      <w:r>
        <w:rPr>
          <w:b/>
        </w:rPr>
        <w:t>leída en su fuente · 1 Jn 4:8</w:t>
      </w:r>
      <w:r>
        <w:br/>
      </w:r>
      <w:r>
        <w:rPr>
          <w:b/>
        </w:rPr>
        <w:t>Archivo leído:</w:t>
      </w:r>
      <w:r>
        <w:t xml:space="preserve"> biblia_c1.html (ant\c1\biblia_c1.html) · contraste del archivo de pasajes: ✔</w:t>
      </w:r>
      <w:r>
        <w:br/>
      </w:r>
      <w:r>
        <w:rPr>
          <w:b/>
        </w:rPr>
        <w:t>Lugar:</w:t>
      </w:r>
      <w:r>
        <w:t xml:space="preserve"> 1 Jn 4:8</w:t>
      </w:r>
      <w:r>
        <w:br/>
      </w:r>
      <w:r>
        <w:rPr>
          <w:b/>
        </w:rPr>
        <w:t>Tal como está en la fuente:</w:t>
      </w:r>
      <w:r>
        <w:t xml:space="preserve"> el que no ama, no conoce á Dios; porque Dios es amor</w:t>
      </w:r>
      <w:r>
        <w:t xml:space="preserve">. Lo que exige daño, venganza o sacrificio del prójimo no procede de quien es amor. </w:t>
      </w:r>
      <w:r>
        <w:t>[00.0-3.1, 3.2 y 3.4; Reina-Valera Antigua]</w:t>
      </w:r>
    </w:p>
    <w:p>
      <w:r>
        <w:rPr>
          <w:b/>
        </w:rPr>
        <w:t>La señal se repite en tradiciones sin contacto documentado entre sí:</w:t>
      </w:r>
    </w:p>
    <w:p>
      <w:pPr>
        <w:pStyle w:val="ListBullet"/>
      </w:pPr>
      <w:r>
        <w:rPr>
          <w:b/>
        </w:rPr>
        <w:t>El verdadero rechaza la adoración.</w:t>
      </w:r>
      <w:r>
        <w:t xml:space="preserve"> En Listra tomaron a Pablo y a Bernabé por dioses, y ellos respondieron: «Nosotros también somos hombres semejantes á vosotros»</w:t>
      </w:r>
      <w:r>
        <w:t xml:space="preserve"> (Hch 14:15)</w:t>
      </w:r>
      <w:r>
        <w:br/>
      </w:r>
      <w:r>
        <w:rPr>
          <w:b/>
        </w:rPr>
        <w:t>leída en su fuente · Hch 14:15</w:t>
      </w:r>
      <w:r>
        <w:br/>
      </w:r>
      <w:r>
        <w:rPr>
          <w:b/>
        </w:rPr>
        <w:t>Archivo leído:</w:t>
      </w:r>
      <w:r>
        <w:t xml:space="preserve"> spaRV1909_texto_corrido.txt (biblia_rv1909\spaRV1909_texto_corrido.txt) · contraste del archivo de pasajes: ✔</w:t>
      </w:r>
      <w:r>
        <w:br/>
      </w:r>
      <w:r>
        <w:rPr>
          <w:b/>
        </w:rPr>
        <w:t>Lugar:</w:t>
      </w:r>
      <w:r>
        <w:t xml:space="preserve"> Hch 14:15</w:t>
      </w:r>
      <w:r>
        <w:br/>
      </w:r>
      <w:r>
        <w:rPr>
          <w:b/>
        </w:rPr>
        <w:t>Tal como está en la fuente:</w:t>
      </w:r>
      <w:r>
        <w:t xml:space="preserve"> Nosotros también somos hombres semejantes á vosotros</w:t>
      </w:r>
      <w:r>
        <w:t>. El ángel del Apocalipsis: «Mira que no lo hagas: porque yo soy siervo contigo […] Adora á Dios»</w:t>
      </w:r>
      <w:r>
        <w:t xml:space="preserve"> (Ap 22:9)</w:t>
      </w:r>
      <w:r>
        <w:br/>
      </w:r>
      <w:r>
        <w:rPr>
          <w:b/>
        </w:rPr>
        <w:t>leída en su fuente · Ap 22:9</w:t>
      </w:r>
      <w:r>
        <w:br/>
      </w:r>
      <w:r>
        <w:rPr>
          <w:b/>
        </w:rPr>
        <w:t>Archivo leído:</w:t>
      </w:r>
      <w:r>
        <w:t xml:space="preserve"> 1 EL ORDEN DE LAS LEYES.md (biblia_rv1909\spaRV1909_texto_corrido.txt) · contraste del archivo de pasajes: ✔</w:t>
      </w:r>
      <w:r>
        <w:br/>
      </w:r>
      <w:r>
        <w:rPr>
          <w:b/>
        </w:rPr>
        <w:t>Lugar:</w:t>
      </w:r>
      <w:r>
        <w:t xml:space="preserve"> 1 EL ORDEN DE LAS LEYES.md, línea 100</w:t>
      </w:r>
      <w:r>
        <w:br/>
      </w:r>
      <w:r>
        <w:rPr>
          <w:b/>
        </w:rPr>
        <w:t>Tal como está en la fuente:</w:t>
      </w:r>
      <w:r>
        <w:t xml:space="preserve"> Mira que no lo hagas: porque yo soy siervo contigo […] Adora á Dios</w:t>
      </w:r>
      <w:r>
        <w:t>.</w:t>
      </w:r>
    </w:p>
    <w:p>
      <w:pPr>
        <w:pStyle w:val="ListBullet"/>
      </w:pPr>
      <w:r>
        <w:rPr>
          <w:b/>
        </w:rPr>
        <w:t>El falso la acepta.</w:t>
      </w:r>
      <w:r>
        <w:t xml:space="preserve"> Herodes se dejó aclamar como «Voz de Dios, y no de hombre», y cayó «por cuanto no dió la gloria á Dios»</w:t>
      </w:r>
      <w:r>
        <w:t xml:space="preserve"> (Hch 12:22-23)</w:t>
      </w:r>
      <w:r>
        <w:br/>
      </w:r>
      <w:r>
        <w:rPr>
          <w:b/>
        </w:rPr>
        <w:t>leída en su fuente · Hch 12:22-23</w:t>
      </w:r>
      <w:r>
        <w:br/>
      </w:r>
      <w:r>
        <w:rPr>
          <w:b/>
        </w:rPr>
        <w:t>Archivo leído:</w:t>
      </w:r>
      <w:r>
        <w:t xml:space="preserve"> spaRV1909_texto_corrido.txt (biblia_rv1909\spaRV1909_texto_corrido.txt) · contraste del archivo de pasajes: ✔</w:t>
      </w:r>
      <w:r>
        <w:br/>
      </w:r>
      <w:r>
        <w:rPr>
          <w:b/>
        </w:rPr>
        <w:t>Lugar:</w:t>
      </w:r>
      <w:r>
        <w:t xml:space="preserve"> Hch 12:22-23</w:t>
      </w:r>
      <w:r>
        <w:br/>
      </w:r>
      <w:r>
        <w:rPr>
          <w:b/>
        </w:rPr>
        <w:t>Tal como está en la fuente:</w:t>
      </w:r>
      <w:r>
        <w:t xml:space="preserve"> por cuanto no dió la gloria á Dios</w:t>
      </w:r>
      <w:r>
        <w:t>.</w:t>
      </w:r>
    </w:p>
    <w:p>
      <w:pPr>
        <w:pStyle w:val="ListBullet"/>
      </w:pPr>
      <w:r>
        <w:rPr>
          <w:b/>
        </w:rPr>
        <w:t>Un ser llegado antes, tomado por el Creador.</w:t>
      </w:r>
      <w:r>
        <w:t xml:space="preserve"> En el budismo, el primer ser que renace en un mundo nuevo piensa «soy Brahmā […], el Señor, el Hacedor, el Creador»</w:t>
      </w:r>
      <w:r>
        <w:t xml:space="preserve"> [original: «ahamasmi brahmā […] issaro kattā nimmātā»]</w:t>
      </w:r>
      <w:r>
        <w:t>, y los que llegan después lo creen porque llegó primero</w:t>
      </w:r>
      <w:r>
        <w:t xml:space="preserve"> (Dīgha Nikāya 1, 2.5-2.6)</w:t>
      </w:r>
      <w:r>
        <w:t>.</w:t>
      </w:r>
    </w:p>
    <w:p>
      <w:r>
        <w:t>[glosario 5.4.1, con sus citas leídas en el original]</w:t>
      </w:r>
    </w:p>
    <w:p>
      <w:r>
        <w:rPr>
          <w:b/>
        </w:rPr>
        <w:t>Conclusión, lo que arrojan los datos:</w:t>
      </w:r>
      <w:r>
        <w:t xml:space="preserve"> en Israel, el cristianismo, el islam, la India y el budismo, los textos avisan de que no todo lo que se llama «dios» es el Creador, y dan la señal para distinguirlo: el verdadero sirve y rechaza la adoración; el que suplanta la reclama. </w:t>
      </w:r>
      <w:r>
        <w:t>[glosario 5.4.1]</w:t>
      </w:r>
    </w:p>
    <w:p>
      <w:r>
        <w:rPr>
          <w:b/>
        </w:rPr>
        <w:t>El límite que la obra se pone:</w:t>
      </w:r>
      <w:r>
        <w:t xml:space="preserve"> ofrece un criterio público, válido para cualquier tradición, y no afirma que el Dios de ninguna religión concreta sea un demonio. Eso sería una tesis teológica que las propias tradiciones rechazan, y señalaría a comunidades de creyentes. </w:t>
      </w:r>
      <w:r>
        <w:t>[00.0-3.5]</w:t>
      </w:r>
    </w:p>
    <w:p>
      <w:r>
        <w:rPr>
          <w:b/>
        </w:rPr>
        <w:t>Lectura del autor:</w:t>
      </w:r>
      <w:r>
        <w:t xml:space="preserve"> el orden oficial pone la ley humana en el primer lugar, el que corresponde a la ley de Dios. Es lo que la segunda carta a los tesalonicenses describe: sentarse «en el templo de Dios como Dios, haciéndose parecer Dios»</w:t>
      </w:r>
      <w:r>
        <w:t xml:space="preserve"> (2 Ts 2:4)</w:t>
      </w:r>
      <w:r>
        <w:br/>
      </w:r>
      <w:r>
        <w:rPr>
          <w:b/>
        </w:rPr>
        <w:t>leída en su fuente · 2 Ts 2:4</w:t>
      </w:r>
      <w:r>
        <w:br/>
      </w:r>
      <w:r>
        <w:rPr>
          <w:b/>
        </w:rPr>
        <w:t>Archivo leído:</w:t>
      </w:r>
      <w:r>
        <w:t xml:space="preserve"> spaRV1909_texto_corrido.txt (biblia_rv1909\spaRV1909_texto_corrido.txt) · contraste del archivo de pasajes: ✔</w:t>
      </w:r>
      <w:r>
        <w:br/>
      </w:r>
      <w:r>
        <w:rPr>
          <w:b/>
        </w:rPr>
        <w:t>Lugar:</w:t>
      </w:r>
      <w:r>
        <w:t xml:space="preserve"> 2 Ts 2:4</w:t>
      </w:r>
      <w:r>
        <w:br/>
      </w:r>
      <w:r>
        <w:rPr>
          <w:b/>
        </w:rPr>
        <w:t>Tal como está en la fuente:</w:t>
      </w:r>
      <w:r>
        <w:t xml:space="preserve"> en el templo de Dios como Dios, haciéndose parecer Dios</w:t>
      </w:r>
      <w:r>
        <w:t xml:space="preserve">. Es una analogía, no un dato. </w:t>
      </w:r>
      <w:r>
        <w:t>[glosario 5.4.1, lectura aprobada por Kiko]</w:t>
      </w:r>
    </w:p>
    <w:p>
      <w:pPr>
        <w:pStyle w:val="Heading2"/>
      </w:pPr>
      <w:r>
        <w:t>1.4 La ley natural: quince tradiciones y un veredicto</w:t>
      </w:r>
    </w:p>
    <w:p>
      <w:pPr>
        <w:pBdr>
          <w:left w:val="single" w:sz="24" w:space="6" w:color="E2DED6"/>
        </w:pBdr>
        <w:shd w:val="clear" w:color="auto" w:fill="F1EEE8"/>
        <w:spacing w:before="80" w:after="160"/>
        <w:ind w:left="142" w:right="142"/>
      </w:pPr>
      <w:r>
        <w:rPr>
          <w:b/>
        </w:rPr>
        <w:t>La idea: la ley natural, saber distinguir el bien del mal con la razón, la tiene cualquier persona. Lo confirman tradiciones sin contacto documentado entre sí, y también se dice quién sostuvo lo contrario.</w:t>
      </w:r>
    </w:p>
    <w:p>
      <w:r>
        <w:rPr>
          <w:b/>
        </w:rPr>
        <w:t>La pregunta.</w:t>
      </w:r>
      <w:r>
        <w:t xml:space="preserve"> ¿Es la ley natural, la capacidad de distinguir el bien del mal con la razón, algo que tiene cualquier persona sin que nadie se lo enseñe? ¿O es una idea occidental disfrazada de universal? La obra lo sometió a la prueba de la convergencia (</w:t>
      </w:r>
      <w:r>
        <w:t>0.5</w:t>
      </w:r>
      <w:r>
        <w:t xml:space="preserve">) en quince tradiciones, con un resultado «deliberadamente mixto»: unas confirman, otras contradicen y otras no dan resultado. </w:t>
      </w:r>
      <w:r>
        <w:t>[01.00-0.1]</w:t>
      </w:r>
    </w:p>
    <w:p>
      <w:r>
        <w:rPr>
          <w:b/>
        </w:rPr>
        <w:t>Dos sentidos de «natural».</w:t>
      </w:r>
      <w:r>
        <w:t xml:space="preserve"> La palabra se usa de dos maneras. La </w:t>
      </w:r>
      <w:r>
        <w:rPr>
          <w:b/>
        </w:rPr>
        <w:t>ley natural física</w:t>
      </w:r>
      <w:r>
        <w:t xml:space="preserve"> describe lo que ocurre: la gravedad, el ciclo del agua. No se puede desobedecer. La </w:t>
      </w:r>
      <w:r>
        <w:rPr>
          <w:b/>
        </w:rPr>
        <w:t>ley natural moral</w:t>
      </w:r>
      <w:r>
        <w:t xml:space="preserve"> dice lo que debería ocurrir: no matar, devolver lo confiado. Esa sí se puede desobedecer, y por eso hace falta saber distinguir el bien del mal. Esta obra usa solo la segunda, y las mantiene separadas: que algo ocurra no lo hace bueno. El puente entre las dos no es la naturaleza, sino la razón y la convergencia (</w:t>
      </w:r>
      <w:r>
        <w:t>0.5</w:t>
      </w:r>
      <w:r>
        <w:t xml:space="preserve">). </w:t>
      </w:r>
      <w:r>
        <w:t>[borrador B1, 9-oct; 04n Q4]</w:t>
      </w:r>
    </w:p>
    <w:p>
      <w:r>
        <w:rPr>
          <w:b/>
        </w:rPr>
        <w:t>Las tres patas independientes:</w:t>
      </w:r>
    </w:p>
    <w:p>
      <w:pPr>
        <w:spacing w:after="60"/>
        <w:ind w:left="510" w:hanging="397"/>
      </w:pPr>
      <w:r>
        <w:rPr>
          <w:b w:val="0"/>
        </w:rPr>
        <w:t xml:space="preserve">1. </w:t>
      </w:r>
      <w:r>
        <w:rPr>
          <w:b/>
        </w:rPr>
        <w:t>Heráclito</w:t>
      </w:r>
      <w:r>
        <w:t xml:space="preserve"> (Grecia, siglos VI-V a. C.): «todas las leyes humanas se nutren de una sola, la divina»</w:t>
      </w:r>
      <w:r>
        <w:t xml:space="preserve"> [original: «τρέφονται γὰρ πάντες οἱ ἀνθρώπειοι νόμοι ὑπὸ ἑνὸς τοῦ θείου»]</w:t>
      </w:r>
      <w:r>
        <w:t xml:space="preserve"> (Heráclito, fragmento 114 (Diels-Kranz))</w:t>
      </w:r>
      <w:r>
        <w:br/>
      </w:r>
      <w:r>
        <w:rPr>
          <w:b/>
        </w:rPr>
        <w:t>leída en su fuente · Heráclito, fragmento 114 (Diels-Kranz)</w:t>
      </w:r>
      <w:r>
        <w:br/>
      </w:r>
      <w:r>
        <w:rPr>
          <w:b/>
        </w:rPr>
        <w:t>Original donde está:</w:t>
      </w:r>
      <w:r>
        <w:t xml:space="preserve"> 01.00-1.1_Heraclito_Fragmentos_griego_elwikisource.html</w:t>
      </w:r>
      <w:r>
        <w:br/>
      </w:r>
      <w:r>
        <w:t>El pasaje literal no está en el archivo de pasajes con este comienzo; la auditoría lo halló en ese original.</w:t>
      </w:r>
      <w:r>
        <w:t>.</w:t>
      </w:r>
    </w:p>
    <w:p>
      <w:pPr>
        <w:spacing w:after="60"/>
        <w:ind w:left="510" w:hanging="397"/>
      </w:pPr>
      <w:r>
        <w:rPr>
          <w:b w:val="0"/>
        </w:rPr>
        <w:t xml:space="preserve">2. </w:t>
      </w:r>
      <w:r>
        <w:rPr>
          <w:b/>
        </w:rPr>
        <w:t>Aristóteles</w:t>
      </w:r>
      <w:r>
        <w:t xml:space="preserve"> (Grecia, siglo IV a. C.): de lo justo en la ciudad, una parte es natural y otra legal: «natural es lo que en todas partes tiene la misma fuerza, y no porque a alguien le parezca bien o no»</w:t>
      </w:r>
      <w:r>
        <w:t xml:space="preserve"> [original: «φυσικὸν μὲν τὸ πανταχοῦ τὴν αὐτὴν ἔχον δύναμιν, καὶ οὐ τῷ δοκεῖν ἢ μή»]</w:t>
      </w:r>
      <w:r>
        <w:t xml:space="preserve"> (Ética a Nicómaco V, 7, 1134b)</w:t>
      </w:r>
      <w:r>
        <w:br/>
      </w:r>
      <w:r>
        <w:rPr>
          <w:b/>
        </w:rPr>
        <w:t>leída en su fuente · Ética a Nicómaco V, 7, 1134b</w:t>
      </w:r>
      <w:r>
        <w:br/>
      </w:r>
      <w:r>
        <w:rPr>
          <w:b/>
        </w:rPr>
        <w:t>Original donde está:</w:t>
      </w:r>
      <w:r>
        <w:t xml:space="preserve"> perseus_aristoteles_etica_nicomaquea_grc.xml</w:t>
      </w:r>
      <w:r>
        <w:br/>
      </w:r>
      <w:r>
        <w:t>El pasaje literal no está en el archivo de pasajes con este comienzo; la auditoría lo halló en ese original.</w:t>
      </w:r>
      <w:r>
        <w:t>.</w:t>
      </w:r>
    </w:p>
    <w:p>
      <w:pPr>
        <w:spacing w:after="60"/>
        <w:ind w:left="510" w:hanging="397"/>
      </w:pPr>
      <w:r>
        <w:rPr>
          <w:b w:val="0"/>
        </w:rPr>
        <w:t xml:space="preserve">3. </w:t>
      </w:r>
      <w:r>
        <w:rPr>
          <w:b/>
        </w:rPr>
        <w:t>Mencio</w:t>
      </w:r>
      <w:r>
        <w:t xml:space="preserve"> (China, siglo IV a. C.): «cualquiera que de pronto ve a un niño a punto de caer a un pozo siente sobresalto y compasión»</w:t>
      </w:r>
      <w:r>
        <w:t xml:space="preserve"> [original: «今人乍見孺子將入於井，皆有怵惕惻隱之心»]</w:t>
      </w:r>
      <w:r>
        <w:t>, y no por ganarse a los padres del niño ni por la fama</w:t>
      </w:r>
      <w:r>
        <w:t xml:space="preserve"> (Mencio 2A:6)</w:t>
      </w:r>
      <w:r>
        <w:t>. De ahí sus cuatro brotes: la compasión, la vergüenza ante el mal, la cortesía y el sentido de lo justo, que todos tienen «como tienen cuatro miembros»</w:t>
      </w:r>
      <w:r>
        <w:t xml:space="preserve"> [original: «人之有是四端也，猶其有四體也»]</w:t>
      </w:r>
      <w:r>
        <w:t>.</w:t>
      </w:r>
    </w:p>
    <w:p>
      <w:r>
        <w:t>[01.00-1.1, 2.1, 4.1 y 4.2; Heráclito, Aristóteles y Mencio leídos en el original; Heráclito, en Wikisource griego, cotejado con Diels, 1901]</w:t>
      </w:r>
    </w:p>
    <w:p>
      <w:r>
        <w:rPr>
          <w:b/>
        </w:rPr>
        <w:t>La pata coja, también en las dos civilizaciones:</w:t>
      </w:r>
    </w:p>
    <w:p>
      <w:pPr>
        <w:pStyle w:val="ListBullet"/>
      </w:pPr>
      <w:r>
        <w:t>En Grecia, Trasímaco: «digo que lo justo no es otra cosa que lo que le conviene al más fuerte»</w:t>
      </w:r>
      <w:r>
        <w:t xml:space="preserve"> [original: «φημὶ γὰρ ἐγὼ εἶναι τὸ δίκαιον οὐκ ἄλλο τι ἢ τὸ τοῦ κρείττονος συμφέρον»]</w:t>
      </w:r>
      <w:r>
        <w:t xml:space="preserve"> (Platón, República I, 338c)</w:t>
      </w:r>
      <w:r>
        <w:br/>
      </w:r>
      <w:r>
        <w:rPr>
          <w:b/>
        </w:rPr>
        <w:t>leída en su fuente · Platón, República I, 338c</w:t>
      </w:r>
      <w:r>
        <w:br/>
      </w:r>
      <w:r>
        <w:rPr>
          <w:b/>
        </w:rPr>
        <w:t>Original donde está:</w:t>
      </w:r>
      <w:r>
        <w:t xml:space="preserve"> plat_338c.html</w:t>
      </w:r>
      <w:r>
        <w:br/>
      </w:r>
      <w:r>
        <w:t>El pasaje literal no está en el archivo de pasajes con este comienzo; la auditoría lo halló en ese original.</w:t>
      </w:r>
      <w:r>
        <w:t>.</w:t>
      </w:r>
    </w:p>
    <w:p>
      <w:pPr>
        <w:pStyle w:val="ListBullet"/>
      </w:pPr>
      <w:r>
        <w:t>En China, Yang Zhu, contemporáneo de Mencio, que se quedaba con el «para mí»</w:t>
      </w:r>
      <w:r>
        <w:t xml:space="preserve"> [original: «為我»]</w:t>
      </w:r>
      <w:r>
        <w:t>: «no se arrancaría un pelo aunque con ello beneficiara al mundo entero»</w:t>
      </w:r>
      <w:r>
        <w:t xml:space="preserve"> [original: «拔一毛而利天下，不為也»]</w:t>
      </w:r>
      <w:r>
        <w:t xml:space="preserve"> (Mencio 7A:26)</w:t>
      </w:r>
      <w:r>
        <w:br/>
      </w:r>
      <w:r>
        <w:rPr>
          <w:b/>
        </w:rPr>
        <w:t>leída en su fuente · Mencio 7A:26</w:t>
      </w:r>
      <w:r>
        <w:br/>
      </w:r>
      <w:r>
        <w:rPr>
          <w:b/>
        </w:rPr>
        <w:t>Original donde está:</w:t>
      </w:r>
      <w:r>
        <w:t xml:space="preserve"> zhwikisource_Mencio_盡心上.txt</w:t>
      </w:r>
      <w:r>
        <w:br/>
      </w:r>
      <w:r>
        <w:t>El pasaje literal no está en el archivo de pasajes con este comienzo; la auditoría lo halló en ese original.</w:t>
      </w:r>
      <w:r>
        <w:t>.</w:t>
      </w:r>
    </w:p>
    <w:p>
      <w:r>
        <w:t>[01.00-3.1 y 4.2; leídos en el original]</w:t>
      </w:r>
    </w:p>
    <w:p>
      <w:r>
        <w:rPr>
          <w:b/>
        </w:rPr>
        <w:t>El veredicto: la mesa se sostiene.</w:t>
      </w:r>
      <w:r>
        <w:t xml:space="preserve"> Hay tres patas independientes que cruzan dos civilizaciones sin contacto documentado en el siglo IV a. C. Si se quita una, las otras dos siguen sosteniendo la tesis. Y la pata coja aparece en las dos civilizaciones a la vez: si nadie hubiera dicho nunca lo contrario, la mesa sería sospechosa. </w:t>
      </w:r>
      <w:r>
        <w:t>[01.00-5.1]</w:t>
      </w:r>
    </w:p>
    <w:p>
      <w:r>
        <w:rPr>
          <w:b/>
        </w:rPr>
        <w:t>Otras tradiciones que dicen lo mismo:</w:t>
      </w:r>
    </w:p>
    <w:p>
      <w:pPr>
        <w:pStyle w:val="ListBullet"/>
      </w:pPr>
      <w:r>
        <w:rPr>
          <w:b/>
        </w:rPr>
        <w:t>Sófocles.</w:t>
      </w:r>
      <w:r>
        <w:t xml:space="preserve"> Antígona responde al rey que sus edictos no tienen fuerza para que un mortal pase por encima de «las leyes no escritas e inquebrantables de los dioses»</w:t>
      </w:r>
      <w:r>
        <w:t xml:space="preserve"> [original: «ἄγραπτα κἀσφαλῆ θεῶν νόμιμα»]</w:t>
      </w:r>
      <w:r>
        <w:t>, que «no son de hoy ni de ayer, sino que viven siempre»</w:t>
      </w:r>
      <w:r>
        <w:t xml:space="preserve"> [original: «οὐ γάρ τι νῦν γε κἀχθές, ἀλλ᾽ ἀεί ποτε ζῇ ταῦτα»]</w:t>
      </w:r>
      <w:r>
        <w:t xml:space="preserve"> (Antígona, vv. 454-457)</w:t>
      </w:r>
      <w:r>
        <w:br/>
      </w:r>
      <w:r>
        <w:rPr>
          <w:b/>
        </w:rPr>
        <w:t>leída en su fuente · Antígona, vv. 454-457</w:t>
      </w:r>
      <w:r>
        <w:br/>
      </w:r>
      <w:r>
        <w:rPr>
          <w:b/>
        </w:rPr>
        <w:t>Original donde está:</w:t>
      </w:r>
      <w:r>
        <w:t xml:space="preserve"> soph_ant.html</w:t>
      </w:r>
      <w:r>
        <w:br/>
      </w:r>
      <w:r>
        <w:t>El pasaje literal no está en el archivo de pasajes con este comienzo; la auditoría lo halló en ese original.</w:t>
      </w:r>
      <w:r>
        <w:t>.</w:t>
      </w:r>
    </w:p>
    <w:p>
      <w:pPr>
        <w:pStyle w:val="ListBullet"/>
      </w:pPr>
      <w:r>
        <w:rPr>
          <w:b/>
        </w:rPr>
        <w:t>El islam.</w:t>
      </w:r>
      <w:r>
        <w:t xml:space="preserve"> «¡Profesa la religión como hanif, según la naturaleza primigenia que Alá ha puesto en los hombres! No cabe alteración en la creación de Alá»</w:t>
      </w:r>
      <w:r>
        <w:t xml:space="preserve"> (Corán 30:30, traducción de Julio Cortés)</w:t>
      </w:r>
      <w:r>
        <w:br/>
      </w:r>
      <w:r>
        <w:rPr>
          <w:b/>
        </w:rPr>
        <w:t>leída en su fuente · Corán 30:30,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30:30, traducción de Julio Cortés</w:t>
      </w:r>
      <w:r>
        <w:br/>
      </w:r>
      <w:r>
        <w:rPr>
          <w:b/>
        </w:rPr>
        <w:t>Tal como está en la fuente:</w:t>
      </w:r>
      <w:r>
        <w:t xml:space="preserve"> ¡Profesa la religión como hanif, según la naturaleza primigenia que Alá ha puesto en los hombres! No cabe alteración en la creación de Alá</w:t>
      </w:r>
      <w:r>
        <w:t xml:space="preserve">. Esa naturaleza primigenia es la </w:t>
      </w:r>
      <w:r>
        <w:rPr>
          <w:i/>
        </w:rPr>
        <w:t>fitra</w:t>
      </w:r>
      <w:r>
        <w:t>.</w:t>
      </w:r>
    </w:p>
    <w:p>
      <w:pPr>
        <w:pStyle w:val="ListBullet"/>
      </w:pPr>
      <w:r>
        <w:rPr>
          <w:b/>
        </w:rPr>
        <w:t>El budismo.</w:t>
      </w:r>
      <w:r>
        <w:t xml:space="preserve"> «Todos tiemblan ante el castigo, todos temen la muerte; tomándose a uno mismo como medida, que nadie mate ni haga matar»</w:t>
      </w:r>
      <w:r>
        <w:t xml:space="preserve"> [original: «Sabbe tasanti daṇḍassa, sabbe bhāyanti maccuno; attānaṁ upamaṁ katvā, na haneyya na ghātaye»]</w:t>
      </w:r>
      <w:r>
        <w:t xml:space="preserve"> (Dhammapada 129)</w:t>
      </w:r>
      <w:r>
        <w:br/>
      </w:r>
      <w:r>
        <w:rPr>
          <w:b/>
        </w:rPr>
        <w:t>leída en su fuente · Dhammapada 129</w:t>
      </w:r>
      <w:r>
        <w:br/>
      </w:r>
      <w:r>
        <w:rPr>
          <w:b/>
        </w:rPr>
        <w:t>Archivo leído:</w:t>
      </w:r>
      <w:r>
        <w:t xml:space="preserve"> dhp129-145_suttacentral.json; Müller: dhammapada_muller_gutenberg_2017.txt (líneas 600-601) (reparacion_citas\suttacentral_dhammapada_pali_ms_texto_corrido.txt) · contraste del archivo de pasajes: ✔</w:t>
      </w:r>
      <w:r>
        <w:br/>
      </w:r>
      <w:r>
        <w:rPr>
          <w:b/>
        </w:rPr>
        <w:t>Lugar:</w:t>
      </w:r>
      <w:r>
        <w:t xml:space="preserve"> Pali</w:t>
      </w:r>
      <w:r>
        <w:br/>
      </w:r>
      <w:r>
        <w:rPr>
          <w:b/>
        </w:rPr>
        <w:t>Dirección:</w:t>
      </w:r>
      <w:r>
        <w:t xml:space="preserve"> </w:t>
      </w:r>
      <w:r>
        <w:t>https://suttacentral.net/api/bilarasuttas/dhp129-145/sujato?lang=en</w:t>
      </w:r>
      <w:r>
        <w:br/>
      </w:r>
      <w:r>
        <w:rPr>
          <w:b/>
        </w:rPr>
        <w:t>Tal como está en la fuente:</w:t>
      </w:r>
      <w:r>
        <w:t xml:space="preserve"> Sabbe tasanti daṇḍassa, sabbe bhāyanti maccuno; Attānaṁ upamaṁ katvā, na haneyya na ghātaye.</w:t>
      </w:r>
      <w:r>
        <w:t>.</w:t>
      </w:r>
    </w:p>
    <w:p>
      <w:pPr>
        <w:pStyle w:val="ListBullet"/>
      </w:pPr>
      <w:r>
        <w:rPr>
          <w:b/>
        </w:rPr>
        <w:t>Isidoro de Sevilla.</w:t>
      </w:r>
      <w:r>
        <w:t xml:space="preserve"> «Ius naturale est commune omnium nationum, et quod ubique instinctu naturae, non constitutione aliqua habetur» (el derecho natural es común a todas las naciones, y se tiene en todas partes por instinto de la naturaleza, no por ninguna ley puesta). Entre sus ejemplos está «depositae rei vel commendatae pecuniae restitutio» (devolver lo depositado o el dinero confiado; Etimologías V, 4).</w:t>
      </w:r>
    </w:p>
    <w:p>
      <w:pPr>
        <w:pStyle w:val="ListBullet"/>
      </w:pPr>
      <w:r>
        <w:rPr>
          <w:b/>
        </w:rPr>
        <w:t>La ley aborigen de Australia,</w:t>
      </w:r>
      <w:r>
        <w:t xml:space="preserve"> el Tjukurpa, que «establece las reglas que usamos para gobernar la sociedad y gestionar la tierra», y que «dicta los procedimientos correctos para tratar los problemas y las penas por quebrantar la Ley»</w:t>
      </w:r>
      <w:r>
        <w:t xml:space="preserve"> [original: «Tjukurpa establishes the rules we use to govern society and manage the land. It dictates correct procedures for dealing with problems and penalties for breaking the Law.»]</w:t>
      </w:r>
      <w:r>
        <w:t xml:space="preserve"> (Parks Australia (Gobierno de Australia), ficha «Tjukurpa», 2021)</w:t>
      </w:r>
      <w:r>
        <w:br/>
      </w:r>
      <w:r>
        <w:rPr>
          <w:b/>
        </w:rPr>
        <w:t>leída en su fuente · Parks Australia (Gobierno de Australia), ficha «Tjukurpa», 2021</w:t>
      </w:r>
      <w:r>
        <w:br/>
      </w:r>
      <w:r>
        <w:rPr>
          <w:b/>
        </w:rPr>
        <w:t>Archivo leído:</w:t>
      </w:r>
      <w:r>
        <w:t xml:space="preserve"> 01.00-11.3_Gobierno_Australia_factsheet_Tjukurpa_agriculture-gov-au.pdf (flecos\01.00-11.3_Gobierno_Australia_factsheet_Tjukurpa_agriculture-gov-au.pdf) · contraste del archivo de pasajes: ✔</w:t>
      </w:r>
      <w:r>
        <w:br/>
      </w:r>
      <w:r>
        <w:rPr>
          <w:b/>
        </w:rPr>
        <w:t>Lugar:</w:t>
      </w:r>
      <w:r>
        <w:t xml:space="preserve"> Parks Australia (Gobierno de Australia), ficha «Tjukurpa», 2021</w:t>
      </w:r>
      <w:r>
        <w:br/>
      </w:r>
      <w:r>
        <w:rPr>
          <w:b/>
        </w:rPr>
        <w:t>Tal como está en la fuente:</w:t>
      </w:r>
      <w:r>
        <w:t xml:space="preserve"> Tjukurpa establishes the rules we use to govern society and manage the land. It dictates correct procedures for dealing with problems and penalties for breaking the Law.</w:t>
      </w:r>
      <w:r>
        <w:t>. Con su límite: parte de ese saber solo se transmite a quien «ha heredado el derecho» a conocerlo.</w:t>
      </w:r>
    </w:p>
    <w:p>
      <w:pPr>
        <w:pStyle w:val="ListBullet"/>
      </w:pPr>
      <w:r>
        <w:rPr>
          <w:b/>
        </w:rPr>
        <w:t>La línea romana y cristiana</w:t>
      </w:r>
      <w:r>
        <w:t xml:space="preserve"> (Cicerón, Séneca, Aquino) dice lo mismo, pero no cuenta como pata nueva, porque viene de los griegos. Tampoco la Escuela de Salamanca: Francisco de Vitoria sostuvo en 1539 que los pueblos de América «eran, sin duda, verdaderos señores, pública y privadamente, igual que los cristianos», y que no perdían ese dominio por no ser cristianos</w:t>
      </w:r>
      <w:r>
        <w:t xml:space="preserve"> [original: «sine dubio barbari erant &amp; publice &amp; priuatim ita ueri domini, sicut Christiani»]</w:t>
      </w:r>
      <w:r>
        <w:t xml:space="preserve"> (Vitoria, Relectio de Indis I, edición de Lyon, 1557)</w:t>
      </w:r>
      <w:r>
        <w:t>. Con su matiz: en la misma lección admitió otros títulos para el dominio español, como el derecho a viajar y a comerciar «por derecho de gentes»</w:t>
      </w:r>
      <w:r>
        <w:t xml:space="preserve"> [original: «ex iure gentium»]</w:t>
      </w:r>
      <w:r>
        <w:t>.</w:t>
      </w:r>
    </w:p>
    <w:p>
      <w:r>
        <w:t>[01.00-6.1 a 6.5, 8.1 a 8.3 y 11.1 a 11.3; 02.00-10.1 y 11.2; los textos leídos en el original; el Tjukurpa y Vitoria, leídos el 5-oct]</w:t>
      </w:r>
    </w:p>
    <w:p>
      <w:r>
        <w:rPr>
          <w:b/>
        </w:rPr>
        <w:t>Los contraejemplos, dichos con la misma honestidad.</w:t>
      </w:r>
      <w:r>
        <w:t xml:space="preserve"> En Egipto, el orden moral (Maat) solo lo conocía el faraón; en Qumrán, la ley era doctrina reservada a una comunidad cerrada. No niegan que exista una ley; la hacen de unos pocos (fuente secundaria). </w:t>
      </w:r>
      <w:r>
        <w:t>[01.00-9.1 y 9.2]</w:t>
      </w:r>
    </w:p>
    <w:p>
      <w:r>
        <w:rPr>
          <w:b/>
        </w:rPr>
        <w:t>La ley natural frente a la mayoría.</w:t>
      </w:r>
      <w:r>
        <w:t xml:space="preserve"> Aquino distingue el bien común del bien de la mayoría: «el bien común de la ciudad y el bien de una persona no se diferencian solo en lo mucho o lo poco, sino en su forma»</w:t>
      </w:r>
      <w:r>
        <w:t xml:space="preserve"> [original: «bonum commune civitatis et bonum singulare unius personae non differunt solum secundum multum et paucum, sed secundum formalem differentiam»]</w:t>
      </w:r>
      <w:r>
        <w:t xml:space="preserve"> (Suma teológica II-II, q. 58, a. 7, respuesta a la segunda objeción)</w:t>
      </w:r>
      <w:r>
        <w:br/>
      </w:r>
      <w:r>
        <w:rPr>
          <w:b/>
        </w:rPr>
        <w:t>leída en su fuente · Suma teológica II-II, q. 58, a. 7, respuesta a la segunda objeción</w:t>
      </w:r>
      <w:r>
        <w:br/>
      </w:r>
      <w:r>
        <w:rPr>
          <w:b/>
        </w:rPr>
        <w:t>Archivo leído:</w:t>
      </w:r>
      <w:r>
        <w:t xml:space="preserve"> sth3057.html (ant\c1\sth3057.html) · contraste del archivo de pasajes: ✔</w:t>
      </w:r>
      <w:r>
        <w:br/>
      </w:r>
      <w:r>
        <w:rPr>
          <w:b/>
        </w:rPr>
        <w:t>Lugar:</w:t>
      </w:r>
      <w:r>
        <w:t xml:space="preserve"> Suma teológica II-II, q. 58, a. 7, respuesta a la segunda objeción</w:t>
      </w:r>
      <w:r>
        <w:br/>
      </w:r>
      <w:r>
        <w:rPr>
          <w:b/>
        </w:rPr>
        <w:t>Tal como está en la fuente:</w:t>
      </w:r>
      <w:r>
        <w:t xml:space="preserve"> bonum commune civitatis et bonum singulare unius personae non differunt solum secundum multum et paucum, sed secundum formalem differentiam</w:t>
      </w:r>
      <w:r>
        <w:t xml:space="preserve">. Lo que conviene a la mayoría no es, sin más, el bien común. </w:t>
      </w:r>
      <w:r>
        <w:t>[01.00-14.1, corregido: el latín dice «no solo», y la Biblioteca lo citaba sin el «solo»; Aquino leído en latín]</w:t>
      </w:r>
    </w:p>
    <w:p>
      <w:r>
        <w:rPr>
          <w:b/>
        </w:rPr>
        <w:t>El principio de Núremberg: la ley natural, por encima de la puesta.</w:t>
      </w:r>
      <w:r>
        <w:t xml:space="preserve"> Tras la Segunda Guerra Mundial, los tribunales de Núremberg juzgaron a quienes habían obedecido las leyes de su propio Estado. Naciones Unidas recogió en 1950 lo que esos juicios dejaron sentado:</w:t>
      </w:r>
    </w:p>
    <w:p>
      <w:pPr>
        <w:pStyle w:val="ListBullet"/>
      </w:pPr>
      <w:r>
        <w:t>que el derecho interno no castigue un acto que es un crimen no exime de responsabilidad a quien lo cometió</w:t>
      </w:r>
      <w:r>
        <w:t xml:space="preserve"> [original: «The fact that internal law does not impose a penalty for an act which constitutes a crime under international law does not relieve the person who committed the act from responsibility»]</w:t>
      </w:r>
      <w:r>
        <w:t xml:space="preserve"> (Principios de Núremberg, Principio II)</w:t>
      </w:r>
      <w:r>
        <w:t>;</w:t>
      </w:r>
    </w:p>
    <w:p>
      <w:pPr>
        <w:pStyle w:val="ListBullet"/>
      </w:pPr>
      <w:r>
        <w:t>haber actuado por orden de su Gobierno o de un superior no exime de responsabilidad, siempre que de hecho le fuera posible elegir moralmente</w:t>
      </w:r>
      <w:r>
        <w:t xml:space="preserve"> [original: «The fact that a person acted pursuant to order of his Government or of a superior does not relieve him from responsibility under international law, provided a moral choice was in fact possible to him»]</w:t>
      </w:r>
      <w:r>
        <w:t xml:space="preserve"> (Principios de Núremberg, Principio IV)</w:t>
      </w:r>
      <w:r>
        <w:t>.</w:t>
      </w:r>
    </w:p>
    <w:p>
      <w:r>
        <w:t>La propia Constitución española reconoce algo anterior a ella: «La dignidad de la persona, los derechos inviolables que le son inherentes» son «fundamento del orden político y de la paz social»</w:t>
      </w:r>
      <w:r>
        <w:t xml:space="preserve"> (Constitución, art. 10.1)</w:t>
      </w:r>
      <w:r>
        <w:br/>
      </w:r>
      <w:r>
        <w:rPr>
          <w:b/>
        </w:rPr>
        <w:t>leída en su fuente · Constitución, art. 10.1</w:t>
      </w:r>
      <w:r>
        <w:br/>
      </w:r>
      <w:r>
        <w:rPr>
          <w:b/>
        </w:rPr>
        <w:t>Archivo leído:</w:t>
      </w:r>
      <w:r>
        <w:t xml:space="preserve"> ce.html (ant\c1\ce.html) · contraste del archivo de pasajes: ✔</w:t>
      </w:r>
      <w:r>
        <w:br/>
      </w:r>
      <w:r>
        <w:rPr>
          <w:b/>
        </w:rPr>
        <w:t>Lugar:</w:t>
      </w:r>
      <w:r>
        <w:t xml:space="preserve"> Constitución, art. 10.1</w:t>
      </w:r>
      <w:r>
        <w:br/>
      </w:r>
      <w:r>
        <w:rPr>
          <w:b/>
        </w:rPr>
        <w:t>Tal como está en la fuente:</w:t>
      </w:r>
      <w:r>
        <w:t xml:space="preserve"> fundamento del orden político y de la paz social</w:t>
      </w:r>
      <w:r>
        <w:t>. Inherentes: no los crea el Estado, los encuentra.</w:t>
      </w:r>
    </w:p>
    <w:p>
      <w:r>
        <w:t>[02.00-12.1 y 12.3; Principios de Núremberg leídos en legal.un.org; Constitución leída en el BOE]</w:t>
      </w:r>
    </w:p>
    <w:p>
      <w:pPr>
        <w:pStyle w:val="Heading2"/>
      </w:pPr>
      <w:r>
        <w:t>1.5 La costumbre, ley no escrita</w:t>
      </w:r>
    </w:p>
    <w:p>
      <w:pPr>
        <w:pBdr>
          <w:left w:val="single" w:sz="24" w:space="6" w:color="E2DED6"/>
        </w:pBdr>
        <w:shd w:val="clear" w:color="auto" w:fill="F1EEE8"/>
        <w:spacing w:before="80" w:after="160"/>
        <w:ind w:left="142" w:right="142"/>
      </w:pPr>
      <w:r>
        <w:rPr>
          <w:b/>
        </w:rPr>
        <w:t>La idea: la costumbre es ley no escrita, nacida del uso de una comunidad, y el propio Estado ha tenido que reconocerla.</w:t>
      </w:r>
    </w:p>
    <w:p>
      <w:r>
        <w:rPr>
          <w:b/>
        </w:rPr>
        <w:t>Qué es.</w:t>
      </w:r>
      <w:r>
        <w:t xml:space="preserve"> La costumbre es la norma que nace del uso repetido de una comunidad, que la tiene por obligatoria sin que la escriba ningún legislador. Isidoro de Sevilla la definió así: «la costumbre es lo aprobado por la antigüedad, o ley no escrita»</w:t>
      </w:r>
      <w:r>
        <w:t xml:space="preserve"> [original: «Mos est vetustate probata consuetudo, sive lex non scripta»]</w:t>
      </w:r>
      <w:r>
        <w:t>. Y precisó cuándo manda: «se toma por ley cuando falta la ley»</w:t>
      </w:r>
      <w:r>
        <w:t xml:space="preserve"> [original: «quod pro lege suscipitur, cum deficit lex»]</w:t>
      </w:r>
      <w:r>
        <w:t xml:space="preserve"> (Etimologías V, 3)</w:t>
      </w:r>
      <w:r>
        <w:br/>
      </w:r>
      <w:r>
        <w:rPr>
          <w:b/>
        </w:rPr>
        <w:t>leída en su fuente · Etimologías V, 3</w:t>
      </w:r>
      <w:r>
        <w:br/>
      </w:r>
      <w:r>
        <w:rPr>
          <w:b/>
        </w:rPr>
        <w:t>Archivo leído:</w:t>
      </w:r>
      <w:r>
        <w:t xml:space="preserve"> isid5.html (ant\c1\isid5.html) · contraste del archivo de pasajes: ✔</w:t>
      </w:r>
      <w:r>
        <w:br/>
      </w:r>
      <w:r>
        <w:rPr>
          <w:b/>
        </w:rPr>
        <w:t>Lugar:</w:t>
      </w:r>
      <w:r>
        <w:t xml:space="preserve"> Etimologías V, 3</w:t>
      </w:r>
      <w:r>
        <w:br/>
      </w:r>
      <w:r>
        <w:rPr>
          <w:b/>
        </w:rPr>
        <w:t>Tal como está en la fuente:</w:t>
      </w:r>
      <w:r>
        <w:t xml:space="preserve"> quod pro lege suscipitur, cum deficit lex</w:t>
      </w:r>
      <w:r>
        <w:t xml:space="preserve">. </w:t>
      </w:r>
      <w:r>
        <w:t>[11.00-5.1; glosario 4.4; Isidoro leído en latín]</w:t>
      </w:r>
    </w:p>
    <w:p>
      <w:r>
        <w:rPr>
          <w:b/>
        </w:rPr>
        <w:t>La tradición le dio un lugar alto:</w:t>
      </w:r>
    </w:p>
    <w:p>
      <w:pPr>
        <w:pStyle w:val="ListBullet"/>
      </w:pPr>
      <w:r>
        <w:rPr>
          <w:b/>
        </w:rPr>
        <w:t>Juliano:</w:t>
      </w:r>
      <w:r>
        <w:t xml:space="preserve"> la costumbre arraigada se guarda «con razón» como ley, y las leyes pueden quedar abolidas «por el consentimiento tácito de todos, mediante el desuso»</w:t>
      </w:r>
      <w:r>
        <w:t xml:space="preserve"> [original: «non immerito»; «tacito consensu omnium per desuetudinem abrogentur»]</w:t>
      </w:r>
      <w:r>
        <w:t xml:space="preserve"> (Digesto 1.3.32)</w:t>
      </w:r>
      <w:r>
        <w:br/>
      </w:r>
      <w:r>
        <w:rPr>
          <w:b/>
        </w:rPr>
        <w:t>pasaje guardado · Digesto 1.3.32</w:t>
      </w:r>
      <w:r>
        <w:br/>
      </w:r>
      <w:r>
        <w:rPr>
          <w:b/>
        </w:rPr>
        <w:t>Archivo leído:</w:t>
      </w:r>
      <w:r>
        <w:t xml:space="preserve"> 12.00_Digesto_libro_1_droitromain_Grenoble.html (c6\12.00_Digesto_libro_1_droitromain_Grenoble.html) · contraste del archivo de pasajes: ✔</w:t>
      </w:r>
      <w:r>
        <w:br/>
      </w:r>
      <w:r>
        <w:rPr>
          <w:b/>
        </w:rPr>
        <w:t>Lugar:</w:t>
      </w:r>
      <w:r>
        <w:t xml:space="preserve"> D. 1.3.32.1</w:t>
      </w:r>
      <w:r>
        <w:br/>
      </w:r>
      <w:r>
        <w:rPr>
          <w:b/>
        </w:rPr>
        <w:t>Dirección:</w:t>
      </w:r>
      <w:r>
        <w:t xml:space="preserve"> </w:t>
      </w:r>
      <w:r>
        <w:t>https://droitromain.univ-grenoble-alpes.fr/Corpus/d-01.htm</w:t>
      </w:r>
      <w:r>
        <w:br/>
      </w:r>
      <w:r>
        <w:rPr>
          <w:b/>
        </w:rPr>
        <w:t>Tal como está en la fuente:</w:t>
      </w:r>
      <w:r>
        <w:t xml:space="preserve"> Quare rectissime etiam illud receptum est, ut leges non solum suffragio legis latoris, sed etiam tacito consensu omnium per desuetudinem abrogentur.</w:t>
      </w:r>
      <w:r>
        <w:t>.</w:t>
      </w:r>
    </w:p>
    <w:p>
      <w:pPr>
        <w:pStyle w:val="ListBullet"/>
      </w:pPr>
      <w:r>
        <w:rPr>
          <w:b/>
        </w:rPr>
        <w:t>Confucio:</w:t>
      </w:r>
      <w:r>
        <w:t xml:space="preserve"> el pueblo guiado por leyes y castigos evita el castigo, «pero no tiene vergüenza»; guiado por la virtud y los ritos, «se hace bueno»</w:t>
      </w:r>
      <w:r>
        <w:t xml:space="preserve"> (Analectas 2.3)</w:t>
      </w:r>
      <w:r>
        <w:t>.</w:t>
      </w:r>
    </w:p>
    <w:p>
      <w:pPr>
        <w:pStyle w:val="ListBullet"/>
      </w:pPr>
      <w:r>
        <w:rPr>
          <w:b/>
        </w:rPr>
        <w:t>Aquino:</w:t>
      </w:r>
      <w:r>
        <w:t xml:space="preserve"> la costumbre «tiene fuerza de ley, abole la ley y es intérprete de la ley»</w:t>
      </w:r>
      <w:r>
        <w:t xml:space="preserve"> [original: «consuetudo et habet vim legis, et legem abolet, et est legum interpretatrix»]</w:t>
      </w:r>
      <w:r>
        <w:t xml:space="preserve"> (Suma teológica I-II, q. 97, a. 3)</w:t>
      </w:r>
      <w:r>
        <w:br/>
      </w:r>
      <w:r>
        <w:rPr>
          <w:b/>
        </w:rPr>
        <w:t>leída en su fuente · Suma teológica I-II, q. 97, a. 3</w:t>
      </w:r>
      <w:r>
        <w:br/>
      </w:r>
      <w:r>
        <w:rPr>
          <w:b/>
        </w:rPr>
        <w:t>Archivo leído:</w:t>
      </w:r>
      <w:r>
        <w:t xml:space="preserve"> 12.00_Aquino_Summa_I-II_q95-97_corpusthomisticum.html (c6\12.00_Aquino_Summa_I-II_q95-97_corpusthomisticum.html) · contraste del archivo de pasajes: ✔</w:t>
      </w:r>
      <w:r>
        <w:br/>
      </w:r>
      <w:r>
        <w:rPr>
          <w:b/>
        </w:rPr>
        <w:t>Lugar:</w:t>
      </w:r>
      <w:r>
        <w:t xml:space="preserve"> I-II q. 97 a. 3 co.</w:t>
      </w:r>
      <w:r>
        <w:br/>
      </w:r>
      <w:r>
        <w:rPr>
          <w:b/>
        </w:rPr>
        <w:t>Dirección:</w:t>
      </w:r>
      <w:r>
        <w:t xml:space="preserve"> </w:t>
      </w:r>
      <w:r>
        <w:t>https://www.corpusthomisticum.org/sth2095.html</w:t>
      </w:r>
      <w:r>
        <w:br/>
      </w:r>
      <w:r>
        <w:rPr>
          <w:b/>
        </w:rPr>
        <w:t>Tal como está en la fuente:</w:t>
      </w:r>
      <w:r>
        <w:t xml:space="preserve"> Et secundum hoc, consuetudo et habet vim legis, et legem abolet, et est legum interpretatrix.</w:t>
      </w:r>
      <w:r>
        <w:t>.</w:t>
      </w:r>
    </w:p>
    <w:p>
      <w:pPr>
        <w:pStyle w:val="ListBullet"/>
      </w:pPr>
      <w:r>
        <w:rPr>
          <w:b/>
        </w:rPr>
        <w:t>Savigny</w:t>
      </w:r>
      <w:r>
        <w:t xml:space="preserve"> (1814): todo derecho nace «primero por la costumbre y la creencia del pueblo […], no por el arbitrio de un legislador»</w:t>
      </w:r>
      <w:r>
        <w:t xml:space="preserve"> [original: «erst durch Sitte und Volksglaube […], nicht durch die Willkühr eines Gesetzgebers»]</w:t>
      </w:r>
      <w:r>
        <w:t xml:space="preserve"> (Savigny, Vom Beruf unsrer Zeit für Gesetzgebung und Rechtswissenschaft, Heidelberg, 1814, pp. 13-14)</w:t>
      </w:r>
      <w:r>
        <w:br/>
      </w:r>
      <w:r>
        <w:rPr>
          <w:b/>
        </w:rPr>
        <w:t>pasaje guardado · Savigny, Vom Beruf unsrer Zeit für Gesetzgebung und Rechtswissenschaft, Heidelberg, 1814,</w:t>
      </w:r>
      <w:r>
        <w:br/>
      </w:r>
      <w:r>
        <w:rPr>
          <w:b/>
        </w:rPr>
        <w:t>Archivo leído:</w:t>
      </w:r>
      <w:r>
        <w:t xml:space="preserve"> archive_Savigny_1814_Vom_Beruf_unsrer_Zeit_10740690bsb_djvu.txt · contraste del archivo de pasajes: sin archivo</w:t>
      </w:r>
      <w:r>
        <w:br/>
      </w:r>
      <w:r>
        <w:rPr>
          <w:b/>
        </w:rPr>
        <w:t>Lugar:</w:t>
      </w:r>
      <w:r>
        <w:t xml:space="preserve"> Savigny, Vom Beruf unsrer Zeit für Gesetzgebung und Rechtswissenschaft, Heidelberg, 1814, pp. 13-14</w:t>
      </w:r>
      <w:r>
        <w:br/>
      </w:r>
      <w:r>
        <w:rPr>
          <w:b/>
        </w:rPr>
        <w:t>Tal como está en la fuente:</w:t>
      </w:r>
      <w:r>
        <w:t xml:space="preserve"> erst durch Sitte und Volksglaube […], nicht durch die Willkühr eines Gesetzgebers</w:t>
      </w:r>
      <w:r>
        <w:t>.</w:t>
      </w:r>
    </w:p>
    <w:p>
      <w:pPr>
        <w:pStyle w:val="ListBullet"/>
      </w:pPr>
      <w:r>
        <w:rPr>
          <w:b/>
        </w:rPr>
        <w:t>Las Leyes de Manu</w:t>
      </w:r>
      <w:r>
        <w:t xml:space="preserve"> (India): primero el Veda, después la tradición y después la costumbre de los virtuosos</w:t>
      </w:r>
      <w:r>
        <w:t xml:space="preserve"> (Leyes de Manu 2.6 y 2.12)</w:t>
      </w:r>
      <w:r>
        <w:t>.</w:t>
      </w:r>
    </w:p>
    <w:p>
      <w:r>
        <w:t>[11.00-8.3; libreta 58, todos leídos en su fuente]</w:t>
      </w:r>
    </w:p>
    <w:p>
      <w:r>
        <w:rPr>
          <w:b/>
        </w:rPr>
        <w:t>La condición.</w:t>
      </w:r>
      <w:r>
        <w:t xml:space="preserve"> La costumbre no manda por encima de la ley escrita solo por ser costumbre. Manda cuando </w:t>
      </w:r>
      <w:r>
        <w:rPr>
          <w:b/>
        </w:rPr>
        <w:t>converge</w:t>
      </w:r>
      <w:r>
        <w:t xml:space="preserve"> entre tradiciones sin contacto documentado y </w:t>
      </w:r>
      <w:r>
        <w:rPr>
          <w:b/>
        </w:rPr>
        <w:t>pasa la vara</w:t>
      </w:r>
      <w:r>
        <w:t xml:space="preserve"> (</w:t>
      </w:r>
      <w:r>
        <w:t>0.5</w:t>
      </w:r>
      <w:r>
        <w:t>). Que haya muchas pruebas de que una costumbre existe no la hace buena: la esclavitud estuvo muy extendida y no pasa la vara (</w:t>
      </w:r>
      <w:r>
        <w:t>3.1</w:t>
      </w:r>
      <w:r>
        <w:t>). Cicerón ya avisaba de que hay costumbres malas: muchos piensan cosas torcidas sobre los dioses, y eso, «por mala costumbre»</w:t>
      </w:r>
      <w:r>
        <w:t xml:space="preserve"> [original: «vitioso more»]</w:t>
      </w:r>
      <w:r>
        <w:t xml:space="preserve"> (Tusculanas I, 30)</w:t>
      </w:r>
      <w:r>
        <w:t>. El propio Código Civil la pone bajo condición: solo rige «siempre que no sea contraria a la moral o al orden público»</w:t>
      </w:r>
      <w:r>
        <w:t xml:space="preserve"> (Código Civil, art. 1.3)</w:t>
      </w:r>
      <w:r>
        <w:br/>
      </w:r>
      <w:r>
        <w:rPr>
          <w:b/>
        </w:rPr>
        <w:t>leída en su fuente · Código Civil, art. 1.3</w:t>
      </w:r>
      <w:r>
        <w:br/>
      </w:r>
      <w:r>
        <w:rPr>
          <w:b/>
        </w:rPr>
        <w:t>Archivo leído:</w:t>
      </w:r>
      <w:r>
        <w:t xml:space="preserve"> codigo_civil_1889.html (c5\codigo_civil_1889.html) · contraste del archivo de pasajes: ✔</w:t>
      </w:r>
      <w:r>
        <w:br/>
      </w:r>
      <w:r>
        <w:rPr>
          <w:b/>
        </w:rPr>
        <w:t>Lugar:</w:t>
      </w:r>
      <w:r>
        <w:t xml:space="preserve"> Art. 1.1</w:t>
      </w:r>
      <w:r>
        <w:br/>
      </w:r>
      <w:r>
        <w:rPr>
          <w:b/>
        </w:rPr>
        <w:t>Dirección:</w:t>
      </w:r>
      <w:r>
        <w:t xml:space="preserve"> </w:t>
      </w:r>
      <w:r>
        <w:t>https://www.boe.es/buscar/act.php?id=BOE-A-1889-4763</w:t>
      </w:r>
      <w:r>
        <w:br/>
      </w:r>
      <w:r>
        <w:rPr>
          <w:b/>
        </w:rPr>
        <w:t>Tal como está en la fuente:</w:t>
      </w:r>
      <w:r>
        <w:t xml:space="preserve"> La costumbre sólo regirá en defecto de ley aplicable, siempre que no sea contraria a la moral o al orden público, y que resulte probada.</w:t>
      </w:r>
      <w:r>
        <w:t xml:space="preserve">. </w:t>
      </w:r>
      <w:r>
        <w:t>[borrador B1, 9-oct; 04n Q6]</w:t>
      </w:r>
    </w:p>
    <w:p>
      <w:r>
        <w:rPr>
          <w:b/>
        </w:rPr>
        <w:t>Dos ejemplos de costumbre que no pasa la vara.</w:t>
      </w:r>
    </w:p>
    <w:p>
      <w:pPr>
        <w:pStyle w:val="ListBullet"/>
      </w:pPr>
      <w:r>
        <w:rPr>
          <w:b/>
        </w:rPr>
        <w:t>El robo fuera de la propia tribu, entre los germanos.</w:t>
      </w:r>
      <w:r>
        <w:t xml:space="preserve"> César cuenta que, entre ellos, el robo cometido fuera de las fronteras de cada tribu no tenía infamia, y que decían hacerlo para ejercitar a los jóvenes y evitar la pereza</w:t>
      </w:r>
      <w:r>
        <w:t xml:space="preserve"> [original: «Latrocinia nullam habent infamiam, quae extra fines cuiusque civitatis fiunt, atque ea iuventutis exercendae ac desidiae minuendae causa fieri praedicant»]</w:t>
      </w:r>
      <w:r>
        <w:t xml:space="preserve"> (César, La guerra de las Galias VI, 23)</w:t>
      </w:r>
      <w:r>
        <w:t>. Era una costumbre aceptada por quienes la practicaban, y no pasa la vara: daña a otro, que no consiente, y no hay reciprocidad. Es el relato de un autor romano sobre otro pueblo, y en la misma página dice que esos mismos germanos tenían por impío dañar al huésped</w:t>
      </w:r>
      <w:r>
        <w:t xml:space="preserve"> [original: «Hospitem violare fas non putant»]</w:t>
      </w:r>
      <w:r>
        <w:t xml:space="preserve"> (César, La guerra de las Galias VI, 23)</w:t>
      </w:r>
      <w:r>
        <w:t>. Es una práctica de hace unos dos mil años, no de ningún pueblo de hoy.</w:t>
      </w:r>
    </w:p>
    <w:p>
      <w:pPr>
        <w:pStyle w:val="ListBullet"/>
      </w:pPr>
      <w:r>
        <w:rPr>
          <w:b/>
        </w:rPr>
        <w:t>La mutilación genital femenina.</w:t>
      </w:r>
      <w:r>
        <w:t xml:space="preserve"> La Organización Mundial de la Salud la define como «todos los procedimientos que implican la extirpación parcial o total de los genitales externos femeninos u otra lesión de los órganos genitales femeninos por razones no médicas»</w:t>
      </w:r>
      <w:r>
        <w:t xml:space="preserve"> [original: «Female genital mutilation (FGM) comprises all procedures that involve partial or total removal of the external female genitalia, or other injury to the female genital organs for non-medical reasons.»]</w:t>
      </w:r>
      <w:r>
        <w:t>, y calcula que «más de 230 millones de niñas y mujeres vivas hoy» la han sufrido, sobre todo siendo niñas «entre la infancia y los 15 años»</w:t>
      </w:r>
      <w:r>
        <w:t xml:space="preserve"> [original: «More than 230 million girls and women alive today have undergone female genital mutilation»; «mostly carried out on young girls between infancy and age 15»]</w:t>
      </w:r>
      <w:r>
        <w:t xml:space="preserve"> (OMS, hoja informativa «Female genital mutilation», 31 de enero de 2025)</w:t>
      </w:r>
      <w:r>
        <w:br/>
      </w:r>
      <w:r>
        <w:rPr>
          <w:b/>
        </w:rPr>
        <w:t>leída en su fuente · OMS, hoja informativa «Female genital mutilation», 31 de enero de 2025</w:t>
      </w:r>
      <w:r>
        <w:br/>
      </w:r>
      <w:r>
        <w:rPr>
          <w:b/>
        </w:rPr>
        <w:t>Archivo leído:</w:t>
      </w:r>
      <w:r>
        <w:t xml:space="preserve"> who_fact_sheet_female_genital_mutilation.txt (flecos_9oct\costumbre\who_fact_sheet_female_genital_mutilation.txt) · contraste del archivo de pasajes: ✔</w:t>
      </w:r>
      <w:r>
        <w:br/>
      </w:r>
      <w:r>
        <w:rPr>
          <w:b/>
        </w:rPr>
        <w:t>Lugar:</w:t>
      </w:r>
      <w:r>
        <w:t xml:space="preserve"> OMS, hoja informativa «Female genital mutilation», 31 de enero de 2025</w:t>
      </w:r>
      <w:r>
        <w:br/>
      </w:r>
      <w:r>
        <w:rPr>
          <w:b/>
        </w:rPr>
        <w:t>Tal como está en la fuente:</w:t>
      </w:r>
      <w:r>
        <w:t xml:space="preserve"> More than 230 million girls and women alive today have undergone female genital mutilation</w:t>
      </w:r>
      <w:r>
        <w:t>. Es una práctica muy extendida y no pasa la vara: daña a quien la sufre, casi siempre una niña, sin su consentimiento. La OMS dice que es «una violación de los derechos humanos de las niñas y las mujeres»</w:t>
      </w:r>
      <w:r>
        <w:t xml:space="preserve"> [original: «a violation of the human rights of girls and women»]</w:t>
      </w:r>
      <w:r>
        <w:t>, y la Asamblea General de la ONU instó en 2012 a los Estados a «adoptar todas las medidas necesarias, incluida la promulgación y aplicación de leyes, para prohibir» esas mutilaciones</w:t>
      </w:r>
      <w:r>
        <w:t xml:space="preserve"> [original: «take all necessary measures, including enacting and enforcing legislation, to prohibit female genital mutilations»]</w:t>
      </w:r>
      <w:r>
        <w:t xml:space="preserve"> (ONU, resolución A/RES/67/146, 20 de diciembre de 2012, párrafo 4)</w:t>
      </w:r>
      <w:r>
        <w:t>. Se habla de la práctica, nunca de un pueblo ni de una región.</w:t>
      </w:r>
    </w:p>
    <w:p>
      <w:r>
        <w:rPr>
          <w:b/>
        </w:rPr>
        <w:t>Lectura del autor</w:t>
      </w:r>
      <w:r>
        <w:t xml:space="preserve"> (palabras del autor, 9-oct-2026; es lectura, no dato): son ejemplos de la ley de la costumbre que la gente entiende de golpe: lo que se repite, y hasta lo que un pueblo tiene por honroso, no es por eso ley. La costumbre vale cuando converge entre tradiciones y pasa la vara; estas dos no la pasan.</w:t>
      </w:r>
    </w:p>
    <w:p>
      <w:r>
        <w:rPr>
          <w:b/>
        </w:rPr>
        <w:t>La costumbre sigue viva, y el propio Estado ha tenido que reconocerla:</w:t>
      </w:r>
    </w:p>
    <w:p>
      <w:pPr>
        <w:pStyle w:val="ListBullet"/>
      </w:pPr>
      <w:r>
        <w:rPr>
          <w:b/>
        </w:rPr>
        <w:t>El Tribunal de las Aguas de la Vega de Valencia</w:t>
      </w:r>
      <w:r>
        <w:t xml:space="preserve"> se reúne «todos los jueves» ante «la puerta de los Apóstoles» de la catedral para juzgar los conflictos de riego. El juicio es oral y en valenciano; la sentencia se pone después por escrito, «muy sucintamente», y «los fallos son inapelables»</w:t>
      </w:r>
      <w:r>
        <w:t xml:space="preserve"> (Decreto 73/2006 de la Generalitat Valenciana, publicado en el BOE de 19-9-2006)</w:t>
      </w:r>
      <w:r>
        <w:br/>
      </w:r>
      <w:r>
        <w:rPr>
          <w:b/>
        </w:rPr>
        <w:t>pasaje guardado</w:t>
      </w:r>
      <w:r>
        <w:br/>
      </w:r>
      <w:r>
        <w:rPr>
          <w:b/>
        </w:rPr>
        <w:t>Archivo leído:</w:t>
      </w:r>
      <w:r>
        <w:t xml:space="preserve"> 02.00-6.1_BOE_2006-09-19_Decreto_73-2006_BIC_Tribunal_de_las_Aguas.pdf (flecos\02.00-6.1_BOE_2006-09-19_Decreto_73-2006_BIC_Tribunal_de_las_Aguas.pdf) · contraste del archivo de pasajes: ✔</w:t>
      </w:r>
      <w:r>
        <w:br/>
      </w:r>
      <w:r>
        <w:rPr>
          <w:b/>
        </w:rPr>
        <w:t>Lugar:</w:t>
      </w:r>
      <w:r>
        <w:t xml:space="preserve"> Decreto 73/2006 de la Generalitat Valenciana, publicado en el BOE de 19-9-2006</w:t>
      </w:r>
      <w:r>
        <w:br/>
      </w:r>
      <w:r>
        <w:rPr>
          <w:b/>
        </w:rPr>
        <w:t>Tal como está en la fuente:</w:t>
      </w:r>
      <w:r>
        <w:t xml:space="preserve"> los fallos son inapelables</w:t>
      </w:r>
      <w:r>
        <w:t>. En 2009, la UNESCO lo inscribió, junto con el Consejo de Hombres Buenos de Murcia, en la Lista Representativa del Patrimonio Cultural Inmaterial de la Humanidad</w:t>
      </w:r>
      <w:r>
        <w:t xml:space="preserve"> [original: «Inscribes Irrigators’ tribunals of the Spanish Mediterranean coast: the Council of Wise Men of the plain of Murcia and the Water Tribunal of the plain of Valencia on the Representative List of the Intangible Cultural Heritage of Humanity»]</w:t>
      </w:r>
      <w:r>
        <w:t xml:space="preserve"> (UNESCO, decisión 4.COM 13.70, 2009)</w:t>
      </w:r>
      <w:r>
        <w:t>. La ley le reconoce «el carácter de Tribunal consuetudinario y tradicional», igual que al Consejo de Hombres Buenos de Murcia</w:t>
      </w:r>
      <w:r>
        <w:t xml:space="preserve"> (Ley Orgánica del Poder Judicial, art. 19)</w:t>
      </w:r>
      <w:r>
        <w:t>. En 2021 se añadieron el Juzgado Privativo de Aguas de Orihuela y el Tribunal del Comuner del Rollet de Gràcia de l'Horta d'Aldaia</w:t>
      </w:r>
      <w:r>
        <w:t xml:space="preserve"> (Ley Orgánica 10/2021)</w:t>
      </w:r>
      <w:r>
        <w:t>. La Constitución abre esa puerta: la participación ciudadana en la justicia «en los Tribunales consuetudinarios y tradicionales»</w:t>
      </w:r>
      <w:r>
        <w:t xml:space="preserve"> (Constitución, art. 125)</w:t>
      </w:r>
      <w:r>
        <w:br/>
      </w:r>
      <w:r>
        <w:rPr>
          <w:b/>
        </w:rPr>
        <w:t>leída en su fuente · Constitución, art. 125</w:t>
      </w:r>
      <w:r>
        <w:br/>
      </w:r>
      <w:r>
        <w:rPr>
          <w:b/>
        </w:rPr>
        <w:t>Archivo leído:</w:t>
      </w:r>
      <w:r>
        <w:t xml:space="preserve"> 12.00_13.00_BOE_LOPJ_LO_6-1985_consolidada.html (ant\c1\ce.html) · contraste del archivo de pasajes: ✔</w:t>
      </w:r>
      <w:r>
        <w:br/>
      </w:r>
      <w:r>
        <w:rPr>
          <w:b/>
        </w:rPr>
        <w:t>Lugar:</w:t>
      </w:r>
      <w:r>
        <w:t xml:space="preserve"> CC art. 1.3</w:t>
      </w:r>
      <w:r>
        <w:br/>
      </w:r>
      <w:r>
        <w:rPr>
          <w:b/>
        </w:rPr>
        <w:t>Dirección:</w:t>
      </w:r>
      <w:r>
        <w:t xml:space="preserve"> </w:t>
      </w:r>
      <w:r>
        <w:t>https://www.boe.es/buscar/act.php?id=BOE-A-1889-4763#a1</w:t>
      </w:r>
      <w:r>
        <w:t xml:space="preserve"> ; </w:t>
      </w:r>
      <w:r>
        <w:t>https://www.boe.es/buscar/act.php?id=BOE-A-1978-31229#a125</w:t>
      </w:r>
      <w:r>
        <w:t xml:space="preserve"> ; </w:t>
      </w:r>
      <w:r>
        <w:t>https://www.boe.es/buscar/act.php?id=BOE-A-1985-12666#adiecinueve</w:t>
      </w:r>
      <w:r>
        <w:br/>
      </w:r>
      <w:r>
        <w:rPr>
          <w:b/>
        </w:rPr>
        <w:t>Tal como está en la fuente:</w:t>
      </w:r>
      <w:r>
        <w:t xml:space="preserve"> …así como en los Tribunales consuetudinarios y tradicionales.</w:t>
      </w:r>
      <w:r>
        <w:t>.</w:t>
      </w:r>
    </w:p>
    <w:p>
      <w:pPr>
        <w:pStyle w:val="ListBullet"/>
      </w:pPr>
      <w:r>
        <w:rPr>
          <w:b/>
        </w:rPr>
        <w:t>Los fueros.</w:t>
      </w:r>
      <w:r>
        <w:t xml:space="preserve"> Cuando el Estado quiso unificar el derecho civil en un solo código, en 1889, no pudo: los territorios con derecho foral lo conservaron «por ahora en toda su integridad»</w:t>
      </w:r>
      <w:r>
        <w:t xml:space="preserve"> (Código Civil de 1889, art. 12, Gaceta de Madrid de 25-7-1889)</w:t>
      </w:r>
      <w:r>
        <w:br/>
      </w:r>
      <w:r>
        <w:rPr>
          <w:b/>
        </w:rPr>
        <w:t>leída en su fuente · Código Civil de 1889, art. 12, Gaceta de Madrid de 25-7-1889</w:t>
      </w:r>
      <w:r>
        <w:br/>
      </w:r>
      <w:r>
        <w:rPr>
          <w:b/>
        </w:rPr>
        <w:t>Archivo leído:</w:t>
      </w:r>
      <w:r>
        <w:t xml:space="preserve"> codigo_civil_1889_texto_original_BOE-A-1889-4763.html (c9i\codigo_civil_1889_texto_original_BOE-A-1889-4763.html) · contraste del archivo de pasajes: ✔</w:t>
      </w:r>
      <w:r>
        <w:br/>
      </w:r>
      <w:r>
        <w:rPr>
          <w:b/>
        </w:rPr>
        <w:t>Lugar:</w:t>
      </w:r>
      <w:r>
        <w:t xml:space="preserve"> Código Civil de 1889, art. 12, Gaceta de Madrid de 25-7-1889</w:t>
      </w:r>
      <w:r>
        <w:br/>
      </w:r>
      <w:r>
        <w:rPr>
          <w:b/>
        </w:rPr>
        <w:t>Tal como está en la fuente:</w:t>
      </w:r>
      <w:r>
        <w:t xml:space="preserve"> por ahora en toda su integridad</w:t>
      </w:r>
      <w:r>
        <w:t>. La ley que lo preparó los nombra: «Aragón, Baleares, Cataluña, Galicia, Navarra y Provincias Vascas»</w:t>
      </w:r>
      <w:r>
        <w:t xml:space="preserve"> (Ley de Bases de 11 de mayo de 1888)</w:t>
      </w:r>
      <w:r>
        <w:br/>
      </w:r>
      <w:r>
        <w:rPr>
          <w:b/>
        </w:rPr>
        <w:t>pasaje guardado · Ley de Bases de 11 de mayo de 1888</w:t>
      </w:r>
      <w:r>
        <w:br/>
      </w:r>
      <w:r>
        <w:rPr>
          <w:b/>
        </w:rPr>
        <w:t>Archivo leído:</w:t>
      </w:r>
      <w:r>
        <w:t xml:space="preserve"> 02.00-9.1_Gaceta_1888-05-22_Ley_de_Bases_Codigo_Civil_11-05-1888.pdf (flecos\02.00-9.1_Gaceta_1888-05-22_Ley_de_Bases_Codigo_Civil_11-05-1888.pdf) · contraste del archivo de pasajes: parcial</w:t>
      </w:r>
      <w:r>
        <w:br/>
      </w:r>
      <w:r>
        <w:rPr>
          <w:b/>
        </w:rPr>
        <w:t>Lugar:</w:t>
      </w:r>
      <w:r>
        <w:t xml:space="preserve"> Ley de Bases de 11 de mayo de 1888</w:t>
      </w:r>
      <w:r>
        <w:br/>
      </w:r>
      <w:r>
        <w:rPr>
          <w:b/>
        </w:rPr>
        <w:t>Tal como está en la fuente:</w:t>
      </w:r>
      <w:r>
        <w:t xml:space="preserve"> Aragón, Baleares, Cataluña, Galicia, Navarra y Provincias Vascas</w:t>
      </w:r>
      <w:r>
        <w:t>. La Constitución «ampara y respeta los derechos históricos de los territorios forales»</w:t>
      </w:r>
      <w:r>
        <w:t xml:space="preserve"> (Constitución, disposición adicional primera)</w:t>
      </w:r>
      <w:r>
        <w:br/>
      </w:r>
      <w:r>
        <w:rPr>
          <w:b/>
        </w:rPr>
        <w:t>leída en su fuente · Constitución, disposición adicional primera</w:t>
      </w:r>
      <w:r>
        <w:br/>
      </w:r>
      <w:r>
        <w:rPr>
          <w:b/>
        </w:rPr>
        <w:t>Archivo leído:</w:t>
      </w:r>
      <w:r>
        <w:t xml:space="preserve"> ce.html (ant\c1\ce.html) · contraste del archivo de pasajes: ✔</w:t>
      </w:r>
      <w:r>
        <w:br/>
      </w:r>
      <w:r>
        <w:rPr>
          <w:b/>
        </w:rPr>
        <w:t>Lugar:</w:t>
      </w:r>
      <w:r>
        <w:t xml:space="preserve"> Constitución, disposición adicional primera</w:t>
      </w:r>
      <w:r>
        <w:br/>
      </w:r>
      <w:r>
        <w:rPr>
          <w:b/>
        </w:rPr>
        <w:t>Tal como está en la fuente:</w:t>
      </w:r>
      <w:r>
        <w:t xml:space="preserve"> ampara y respeta los derechos históricos de los territorios forales</w:t>
      </w:r>
      <w:r>
        <w:t>.</w:t>
      </w:r>
    </w:p>
    <w:p>
      <w:pPr>
        <w:pStyle w:val="ListBullet"/>
      </w:pPr>
      <w:r>
        <w:rPr>
          <w:b/>
        </w:rPr>
        <w:t>El Tratado de las Tres Vacas.</w:t>
      </w:r>
      <w:r>
        <w:t xml:space="preserve"> La sentencia de Ansó, de 13 de octubre de 1375, puso fin a las guerras de pastores de los valles de Roncal (Navarra) y Baretous (Bearne, Francia): de las muertes, que «quedasen las unas por las otras», y el tributo de las tres vacas, «perpetuamente […] el día trece de julio de cada un año». Desde entonces se cumple cada año. El original se perdió en un incendio: se lee en la copia que publicó Fairén Guillén en 1946 (fuente secundaria).</w:t>
      </w:r>
    </w:p>
    <w:p>
      <w:pPr>
        <w:pStyle w:val="ListBullet"/>
      </w:pPr>
      <w:r>
        <w:rPr>
          <w:b/>
        </w:rPr>
        <w:t>El derecho del mar y del comercio.</w:t>
      </w:r>
      <w:r>
        <w:t xml:space="preserve"> El privilegio de 1283 que creó el Consolat de Mar de Valencia mandaba resolver los pleitos de la gente del mar y de los mercaderes «según la costumbre del mar»</w:t>
      </w:r>
      <w:r>
        <w:t xml:space="preserve"> [original: «juxta consuetudinem maris»]</w:t>
      </w:r>
      <w:r>
        <w:t xml:space="preserve"> (privilegio de Pedro III, 1283, citado por Pardessus, 1839, y Capmany, 1791)</w:t>
      </w:r>
      <w:r>
        <w:br/>
      </w:r>
      <w:r>
        <w:rPr>
          <w:b/>
        </w:rPr>
        <w:t>leída en su fuente · privilegio de Pedro III, 1283, citado por Pardessus, 1839, y Capmany, 1791</w:t>
      </w:r>
      <w:r>
        <w:br/>
      </w:r>
      <w:r>
        <w:rPr>
          <w:b/>
        </w:rPr>
        <w:t>Archivo leído:</w:t>
      </w:r>
      <w:r>
        <w:t xml:space="preserve"> 02.00-4.2_Pardessus_Collection_lois_maritimes_t2_1831_djvu.txt (flecos\02.00-4.2_Pardessus_Collection_lois_maritimes_t2_1831_djvu.txt) · contraste del archivo de pasajes: ✔</w:t>
      </w:r>
      <w:r>
        <w:br/>
      </w:r>
      <w:r>
        <w:rPr>
          <w:b/>
        </w:rPr>
        <w:t>Lugar:</w:t>
      </w:r>
      <w:r>
        <w:t xml:space="preserve"> privilegio de Pedro III, 1283, citado por Pardessus, 1839, y Capmany, 1791</w:t>
      </w:r>
      <w:r>
        <w:br/>
      </w:r>
      <w:r>
        <w:rPr>
          <w:b/>
        </w:rPr>
        <w:t>Tal como está en la fuente:</w:t>
      </w:r>
      <w:r>
        <w:t xml:space="preserve"> juxta consuetudinem maris</w:t>
      </w:r>
      <w:r>
        <w:t>. Su Llibre, de fecha y autor inciertos, obtuvo autoridad «en todos los países marítimos»</w:t>
      </w:r>
      <w:r>
        <w:t xml:space="preserve"> [original: «dans tous les pays maritimes»]</w:t>
      </w:r>
      <w:r>
        <w:t xml:space="preserve"> (Pardessus, Collection de lois maritimes, t. II, 1831)</w:t>
      </w:r>
      <w:r>
        <w:br/>
      </w:r>
      <w:r>
        <w:rPr>
          <w:b/>
        </w:rPr>
        <w:t>leída en su fuente · Pardessus, Collection de lois maritimes, t. II, 1831</w:t>
      </w:r>
      <w:r>
        <w:br/>
      </w:r>
      <w:r>
        <w:rPr>
          <w:b/>
        </w:rPr>
        <w:t>Archivo leído:</w:t>
      </w:r>
      <w:r>
        <w:t xml:space="preserve"> 02.00-4.2_Pardessus_Collection_lois_maritimes_t2_1831_djvu.txt (flecos\02.00-4.2_Pardessus_Collection_lois_maritimes_t2_1831_djvu.txt) · contraste del archivo de pasajes: ✔</w:t>
      </w:r>
      <w:r>
        <w:br/>
      </w:r>
      <w:r>
        <w:rPr>
          <w:b/>
        </w:rPr>
        <w:t>Lugar:</w:t>
      </w:r>
      <w:r>
        <w:t xml:space="preserve"> Pardessus, Collection de lois maritimes, t. II, 1831</w:t>
      </w:r>
      <w:r>
        <w:br/>
      </w:r>
      <w:r>
        <w:rPr>
          <w:b/>
        </w:rPr>
        <w:t>Tal como está en la fuente:</w:t>
      </w:r>
      <w:r>
        <w:t xml:space="preserve"> dans tous les pays maritimes</w:t>
      </w:r>
      <w:r>
        <w:t>. Y un tratado medieval de derecho mercantil empieza así: «la ley mercantil procede del mercado»</w:t>
      </w:r>
      <w:r>
        <w:t xml:space="preserve"> [original: «Lex mercatoria a mercato peruenire sentitur»]</w:t>
      </w:r>
      <w:r>
        <w:t>, y rige en las ciudades, las ferias, los puertos de mar, las villas mercantiles y los burgos</w:t>
      </w:r>
      <w:r>
        <w:t xml:space="preserve"> (Lex mercatoria, en el Libro Rojo de Bristol, edición de Bickley, 1900)</w:t>
      </w:r>
      <w:r>
        <w:t>.</w:t>
      </w:r>
    </w:p>
    <w:p>
      <w:r>
        <w:t>El Estado no creó estos tribunales ni estos pactos: solo pudo reconocer que existían desde antes.</w:t>
      </w:r>
    </w:p>
    <w:p>
      <w:r>
        <w:t>[02.00-3.1, 4.1, 4.2, 6.1, 7.1 a 7.6, 8.1, 8.2 y 9.1; Constitución y Ley Orgánica del Poder Judicial leídas en el BOE; el decreto de 2006, la UNESCO, la Gaceta de 1888 y 1889, Fairén, Pardessus, Capmany y el Libro Rojo de Bristol, leídos el 5-oct]</w:t>
      </w:r>
    </w:p>
    <w:p>
      <w:r>
        <w:rPr>
          <w:b/>
        </w:rPr>
        <w:t>Lectura del autor, un ejemplo de costumbre que no pasa la vara: la moneda.</w:t>
      </w:r>
      <w:r>
        <w:t xml:space="preserve"> Una costumbre puede ser un error que se asume por el uso. El dinero pasó de valer por el oro que lo respaldaba a valer por la confianza: el 15 de agosto de 1971 se anunció como «temporal» la suspensión de la convertibilidad del dólar en oro, y lo temporal no se revirtió (</w:t>
      </w:r>
      <w:r>
        <w:t>8.1</w:t>
      </w:r>
      <w:r>
        <w:t>). Desde entonces el dinero vale por lo que la ley declara, su «curso legal», y por la confianza de la gente (</w:t>
      </w:r>
      <w:r>
        <w:t>5.1</w:t>
      </w:r>
      <w:r>
        <w:t>). Se acepta por el uso y no por consentimiento: nadie fue consultado, y la presunción ocupa el lugar del consentimiento (</w:t>
      </w:r>
      <w:r>
        <w:t>5.4</w:t>
      </w:r>
      <w:r>
        <w:t>). La obra no juzga si fue premeditado, casual o causal: no hace falta probar una intención para ver el efecto (</w:t>
      </w:r>
      <w:r>
        <w:t>8.1</w:t>
      </w:r>
      <w:r>
        <w:t>). Lo que sí hace es medirlo como cualquier costumbre, con la vara (</w:t>
      </w:r>
      <w:r>
        <w:t>0.5</w:t>
      </w:r>
      <w:r>
        <w:t>): las tradiciones piden pesas y medidas justas (</w:t>
      </w:r>
      <w:r>
        <w:t>3.2</w:t>
      </w:r>
      <w:r>
        <w:t>), y una medida que encoge sin que nadie lo decida no pasa. Para el autor, es la ley hecha por los hombres sostenida por la costumbre, y en el plan divino esto no cabía.</w:t>
      </w:r>
    </w:p>
    <w:p>
      <w:r>
        <w:t>Y hay una ironía: si el dinero vale por la confianza y pierde valor continuamente con la inflación, lo que se pierde continuamente es la confianza. Con precios de agosto de 2026, un dólar compra algo más del 12 % de lo que compraba en 1971 (</w:t>
      </w:r>
      <w:r>
        <w:t>8.1</w:t>
      </w:r>
      <w:r>
        <w:t>). Para el autor, un chiste y un juego (</w:t>
      </w:r>
      <w:r>
        <w:t>4.3</w:t>
      </w:r>
      <w:r>
        <w:t xml:space="preserve">). Los hechos de hoy, los que cualquiera puede ver, están en </w:t>
      </w:r>
      <w:r>
        <w:t>8.1</w:t>
      </w:r>
      <w:r>
        <w:t xml:space="preserve"> (el dinero y la deuda), en </w:t>
      </w:r>
      <w:r>
        <w:t>8.4</w:t>
      </w:r>
      <w:r>
        <w:t xml:space="preserve"> (la carga) y en </w:t>
      </w:r>
      <w:r>
        <w:t>8.10</w:t>
      </w:r>
      <w:r>
        <w:t xml:space="preserve"> (la salud y la familia).</w:t>
      </w:r>
    </w:p>
    <w:p>
      <w:r>
        <w:t>[palabras de Kiko, 9-oct-2026; 5.1, 5.4, 8.1 y 8.4; borrador B9]</w:t>
      </w:r>
    </w:p>
    <w:p>
      <w:pPr>
        <w:pStyle w:val="Heading2"/>
      </w:pPr>
      <w:r>
        <w:t>1.6 La ley escrita, y cuándo una ley deja de serlo</w:t>
      </w:r>
    </w:p>
    <w:p>
      <w:pPr>
        <w:pBdr>
          <w:left w:val="single" w:sz="24" w:space="6" w:color="E2DED6"/>
        </w:pBdr>
        <w:shd w:val="clear" w:color="auto" w:fill="F1EEE8"/>
        <w:spacing w:before="80" w:after="160"/>
        <w:ind w:left="142" w:right="142"/>
      </w:pPr>
      <w:r>
        <w:rPr>
          <w:b/>
        </w:rPr>
        <w:t>La idea: una ley es ley si nace de la razón, busca el bien común, la dicta quien tiene autoridad y se da a conocer. La ley injusta no es ley.</w:t>
      </w:r>
    </w:p>
    <w:p>
      <w:r>
        <w:rPr>
          <w:b/>
        </w:rPr>
        <w:t>Cuándo una ley es ley.</w:t>
      </w:r>
      <w:r>
        <w:t xml:space="preserve"> Aquino la define así: «una ordenación de la razón al bien común, promulgada por quien tiene a su cargo la comunidad»</w:t>
      </w:r>
      <w:r>
        <w:t xml:space="preserve"> [original: «quaedam rationis ordinatio ad bonum commune, ab eo qui curam communitatis habet, promulgata»]</w:t>
      </w:r>
      <w:r>
        <w:t xml:space="preserve"> (Suma teológica I-II, q. 90, a. 4)</w:t>
      </w:r>
      <w:r>
        <w:br/>
      </w:r>
      <w:r>
        <w:rPr>
          <w:b/>
        </w:rPr>
        <w:t>leída en su fuente · Suma teológica I-II, q. 90, a. 4</w:t>
      </w:r>
      <w:r>
        <w:br/>
      </w:r>
      <w:r>
        <w:rPr>
          <w:b/>
        </w:rPr>
        <w:t>Archivo leído:</w:t>
      </w:r>
      <w:r>
        <w:t xml:space="preserve"> sth2090.html (ant\c1\sth2090.html) · contraste del archivo de pasajes: ✔</w:t>
      </w:r>
      <w:r>
        <w:br/>
      </w:r>
      <w:r>
        <w:rPr>
          <w:b/>
        </w:rPr>
        <w:t>Lugar:</w:t>
      </w:r>
      <w:r>
        <w:t xml:space="preserve"> Suma teológica I-II, q. 90, a. 4</w:t>
      </w:r>
      <w:r>
        <w:br/>
      </w:r>
      <w:r>
        <w:rPr>
          <w:b/>
        </w:rPr>
        <w:t>Tal como está en la fuente:</w:t>
      </w:r>
      <w:r>
        <w:t xml:space="preserve"> quaedam rationis ordinatio ad bonum commune, ab eo qui curam communitatis habet, promulgata</w:t>
      </w:r>
      <w:r>
        <w:t>. Son cuatro condiciones, y ninguna sobra:</w:t>
      </w:r>
    </w:p>
    <w:p>
      <w:pPr>
        <w:spacing w:after="60"/>
        <w:ind w:left="510" w:hanging="397"/>
      </w:pPr>
      <w:r>
        <w:rPr>
          <w:b w:val="0"/>
        </w:rPr>
        <w:t xml:space="preserve">1. </w:t>
      </w:r>
      <w:r>
        <w:t>que sea obra de la razón;</w:t>
      </w:r>
    </w:p>
    <w:p>
      <w:pPr>
        <w:spacing w:after="60"/>
        <w:ind w:left="510" w:hanging="397"/>
      </w:pPr>
      <w:r>
        <w:rPr>
          <w:b w:val="0"/>
        </w:rPr>
        <w:t xml:space="preserve">2. </w:t>
      </w:r>
      <w:r>
        <w:t>que se dirija al bien común;</w:t>
      </w:r>
    </w:p>
    <w:p>
      <w:pPr>
        <w:spacing w:after="60"/>
        <w:ind w:left="510" w:hanging="397"/>
      </w:pPr>
      <w:r>
        <w:rPr>
          <w:b w:val="0"/>
        </w:rPr>
        <w:t xml:space="preserve">3. </w:t>
      </w:r>
      <w:r>
        <w:t>que la dicte quien tiene a su cargo la comunidad;</w:t>
      </w:r>
    </w:p>
    <w:p>
      <w:pPr>
        <w:spacing w:after="60"/>
        <w:ind w:left="510" w:hanging="397"/>
      </w:pPr>
      <w:r>
        <w:rPr>
          <w:b w:val="0"/>
        </w:rPr>
        <w:t xml:space="preserve">4. </w:t>
      </w:r>
      <w:r>
        <w:t>que se dé a conocer.</w:t>
      </w:r>
    </w:p>
    <w:p>
      <w:r>
        <w:t>[11.00-2.1; Aquino leído en latín]</w:t>
      </w:r>
    </w:p>
    <w:p>
      <w:r>
        <w:rPr>
          <w:b/>
        </w:rPr>
        <w:t>Cómo nace de la ley natural.</w:t>
      </w:r>
      <w:r>
        <w:t xml:space="preserve"> Por dos vías</w:t>
      </w:r>
      <w:r>
        <w:t xml:space="preserve"> (Suma teológica I-II, q. 95, a. 2)</w:t>
      </w:r>
      <w:r>
        <w:t>:</w:t>
      </w:r>
    </w:p>
    <w:p>
      <w:pPr>
        <w:pStyle w:val="ListBullet"/>
      </w:pPr>
      <w:r>
        <w:rPr>
          <w:b/>
        </w:rPr>
        <w:t>como conclusión</w:t>
      </w:r>
      <w:r>
        <w:t xml:space="preserve"> [original: «per modum conclusionum»]</w:t>
      </w:r>
      <w:r>
        <w:t>: de «no hacer mal a nadie»</w:t>
      </w:r>
      <w:r>
        <w:t xml:space="preserve"> [original: «nulli esse malum faciendum»]</w:t>
      </w:r>
      <w:r>
        <w:t xml:space="preserve"> se sigue «no matar»</w:t>
      </w:r>
      <w:r>
        <w:t xml:space="preserve"> [original: «non esse occidendum»]</w:t>
      </w:r>
      <w:r>
        <w:t>;</w:t>
      </w:r>
    </w:p>
    <w:p>
      <w:pPr>
        <w:pStyle w:val="ListBullet"/>
      </w:pPr>
      <w:r>
        <w:rPr>
          <w:b/>
        </w:rPr>
        <w:t>como determinación</w:t>
      </w:r>
      <w:r>
        <w:t xml:space="preserve"> [original: «per modum determinationis»]</w:t>
      </w:r>
      <w:r>
        <w:t>: la ley natural manda que quien hace el mal sea castigado, pero no dice con qué pena; eso lo fija la ley humana.</w:t>
      </w:r>
    </w:p>
    <w:p>
      <w:r>
        <w:t xml:space="preserve">Casi todo el derecho escrito vive en ese margen de la determinación. </w:t>
      </w:r>
      <w:r>
        <w:t>[11.00-3.1; Aquino leído en latín]</w:t>
      </w:r>
    </w:p>
    <w:p>
      <w:r>
        <w:rPr>
          <w:b/>
        </w:rPr>
        <w:t>Cuándo deja de serlo.</w:t>
      </w:r>
      <w:r>
        <w:t xml:space="preserve"> Aquino lo toma de san Agustín: «como dice Agustín en el libro I del Libre albedrío, no parece ser ley la que no fuera justa»</w:t>
      </w:r>
      <w:r>
        <w:t xml:space="preserve"> [original: «sicut Augustinus dicit, in I de Lib. Arb., non videtur esse lex, quae iusta non fuerit»]</w:t>
      </w:r>
      <w:r>
        <w:t xml:space="preserve"> (Suma teológica I-II, q. 95, a. 2)</w:t>
      </w:r>
      <w:r>
        <w:br/>
      </w:r>
      <w:r>
        <w:rPr>
          <w:b/>
        </w:rPr>
        <w:t>leída en su fuente · Suma teológica I-II, q. 95, a. 2</w:t>
      </w:r>
      <w:r>
        <w:br/>
      </w:r>
      <w:r>
        <w:rPr>
          <w:b/>
        </w:rPr>
        <w:t>Archivo leído:</w:t>
      </w:r>
      <w:r>
        <w:t xml:space="preserve"> 12.00_Aquino_Summa_I-II_q95-97_corpusthomisticum.html.txt (reparacion_citas\aquino_corpusthomisticum_sth2095.html; c6\_trabajo\txt\12.00_Aquino_Summa_I-II_q95-97_corpusthomisticum.html.txt) · contraste del archivo de pasajes: ✔</w:t>
      </w:r>
      <w:r>
        <w:br/>
      </w:r>
      <w:r>
        <w:rPr>
          <w:b/>
        </w:rPr>
        <w:t>Lugar:</w:t>
      </w:r>
      <w:r>
        <w:t xml:space="preserve"> Suma teológica I-II, q. 95, a. 2</w:t>
      </w:r>
      <w:r>
        <w:br/>
      </w:r>
      <w:r>
        <w:rPr>
          <w:b/>
        </w:rPr>
        <w:t>Tal como está en la fuente:</w:t>
      </w:r>
      <w:r>
        <w:t xml:space="preserve"> sicut Augustinus dicit, in I de Lib. Arb., non videtur esse lex, quae iusta non fuerit</w:t>
      </w:r>
      <w:r>
        <w:t xml:space="preserve">. De ahí la fórmula </w:t>
      </w:r>
      <w:r>
        <w:rPr>
          <w:i/>
        </w:rPr>
        <w:t>lex iniusta non est lex</w:t>
      </w:r>
      <w:r>
        <w:t xml:space="preserve"> (la ley injusta no es ley). </w:t>
      </w:r>
      <w:r>
        <w:t>[11.00-4.1; leído en Aquino]</w:t>
      </w:r>
    </w:p>
    <w:p>
      <w:r>
        <w:rPr>
          <w:b/>
        </w:rPr>
        <w:t>Las tres maneras de servir al hombre.</w:t>
      </w:r>
      <w:r>
        <w:t xml:space="preserve"> Aquino cuenta tres maneras de ser injusta una ley puesta por los hombres</w:t>
      </w:r>
      <w:r>
        <w:t xml:space="preserve"> (Suma teológica I-II, q. 96, a. 4)</w:t>
      </w:r>
      <w:r>
        <w:t>:</w:t>
      </w:r>
    </w:p>
    <w:p>
      <w:pPr>
        <w:pStyle w:val="ListBullet"/>
      </w:pPr>
      <w:r>
        <w:rPr>
          <w:b/>
        </w:rPr>
        <w:t>por el fin:</w:t>
      </w:r>
      <w:r>
        <w:t xml:space="preserve"> «cuando quien preside impone a los súbditos leyes onerosas que no se refieren a la utilidad común, sino más bien a su propia codicia o gloria»</w:t>
      </w:r>
      <w:r>
        <w:t xml:space="preserve"> [original: «vel ex fine, sicut cum aliquis praesidens leges imponit onerosas subditis non pertinentes ad utilitatem communem, sed magis ad propriam cupiditatem vel gloriam»]</w:t>
      </w:r>
      <w:r>
        <w:t>;</w:t>
      </w:r>
    </w:p>
    <w:p>
      <w:pPr>
        <w:pStyle w:val="ListBullet"/>
      </w:pPr>
      <w:r>
        <w:rPr>
          <w:b/>
        </w:rPr>
        <w:t>por el autor:</w:t>
      </w:r>
      <w:r>
        <w:t xml:space="preserve"> «cuando alguien dicta una ley más allá del poder que se le ha confiado»</w:t>
      </w:r>
      <w:r>
        <w:t xml:space="preserve"> [original: «vel etiam ex auctore, sicut cum aliquis legem fert ultra sibi commissam potestatem»]</w:t>
      </w:r>
      <w:r>
        <w:t>;</w:t>
      </w:r>
    </w:p>
    <w:p>
      <w:pPr>
        <w:pStyle w:val="ListBullet"/>
      </w:pPr>
      <w:r>
        <w:rPr>
          <w:b/>
        </w:rPr>
        <w:t>por la forma:</w:t>
      </w:r>
      <w:r>
        <w:t xml:space="preserve"> «cuando las cargas se reparten de manera desigual entre la multitud, aunque se ordenen al bien común»</w:t>
      </w:r>
      <w:r>
        <w:t xml:space="preserve"> [original: «vel etiam ex forma, puta cum inaequaliter onera multitudini dispensantur, etiam si ordinentur ad bonum commune»]</w:t>
      </w:r>
      <w:r>
        <w:t>.</w:t>
      </w:r>
    </w:p>
    <w:p>
      <w:r>
        <w:t>De ellas dice que «son más violencias que leyes»</w:t>
      </w:r>
      <w:r>
        <w:t xml:space="preserve"> [original: «magis sunt violentiae quam leges»]</w:t>
      </w:r>
      <w:r>
        <w:t>. Las justas, en cambio, «obligan en el foro de la conciencia»</w:t>
      </w:r>
      <w:r>
        <w:t xml:space="preserve"> [original: «obligant in foro conscientiae»]</w:t>
      </w:r>
      <w:r>
        <w:t xml:space="preserve">. El fin y el autor son, vistos del lado contrario, dos de las cuatro condiciones de arriba: el bien común y que la dicte quien tiene a su cargo la comunidad. </w:t>
      </w:r>
      <w:r>
        <w:t>[Aquino, I-II q. 96 a. 4, leído en latín; borrador B1, 9-oct]</w:t>
      </w:r>
    </w:p>
    <w:p>
      <w:r>
        <w:rPr>
          <w:b/>
        </w:rPr>
        <w:t>El propio Estado lo reconoce en sus palabras.</w:t>
      </w:r>
      <w:r>
        <w:t xml:space="preserve"> Según el Diccionario panhispánico del español jurídico, el Tribunal Supremo dejó escrito que «la Ley y el Reglamento nacen de lo que se constata como justo, porque reciben del valor superior justicia su savia y su esencia» (sentencia de 4 de marzo de 1999; fuente secundaria). Y los jueces tienen un mandato: «no aplicarán los reglamentos o cualquier otra disposición contrarios a la Constitución, a la ley o al principio de jerarquía normativa»</w:t>
      </w:r>
      <w:r>
        <w:t xml:space="preserve"> (Ley Orgánica del Poder Judicial, art. 6)</w:t>
      </w:r>
      <w:r>
        <w:br/>
      </w:r>
      <w:r>
        <w:rPr>
          <w:b/>
        </w:rPr>
        <w:t>leída en su fuente · Ley Orgánica del Poder Judicial, art. 6</w:t>
      </w:r>
      <w:r>
        <w:br/>
      </w:r>
      <w:r>
        <w:rPr>
          <w:b/>
        </w:rPr>
        <w:t>Archivo leído:</w:t>
      </w:r>
      <w:r>
        <w:t xml:space="preserve"> lopj.html (ant\c1\lopj.html) · contraste del archivo de pasajes: ✔</w:t>
      </w:r>
      <w:r>
        <w:br/>
      </w:r>
      <w:r>
        <w:rPr>
          <w:b/>
        </w:rPr>
        <w:t>Lugar:</w:t>
      </w:r>
      <w:r>
        <w:t xml:space="preserve"> Ley Orgánica del Poder Judicial, art. 6</w:t>
      </w:r>
      <w:r>
        <w:br/>
      </w:r>
      <w:r>
        <w:rPr>
          <w:b/>
        </w:rPr>
        <w:t>Tal como está en la fuente:</w:t>
      </w:r>
      <w:r>
        <w:t xml:space="preserve"> no aplicarán los reglamentos o cualquier otra disposición contrarios a la Constitución, a la ley o al principio de jerarquía normativa</w:t>
      </w:r>
      <w:r>
        <w:t xml:space="preserve">. </w:t>
      </w:r>
      <w:r>
        <w:t>[20.00-22.1 y 23.1; Ley Orgánica del Poder Judicial leída en el BOE]</w:t>
      </w:r>
    </w:p>
    <w:p>
      <w:r>
        <w:rPr>
          <w:b/>
        </w:rPr>
        <w:t>La fuerza no es fuente del derecho.</w:t>
      </w:r>
      <w:r>
        <w:t xml:space="preserve"> El Código Civil nombra tres fuentes: la ley, la costumbre y los principios generales</w:t>
      </w:r>
      <w:r>
        <w:t xml:space="preserve"> (Código Civil, art. 1.1)</w:t>
      </w:r>
      <w:r>
        <w:t>. La fuerza no está, porque nunca fue fuente: sirve para ejecutar lo que las fuentes ya establecieron.</w:t>
      </w:r>
    </w:p>
    <w:p>
      <w:pPr>
        <w:pStyle w:val="ListBullet"/>
      </w:pPr>
      <w:r>
        <w:t>Por eso la ley manda que la Administración no inicie «ninguna actuación material de ejecución de resoluciones que limite derechos de los particulares sin que previamente haya sido adoptada la resolución que le sirva de fundamento jurídico»</w:t>
      </w:r>
      <w:r>
        <w:t xml:space="preserve"> (Ley 39/2015, art. 97.1)</w:t>
      </w:r>
      <w:r>
        <w:br/>
      </w:r>
      <w:r>
        <w:rPr>
          <w:b/>
        </w:rPr>
        <w:t>leída en su fuente · Ley 39/2015, art. 97.1</w:t>
      </w:r>
      <w:r>
        <w:br/>
      </w:r>
      <w:r>
        <w:rPr>
          <w:b/>
        </w:rPr>
        <w:t>Archivo leído:</w:t>
      </w:r>
      <w:r>
        <w:t xml:space="preserve"> ley39_2015_procedimiento.html (c5\ley39_2015_procedimiento.html) · contraste del archivo de pasajes: ✔</w:t>
      </w:r>
      <w:r>
        <w:br/>
      </w:r>
      <w:r>
        <w:rPr>
          <w:b/>
        </w:rPr>
        <w:t>Lugar:</w:t>
      </w:r>
      <w:r>
        <w:t xml:space="preserve"> CE art. 103.1</w:t>
      </w:r>
      <w:r>
        <w:br/>
      </w:r>
      <w:r>
        <w:rPr>
          <w:b/>
        </w:rPr>
        <w:t>Dirección:</w:t>
      </w:r>
      <w:r>
        <w:t xml:space="preserve"> </w:t>
      </w:r>
      <w:r>
        <w:t>https://www.boe.es/buscar/act.php?id=BOE-A-1978-31229#a103</w:t>
      </w:r>
      <w:r>
        <w:t xml:space="preserve"> ; </w:t>
      </w:r>
      <w:r>
        <w:t>https://www.boe.es/buscar/act.php?id=BOE-A-2015-10565#a97</w:t>
      </w:r>
      <w:r>
        <w:br/>
      </w:r>
      <w:r>
        <w:rPr>
          <w:b/>
        </w:rPr>
        <w:t>Tal como está en la fuente:</w:t>
      </w:r>
      <w:r>
        <w:t xml:space="preserve"> Las Administraciones Públicas no iniciarán ninguna actuación material de ejecución de resoluciones que limite derechos de los particulares sin que previamente haya sido adoptada la resolución que le sirva de fundamento jurídico.</w:t>
      </w:r>
      <w:r>
        <w:t>. Primero el título, después la mano.</w:t>
      </w:r>
    </w:p>
    <w:p>
      <w:pPr>
        <w:pStyle w:val="ListBullet"/>
      </w:pPr>
      <w:r>
        <w:t>Cuando se hace al revés, el derecho lo llama vía de hecho, y da un remedio: el interesado puede requerir a la Administración, «intimando su cesación», y si en diez días no se atiende, ir directamente al juez</w:t>
      </w:r>
      <w:r>
        <w:t xml:space="preserve"> (Ley 29/1998, art. 30)</w:t>
      </w:r>
      <w:r>
        <w:t>.</w:t>
      </w:r>
    </w:p>
    <w:p>
      <w:pPr>
        <w:pStyle w:val="ListBullet"/>
      </w:pPr>
      <w:r>
        <w:t>Lo que se sostiene solo porque nadie lo ha discutido no es derecho: es un hecho a la espera de que alguien pregunte por su título.</w:t>
      </w:r>
    </w:p>
    <w:p>
      <w:r>
        <w:t>[02.00-22.1 a 22.6; leyes leídas en el BOE]</w:t>
      </w:r>
    </w:p>
    <w:p>
      <w:r>
        <w:rPr>
          <w:b/>
        </w:rPr>
        <w:t>Lectura del autor, un ejemplo:</w:t>
      </w:r>
      <w:r>
        <w:t xml:space="preserve"> el dinero sin respaldo es ley escrita, por su «curso legal»</w:t>
      </w:r>
      <w:r>
        <w:t xml:space="preserve"> (Ley 46/1998, art. 3)</w:t>
      </w:r>
      <w:r>
        <w:t xml:space="preserve">, sostenida por la costumbre; se explica en </w:t>
      </w:r>
      <w:r>
        <w:t>1.5</w:t>
      </w:r>
      <w:r>
        <w:t xml:space="preserve">, y sus hechos, en </w:t>
      </w:r>
      <w:r>
        <w:t>8.1</w:t>
      </w:r>
      <w:r>
        <w:t xml:space="preserve">. </w:t>
      </w:r>
      <w:r>
        <w:t>[palabras de Kiko, 9-oct-2026; borrador B9]</w:t>
      </w:r>
    </w:p>
    <w:p>
      <w:pPr>
        <w:pStyle w:val="Heading2"/>
      </w:pPr>
      <w:r>
        <w:t>1.7 Quién invirtió el orden</w:t>
      </w:r>
    </w:p>
    <w:p>
      <w:pPr>
        <w:pBdr>
          <w:left w:val="single" w:sz="24" w:space="6" w:color="E2DED6"/>
        </w:pBdr>
        <w:shd w:val="clear" w:color="auto" w:fill="F1EEE8"/>
        <w:spacing w:before="80" w:after="160"/>
        <w:ind w:left="142" w:right="142"/>
      </w:pPr>
      <w:r>
        <w:rPr>
          <w:b/>
        </w:rPr>
        <w:t>La idea: el orden lo invirtió, en 7 de 8 casos, quien tenía el poder de legislar: la parte que ganaba con el cambio.</w:t>
      </w:r>
    </w:p>
    <w:p>
      <w:r>
        <w:rPr>
          <w:b/>
        </w:rPr>
        <w:t>En lo primero, la tradición es casi unánime: ninguna ley humana vale contra la natural.</w:t>
      </w:r>
    </w:p>
    <w:p>
      <w:pPr>
        <w:pStyle w:val="ListBullet"/>
      </w:pPr>
      <w:r>
        <w:t>Antígona lo dijo frente al rey (</w:t>
      </w:r>
      <w:r>
        <w:t>1.4</w:t>
      </w:r>
      <w:r>
        <w:t>).</w:t>
      </w:r>
    </w:p>
    <w:p>
      <w:pPr>
        <w:pStyle w:val="ListBullet"/>
      </w:pPr>
      <w:r>
        <w:t>Isidoro: «las leyes divinas se fundan en la naturaleza; las humanas, en las costumbres»</w:t>
      </w:r>
      <w:r>
        <w:t xml:space="preserve"> [original: «divinae natura, humanae moribus constant»]</w:t>
      </w:r>
      <w:r>
        <w:t xml:space="preserve"> (Etimologías V, 2)</w:t>
      </w:r>
      <w:r>
        <w:br/>
      </w:r>
      <w:r>
        <w:rPr>
          <w:b/>
        </w:rPr>
        <w:t>leída en su fuente · Etimologías V, 2</w:t>
      </w:r>
      <w:r>
        <w:br/>
      </w:r>
      <w:r>
        <w:rPr>
          <w:b/>
        </w:rPr>
        <w:t>Archivo leído:</w:t>
      </w:r>
      <w:r>
        <w:t xml:space="preserve"> isid5.html (ant\c1\isid5.html) · contraste del archivo de pasajes: ✔</w:t>
      </w:r>
      <w:r>
        <w:br/>
      </w:r>
      <w:r>
        <w:rPr>
          <w:b/>
        </w:rPr>
        <w:t>Lugar:</w:t>
      </w:r>
      <w:r>
        <w:t xml:space="preserve"> Etimologías V, 2</w:t>
      </w:r>
      <w:r>
        <w:br/>
      </w:r>
      <w:r>
        <w:rPr>
          <w:b/>
        </w:rPr>
        <w:t>Tal como está en la fuente:</w:t>
      </w:r>
      <w:r>
        <w:t xml:space="preserve"> divinae natura, humanae moribus constant</w:t>
      </w:r>
      <w:r>
        <w:t>.</w:t>
      </w:r>
    </w:p>
    <w:p>
      <w:pPr>
        <w:pStyle w:val="ListBullet"/>
      </w:pPr>
      <w:r>
        <w:t>Aquino: la ley que se aparta de la natural es «corrupción de la ley» (</w:t>
      </w:r>
      <w:r>
        <w:t>1.1</w:t>
      </w:r>
      <w:r>
        <w:t>).</w:t>
      </w:r>
    </w:p>
    <w:p>
      <w:pPr>
        <w:pStyle w:val="ListBullet"/>
      </w:pPr>
      <w:r>
        <w:t>Blackstone (Inglaterra, 1765): ninguna ley humana tiene validez si es contraria a la ley de la naturaleza.</w:t>
      </w:r>
    </w:p>
    <w:p>
      <w:pPr>
        <w:pStyle w:val="ListBullet"/>
      </w:pPr>
      <w:r>
        <w:t>Las Leyes de Manu: el Veda va primero.</w:t>
      </w:r>
    </w:p>
    <w:p>
      <w:r>
        <w:t>[11.00-8.2; Isidoro leído en latín; libreta 58]</w:t>
      </w:r>
    </w:p>
    <w:p>
      <w:r>
        <w:rPr>
          <w:b/>
        </w:rPr>
        <w:t>En lo segundo, la costumbre frente a la ley escrita, hay dos corrientes.</w:t>
      </w:r>
      <w:r>
        <w:t xml:space="preserve"> Una pone la costumbre por encima (Juliano, Confucio, Aquino, Savigny y hoy Navarra; </w:t>
      </w:r>
      <w:r>
        <w:t>1.5</w:t>
      </w:r>
      <w:r>
        <w:t>). La otra pone la ley escrita por encima: Constantino decretó en el año 319 que la costumbre no vale tanto «como para vencer a la razón o a la ley»</w:t>
      </w:r>
      <w:r>
        <w:t xml:space="preserve"> [original: «non usque adeo sui valitura momento, ut aut rationem vincat aut legem»]</w:t>
      </w:r>
      <w:r>
        <w:t xml:space="preserve"> (Código de Justiniano 8.52.2)</w:t>
      </w:r>
      <w:r>
        <w:br/>
      </w:r>
      <w:r>
        <w:rPr>
          <w:b/>
        </w:rPr>
        <w:t>leída en su fuente · Código de Justiniano 8.52.2</w:t>
      </w:r>
      <w:r>
        <w:br/>
      </w:r>
      <w:r>
        <w:rPr>
          <w:b/>
        </w:rPr>
        <w:t>Archivo leído:</w:t>
      </w:r>
      <w:r>
        <w:t xml:space="preserve"> codex_iust_libro_8_grenoble.html (c9g\codex_iust_libro_8_grenoble.html) · contraste del archivo de pasajes: ✔</w:t>
      </w:r>
      <w:r>
        <w:br/>
      </w:r>
      <w:r>
        <w:rPr>
          <w:b/>
        </w:rPr>
        <w:t>Lugar:</w:t>
      </w:r>
      <w:r>
        <w:t xml:space="preserve"> Código de Justiniano 8.52.2</w:t>
      </w:r>
      <w:r>
        <w:br/>
      </w:r>
      <w:r>
        <w:rPr>
          <w:b/>
        </w:rPr>
        <w:t>Tal como está en la fuente:</w:t>
      </w:r>
      <w:r>
        <w:t xml:space="preserve"> non usque adeo sui valitura momento, ut aut rationem vincat aut legem</w:t>
      </w:r>
      <w:r>
        <w:t xml:space="preserve">. </w:t>
      </w:r>
      <w:r>
        <w:t>[11.00-8.3 y 8.4; libreta 58]</w:t>
      </w:r>
    </w:p>
    <w:p>
      <w:r>
        <w:rPr>
          <w:b/>
        </w:rPr>
        <w:t>Quién eligió cada corriente.</w:t>
      </w:r>
      <w:r>
        <w:t xml:space="preserve"> Al preguntar quién escribe cada una, aparece un patrón. En 7 de los 8 casos examinados, quien puso la ley escrita por encima de la costumbre era el que tenía el poder de legislar, o su teórico:</w:t>
      </w:r>
    </w:p>
    <w:p>
      <w:pPr>
        <w:pStyle w:val="ListBullet"/>
      </w:pPr>
      <w:r>
        <w:rPr>
          <w:b/>
        </w:rPr>
        <w:t>Constantino,</w:t>
      </w:r>
      <w:r>
        <w:t xml:space="preserve"> en el año 319.</w:t>
      </w:r>
    </w:p>
    <w:p>
      <w:pPr>
        <w:pStyle w:val="ListBullet"/>
      </w:pPr>
      <w:r>
        <w:rPr>
          <w:b/>
        </w:rPr>
        <w:t>El Estado de Qin,</w:t>
      </w:r>
      <w:r>
        <w:t xml:space="preserve"> en la China del siglo III a. C.</w:t>
      </w:r>
    </w:p>
    <w:p>
      <w:pPr>
        <w:pStyle w:val="ListBullet"/>
      </w:pPr>
      <w:r>
        <w:rPr>
          <w:b/>
        </w:rPr>
        <w:t>Alfonso XI,</w:t>
      </w:r>
      <w:r>
        <w:t xml:space="preserve"> en Alcalá (1348), que guardó los fueros «salvo en aquello que nos falláremos que se deve mejorar e emendar».</w:t>
      </w:r>
    </w:p>
    <w:p>
      <w:pPr>
        <w:pStyle w:val="ListBullet"/>
      </w:pPr>
      <w:r>
        <w:rPr>
          <w:b/>
        </w:rPr>
        <w:t>Bonaparte</w:t>
      </w:r>
      <w:r>
        <w:t xml:space="preserve"> (1804): las «costumbres generales o locales […] dejan de tener fuerza de ley»</w:t>
      </w:r>
      <w:r>
        <w:t xml:space="preserve"> [original: «les coutumes générales ou locales […] cessent d’avoir force de loi générale ou particulière»]</w:t>
      </w:r>
      <w:r>
        <w:t xml:space="preserve"> (Ley del 30 ventoso del año XII, art. 7, en el Code civil des Français, 1804)</w:t>
      </w:r>
      <w:r>
        <w:br/>
      </w:r>
      <w:r>
        <w:rPr>
          <w:b/>
        </w:rPr>
        <w:t>leída en su fuente · Ley del 30 ventoso del año XII, art. 7, en el Code civil des Français, 1804</w:t>
      </w:r>
      <w:r>
        <w:br/>
      </w:r>
      <w:r>
        <w:rPr>
          <w:b/>
        </w:rPr>
        <w:t>Archivo leído:</w:t>
      </w:r>
      <w:r>
        <w:t xml:space="preserve"> archive_Code_civil_1804_bub_gb_lrNMXyTCldcC_djvu.txt (reparacion_citas\archive_Code_civil_1804_bub_gb_lrNMXyTCldcC_djvu.txt) · contraste del archivo de pasajes: ✔</w:t>
      </w:r>
      <w:r>
        <w:br/>
      </w:r>
      <w:r>
        <w:rPr>
          <w:b/>
        </w:rPr>
        <w:t>Lugar:</w:t>
      </w:r>
      <w:r>
        <w:t xml:space="preserve"> Ley del 30 ventoso del año XII, art. 7, en el Code civil des Français, 1804</w:t>
      </w:r>
      <w:r>
        <w:br/>
      </w:r>
      <w:r>
        <w:rPr>
          <w:b/>
        </w:rPr>
        <w:t>Tal como está en la fuente:</w:t>
      </w:r>
      <w:r>
        <w:t xml:space="preserve"> les coutumes générales ou locales […] cessent d’avoir force de loi générale ou particulière</w:t>
      </w:r>
      <w:r>
        <w:t>.</w:t>
      </w:r>
    </w:p>
    <w:p>
      <w:pPr>
        <w:pStyle w:val="ListBullet"/>
      </w:pPr>
      <w:r>
        <w:rPr>
          <w:b/>
        </w:rPr>
        <w:t>El emperador de Austria</w:t>
      </w:r>
      <w:r>
        <w:t xml:space="preserve"> (1811): la costumbre solo cuenta «en los casos en que una ley se remite a ella»</w:t>
      </w:r>
      <w:r>
        <w:t xml:space="preserve"> [original: «in den Fällen, in welchen sich ein Gesetz darauf beruft»]</w:t>
      </w:r>
      <w:r>
        <w:t xml:space="preserve"> (Código Civil general austriaco (ABGB), § 10, en vigor desde el 1-1-1812; texto vigente en el RIS)</w:t>
      </w:r>
      <w:r>
        <w:br/>
      </w:r>
      <w:r>
        <w:rPr>
          <w:b/>
        </w:rPr>
        <w:t>leída en su fuente · Código Civil general austriaco (ABGB), § 10, en vigor desde el 1-1-1812; texto vigente en</w:t>
      </w:r>
      <w:r>
        <w:br/>
      </w:r>
      <w:r>
        <w:rPr>
          <w:b/>
        </w:rPr>
        <w:t>Archivo leído:</w:t>
      </w:r>
      <w:r>
        <w:t xml:space="preserve"> ris_ABGB_paragraf_10.html (reparacion_citas\ris_ABGB_paragraf_10.html) · contraste del archivo de pasajes: ✔</w:t>
      </w:r>
      <w:r>
        <w:br/>
      </w:r>
      <w:r>
        <w:rPr>
          <w:b/>
        </w:rPr>
        <w:t>Lugar:</w:t>
      </w:r>
      <w:r>
        <w:t xml:space="preserve"> Código Civil general austriaco (ABGB), § 10, en vigor desde el 1-1-1812; texto vigente en el RIS</w:t>
      </w:r>
      <w:r>
        <w:br/>
      </w:r>
      <w:r>
        <w:rPr>
          <w:b/>
        </w:rPr>
        <w:t>Tal como está en la fuente:</w:t>
      </w:r>
      <w:r>
        <w:t xml:space="preserve"> in den Fällen, in welchen sich ein Gesetz darauf beruft</w:t>
      </w:r>
      <w:r>
        <w:t>.</w:t>
      </w:r>
    </w:p>
    <w:p>
      <w:pPr>
        <w:pStyle w:val="ListBullet"/>
      </w:pPr>
      <w:r>
        <w:rPr>
          <w:b/>
        </w:rPr>
        <w:t>El Código Civil español de 1889</w:t>
      </w:r>
      <w:r>
        <w:t xml:space="preserve"> (art. 5): «no prevalecerá contra su observancia el desuso, ni la costumbre o la práctica en contrario».</w:t>
      </w:r>
    </w:p>
    <w:p>
      <w:pPr>
        <w:pStyle w:val="ListBullet"/>
      </w:pPr>
      <w:r>
        <w:rPr>
          <w:b/>
        </w:rPr>
        <w:t>Hobbes</w:t>
      </w:r>
      <w:r>
        <w:t xml:space="preserve"> (1651): la costumbre vale por «la voluntad del soberano significada por su silencio»</w:t>
      </w:r>
      <w:r>
        <w:t xml:space="preserve"> [original: «the Will of the Soveraign signified by his silence»]</w:t>
      </w:r>
      <w:r>
        <w:t xml:space="preserve"> (Hobbes, Leviatán, 1651, cap. XXVI)</w:t>
      </w:r>
      <w:r>
        <w:br/>
      </w:r>
      <w:r>
        <w:rPr>
          <w:b/>
        </w:rPr>
        <w:t>leída en su fuente · Hobbes, Leviatán, 1651, cap. XXVI</w:t>
      </w:r>
      <w:r>
        <w:br/>
      </w:r>
      <w:r>
        <w:rPr>
          <w:b/>
        </w:rPr>
        <w:t>Archivo leído:</w:t>
      </w:r>
      <w:r>
        <w:t xml:space="preserve"> 10.00_Hobbes_Leviathan_1651_Gutenberg_3207.txt (c6\10.00_Hobbes_Leviathan_1651_Gutenberg_3207.txt) · contraste del archivo de pasajes: ✔</w:t>
      </w:r>
      <w:r>
        <w:br/>
      </w:r>
      <w:r>
        <w:rPr>
          <w:b/>
        </w:rPr>
        <w:t>Lugar:</w:t>
      </w:r>
      <w:r>
        <w:t xml:space="preserve"> Hobbes, Leviatán, 1651, cap. XXVI</w:t>
      </w:r>
      <w:r>
        <w:br/>
      </w:r>
      <w:r>
        <w:rPr>
          <w:b/>
        </w:rPr>
        <w:t>Tal como está en la fuente:</w:t>
      </w:r>
      <w:r>
        <w:t xml:space="preserve"> the Will of the Soveraign signified by his silence</w:t>
      </w:r>
      <w:r>
        <w:t>.</w:t>
      </w:r>
    </w:p>
    <w:p>
      <w:r>
        <w:t xml:space="preserve">Las excepciones también existen: Juliano, jurista del emperador, defendió la costumbre; e Isidoro, obispo, la subordinó a la ley. </w:t>
      </w:r>
      <w:r>
        <w:t>[11.00-8.5; libreta 58, todos leídos en su fuente]</w:t>
      </w:r>
    </w:p>
    <w:p>
      <w:r>
        <w:rPr>
          <w:b/>
        </w:rPr>
        <w:t>Nadie es juez en su propia causa.</w:t>
      </w:r>
      <w:r>
        <w:t xml:space="preserve"> El mismo Código de Justiniano lo dice desde el año 376: nadie debe «ser juez de sí mismo ni dictarse el derecho a sí mismo»</w:t>
      </w:r>
      <w:r>
        <w:t xml:space="preserve"> [original: «neminem sibi esse iudicem vel ius sibi dicere debere»]</w:t>
      </w:r>
      <w:r>
        <w:t xml:space="preserve"> (Código de Justiniano 3.5.1)</w:t>
      </w:r>
      <w:r>
        <w:br/>
      </w:r>
      <w:r>
        <w:rPr>
          <w:b/>
        </w:rPr>
        <w:t>leída en su fuente · Código de Justiniano 3.5.1</w:t>
      </w:r>
      <w:r>
        <w:br/>
      </w:r>
      <w:r>
        <w:rPr>
          <w:b/>
        </w:rPr>
        <w:t>Archivo leído:</w:t>
      </w:r>
      <w:r>
        <w:t xml:space="preserve"> Codex_Iustinianus_libro_3_Grenoble_CJ3.htm (c9d\Codex_Iustinianus_libro_3_Grenoble_CJ3.htm) · contraste del archivo de pasajes: ✔</w:t>
      </w:r>
      <w:r>
        <w:br/>
      </w:r>
      <w:r>
        <w:rPr>
          <w:b/>
        </w:rPr>
        <w:t>Lugar:</w:t>
      </w:r>
      <w:r>
        <w:t xml:space="preserve"> Rúbrica C. 3.5</w:t>
      </w:r>
      <w:r>
        <w:br/>
      </w:r>
      <w:r>
        <w:rPr>
          <w:b/>
        </w:rPr>
        <w:t>Dirección:</w:t>
      </w:r>
      <w:r>
        <w:t xml:space="preserve"> </w:t>
      </w:r>
      <w:r>
        <w:t>https://droitromain.univ-grenoble-alpes.fr/Corpus/CJ3.htm</w:t>
      </w:r>
      <w:r>
        <w:br/>
      </w:r>
      <w:r>
        <w:rPr>
          <w:b/>
        </w:rPr>
        <w:t>Tal como está en la fuente:</w:t>
      </w:r>
      <w:r>
        <w:t xml:space="preserve"> Generali lege decernimus neminem sibi esse iudicem vel ius sibi dicere debere. In re enim propria iniquum admodum est alicui licentiam tribuere sententiae.</w:t>
      </w:r>
      <w:r>
        <w:t>. Hoy la ley obliga a autoridades y funcionarios a apartarse de un asunto cuando tienen en él «interés personal»</w:t>
      </w:r>
      <w:r>
        <w:t xml:space="preserve"> (Ley 40/2015, art. 23)</w:t>
      </w:r>
      <w:r>
        <w:t xml:space="preserve">. </w:t>
      </w:r>
      <w:r>
        <w:t>[11.00-8.6; libreta 58; Ley 40/2015 leída en el BOE]</w:t>
      </w:r>
    </w:p>
    <w:p>
      <w:r>
        <w:rPr>
          <w:b/>
        </w:rPr>
        <w:t>La puerta que se cerró.</w:t>
      </w:r>
      <w:r>
        <w:t xml:space="preserve"> En el orden antiguo, la ley escrita valía mientras el pueblo no le retirara su consentimiento con la costumbre contraria o con el desuso (Juliano, Aquino). Los códigos del siglo XIX cerraron esa puerta por escrito. El motivo que dan es la seguridad jurídica</w:t>
      </w:r>
      <w:r>
        <w:t xml:space="preserve"> (Constitución, art. 9.3)</w:t>
      </w:r>
      <w:r>
        <w:t xml:space="preserve">. </w:t>
      </w:r>
      <w:r>
        <w:t>[11.00-8.7]</w:t>
      </w:r>
    </w:p>
    <w:p>
      <w:r>
        <w:rPr>
          <w:b/>
        </w:rPr>
        <w:t>Conclusión, lo que arrojan los datos:</w:t>
      </w:r>
      <w:r>
        <w:t xml:space="preserve"> las tradiciones guardaron el orden ley de Dios, ley natural, costumbre y, al final, ley humana. El orden oficial es el inverso. Y quien lo invirtió fue, en 7 de 8 casos, el que tenía el poder de legislar: la parte que gana con el cambio. </w:t>
      </w:r>
      <w:r>
        <w:t>[11.00-8.5 y 8.6; 00.2-1.1]</w:t>
      </w:r>
    </w:p>
    <w:p>
      <w:r>
        <w:rPr>
          <w:b/>
        </w:rPr>
        <w:t>Lectura del autor:</w:t>
      </w:r>
      <w:r>
        <w:t xml:space="preserve"> cuando el orden se invierte, quien lo decide es el propio legislador: la parte interesada se nombra juez de su propia causa. Ese conflicto de interés delata un interés de conservación que no es legítimo, y «seguridad jurídica» es el nombre que le da quien se beneficia de él. Esto apunta hacia el padre de la mentira (Jn 8:44). </w:t>
      </w:r>
      <w:r>
        <w:t>[11.00-8.8, con la fórmula de la edición, glosario 9.1]</w:t>
      </w:r>
    </w:p>
    <w:p>
      <w:pPr>
        <w:pStyle w:val="Heading2"/>
      </w:pPr>
      <w:r>
        <w:t>1.8 Las dos jurisdicciones, y nombrar las cosas por su nombre</w:t>
      </w:r>
    </w:p>
    <w:p>
      <w:pPr>
        <w:pBdr>
          <w:left w:val="single" w:sz="24" w:space="6" w:color="E2DED6"/>
        </w:pBdr>
        <w:shd w:val="clear" w:color="auto" w:fill="F1EEE8"/>
        <w:spacing w:before="80" w:after="160"/>
        <w:ind w:left="142" w:right="142"/>
      </w:pPr>
      <w:r>
        <w:rPr>
          <w:b/>
        </w:rPr>
        <w:t>La idea: hay dos jurisdicciones, la de la verdad y la del Estado. Desde aquí, cada cosa se llama por su lugar en el orden real.</w:t>
      </w:r>
    </w:p>
    <w:p>
      <w:r>
        <w:rPr>
          <w:b/>
        </w:rPr>
        <w:t>Las dos jurisdicciones.</w:t>
      </w:r>
    </w:p>
    <w:p>
      <w:pPr>
        <w:pStyle w:val="ListBullet"/>
      </w:pPr>
      <w:r>
        <w:rPr>
          <w:b/>
        </w:rPr>
        <w:t>La de la verdad:</w:t>
      </w:r>
      <w:r>
        <w:t xml:space="preserve"> la conciencia y la opinión pública. Ahí se puede nombrar el orden real de las leyes y medir con él.</w:t>
      </w:r>
    </w:p>
    <w:p>
      <w:pPr>
        <w:pStyle w:val="ListBullet"/>
      </w:pPr>
      <w:r>
        <w:rPr>
          <w:b/>
        </w:rPr>
        <w:t>La del Estado:</w:t>
      </w:r>
      <w:r>
        <w:t xml:space="preserve"> sus tribunales y su fuerza. Ahí rige su derecho.</w:t>
      </w:r>
    </w:p>
    <w:p>
      <w:r>
        <w:t>Entre las dos hay puertas por las que la ley superior entra en el derecho del Estado: los principios generales del derecho</w:t>
      </w:r>
      <w:r>
        <w:t xml:space="preserve"> (Código Civil, art. 1)</w:t>
      </w:r>
      <w:r>
        <w:t>, los derechos interpretados conforme a la Declaración Universal</w:t>
      </w:r>
      <w:r>
        <w:t xml:space="preserve"> (Constitución, art. 10.2)</w:t>
      </w:r>
      <w:r>
        <w:t>, los tribunales consuetudinarios</w:t>
      </w:r>
      <w:r>
        <w:t xml:space="preserve"> (Constitución, art. 125)</w:t>
      </w:r>
      <w:r>
        <w:t xml:space="preserve"> y la reforma de la propia Constitución</w:t>
      </w:r>
      <w:r>
        <w:t xml:space="preserve"> (Constitución, art. 168)</w:t>
      </w:r>
      <w:r>
        <w:t>. Esta obra trabaja en la primera jurisdicción y no exime de ninguna obligación de la segunda</w:t>
      </w:r>
      <w:r>
        <w:t xml:space="preserve"> (Constitución, art. 9.1)</w:t>
      </w:r>
      <w:r>
        <w:t xml:space="preserve">. </w:t>
      </w:r>
      <w:r>
        <w:t>[glosario 4.6]</w:t>
      </w:r>
    </w:p>
    <w:p>
      <w:r>
        <w:rPr>
          <w:b/>
        </w:rPr>
        <w:t>Nombrar las cosas por su nombre.</w:t>
      </w:r>
      <w:r>
        <w:t xml:space="preserve"> Desde este capítulo, la edición llama a cada cosa por su lugar en el orden real:</w:t>
      </w:r>
    </w:p>
    <w:p>
      <w:pPr>
        <w:pStyle w:val="ListBullet"/>
      </w:pPr>
      <w:r>
        <w:rPr>
          <w:b/>
        </w:rPr>
        <w:t>«El orden puesto por el hombre»,</w:t>
      </w:r>
      <w:r>
        <w:t xml:space="preserve"> al orden oficial: es la ley «puesta» (</w:t>
      </w:r>
      <w:r>
        <w:rPr>
          <w:i/>
        </w:rPr>
        <w:t>posita</w:t>
      </w:r>
      <w:r>
        <w:t>) por los hombres (</w:t>
      </w:r>
      <w:r>
        <w:t>1.1</w:t>
      </w:r>
      <w:r>
        <w:t>).</w:t>
      </w:r>
    </w:p>
    <w:p>
      <w:pPr>
        <w:pStyle w:val="ListBullet"/>
      </w:pPr>
      <w:r>
        <w:rPr>
          <w:b/>
        </w:rPr>
        <w:t>«El orden invertido»,</w:t>
      </w:r>
      <w:r>
        <w:t xml:space="preserve"> también, porque es el inverso del que guardaron las tradiciones (</w:t>
      </w:r>
      <w:r>
        <w:t>1.7</w:t>
      </w:r>
      <w:r>
        <w:t>).</w:t>
      </w:r>
    </w:p>
    <w:p>
      <w:pPr>
        <w:pStyle w:val="ListBullet"/>
      </w:pPr>
      <w:r>
        <w:rPr>
          <w:b/>
        </w:rPr>
        <w:t>«Presunción», «falso» y «mentira»,</w:t>
      </w:r>
      <w:r>
        <w:t xml:space="preserve"> a lo que ese orden da por cierto sin probarlo, a lo que se demuestra que no es así y a lo falso dicho a sabiendas (</w:t>
      </w:r>
      <w:r>
        <w:t>0.4</w:t>
      </w:r>
      <w:r>
        <w:t>).</w:t>
      </w:r>
    </w:p>
    <w:p>
      <w:pPr>
        <w:pStyle w:val="ListBullet"/>
      </w:pPr>
      <w:r>
        <w:rPr>
          <w:b/>
        </w:rPr>
        <w:t>«Corrupción de la ley»,</w:t>
      </w:r>
      <w:r>
        <w:t xml:space="preserve"> como la llama Aquino, a la ley que contradice a las de arriba (</w:t>
      </w:r>
      <w:r>
        <w:t>1.1</w:t>
      </w:r>
      <w:r>
        <w:t>).</w:t>
      </w:r>
    </w:p>
    <w:p>
      <w:r>
        <w:t>[glosario 4.7, con «puesto» decidido por Kiko]</w:t>
      </w:r>
    </w:p>
    <w:p>
      <w:pPr>
        <w:pStyle w:val="Heading2"/>
      </w:pPr>
      <w:r>
        <w:t>1.9 La legitimidad de la autoridad: original y derivada</w:t>
      </w:r>
    </w:p>
    <w:p>
      <w:pPr>
        <w:pBdr>
          <w:left w:val="single" w:sz="24" w:space="6" w:color="E2DED6"/>
        </w:pBdr>
        <w:shd w:val="clear" w:color="auto" w:fill="F1EEE8"/>
        <w:spacing w:before="80" w:after="160"/>
        <w:ind w:left="142" w:right="142"/>
      </w:pPr>
      <w:r>
        <w:rPr>
          <w:b/>
        </w:rPr>
        <w:t>La idea: la autoridad es el poder de mandar con título. Solo la ley de Dios y la ley natural tienen autoridad original, porque nadie las dictó para su provecho; la costumbre y la ley escrita tienen autoridad derivada, que vale mientras sirve a lo de arriba y se pierde cuando quien manda se sirve a sí mismo.</w:t>
      </w:r>
    </w:p>
    <w:p>
      <w:r>
        <w:rPr>
          <w:b/>
        </w:rPr>
        <w:t>La pregunta.</w:t>
      </w:r>
      <w:r>
        <w:t xml:space="preserve"> El capítulo ha dicho qué es una ley (</w:t>
      </w:r>
      <w:r>
        <w:t>1.6</w:t>
      </w:r>
      <w:r>
        <w:t>), a quién sirve (</w:t>
      </w:r>
      <w:r>
        <w:t>1.1</w:t>
      </w:r>
      <w:r>
        <w:t>) y quién invirtió el orden (</w:t>
      </w:r>
      <w:r>
        <w:t>1.7</w:t>
      </w:r>
      <w:r>
        <w:t>). Falta decir de dónde saca su título quien manda: qué legitima a una autoridad. Porque sin título lo que hay es fuerza, y la fuerza no es fuente del derecho (</w:t>
      </w:r>
      <w:r>
        <w:t>1.6</w:t>
      </w:r>
      <w:r>
        <w:t xml:space="preserve">). </w:t>
      </w:r>
      <w:r>
        <w:t>[04c, paso 1; pregunta de Kiko del 8-oct-2026]</w:t>
      </w:r>
    </w:p>
    <w:p>
      <w:r>
        <w:rPr>
          <w:b/>
        </w:rPr>
        <w:t>Dos autoridades.</w:t>
      </w:r>
      <w:r>
        <w:t xml:space="preserve"> Desde aquí, la edición distingue:</w:t>
      </w:r>
    </w:p>
    <w:p>
      <w:pPr>
        <w:pStyle w:val="ListBullet"/>
      </w:pPr>
      <w:r>
        <w:rPr>
          <w:b/>
        </w:rPr>
        <w:t>La autoridad original.</w:t>
      </w:r>
      <w:r>
        <w:t xml:space="preserve"> La de la ley de Dios y la ley natural. Nadie las dictó para su provecho: no tienen un autor humano que gane con ellas a costa de otro. Se reconocen porque convergen en tradiciones sin contacto documentado entre sí y porque pasan la vara (</w:t>
      </w:r>
      <w:r>
        <w:t>0.5</w:t>
      </w:r>
      <w:r>
        <w:t>). No se dan: se reciben.</w:t>
      </w:r>
    </w:p>
    <w:p>
      <w:pPr>
        <w:pStyle w:val="ListBullet"/>
      </w:pPr>
      <w:r>
        <w:rPr>
          <w:b/>
        </w:rPr>
        <w:t>La autoridad derivada.</w:t>
      </w:r>
      <w:r>
        <w:t xml:space="preserve"> La de la costumbre y la ley escrita. La ponen las personas a partir de los hechos, y vale en la medida en que sirve al bien común y no se aparta de las de arriba (</w:t>
      </w:r>
      <w:r>
        <w:t>1.1</w:t>
      </w:r>
      <w:r>
        <w:t>): «toda ley puesta por los hombres tiene tanto de razón de ley cuanto deriva de la ley natural» (</w:t>
      </w:r>
      <w:r>
        <w:t>1.1</w:t>
      </w:r>
      <w:r>
        <w:t>). «Derivada» no quiere decir optativa: obliga mientras no se declare injusta por la vía que el propio derecho da (</w:t>
      </w:r>
      <w:r>
        <w:t>1.8</w:t>
      </w:r>
      <w:r>
        <w:t>)</w:t>
      </w:r>
      <w:r>
        <w:t xml:space="preserve"> (Constitución, art. 9.1)</w:t>
      </w:r>
      <w:r>
        <w:t>.</w:t>
      </w:r>
    </w:p>
    <w:p>
      <w:r>
        <w:t>[04c, pasos 5 y 7; glosario 4.8]</w:t>
      </w:r>
    </w:p>
    <w:p>
      <w:r>
        <w:rPr>
          <w:b/>
        </w:rPr>
        <w:t>Qué legitima a la original.</w:t>
      </w:r>
      <w:r>
        <w:t xml:space="preserve"> No su antigüedad ni su procedencia, que no se pueden comprobar, sino tres cosas que sí:</w:t>
      </w:r>
    </w:p>
    <w:p>
      <w:pPr>
        <w:spacing w:after="60"/>
        <w:ind w:left="510" w:hanging="397"/>
      </w:pPr>
      <w:r>
        <w:rPr>
          <w:b w:val="0"/>
        </w:rPr>
        <w:t xml:space="preserve">1. </w:t>
      </w:r>
      <w:r>
        <w:t>que no tiene autor interesado;</w:t>
      </w:r>
    </w:p>
    <w:p>
      <w:pPr>
        <w:spacing w:after="60"/>
        <w:ind w:left="510" w:hanging="397"/>
      </w:pPr>
      <w:r>
        <w:rPr>
          <w:b w:val="0"/>
        </w:rPr>
        <w:t xml:space="preserve">2. </w:t>
      </w:r>
      <w:r>
        <w:t>que converge (</w:t>
      </w:r>
      <w:r>
        <w:t>0.5</w:t>
      </w:r>
      <w:r>
        <w:t xml:space="preserve">; el </w:t>
      </w:r>
      <w:r>
        <w:t>capítulo 3</w:t>
      </w:r>
      <w:r>
        <w:t>, principio por principio);</w:t>
      </w:r>
    </w:p>
    <w:p>
      <w:pPr>
        <w:spacing w:after="60"/>
        <w:ind w:left="510" w:hanging="397"/>
      </w:pPr>
      <w:r>
        <w:rPr>
          <w:b w:val="0"/>
        </w:rPr>
        <w:t xml:space="preserve">3. </w:t>
      </w:r>
      <w:r>
        <w:t>que sus frutos pasan la vara: no dañan, son recíprocos, respetan el consentimiento y benefician a todos (</w:t>
      </w:r>
      <w:r>
        <w:t>0.5</w:t>
      </w:r>
      <w:r>
        <w:t>).</w:t>
      </w:r>
    </w:p>
    <w:p>
      <w:r>
        <w:t>La vara se aplica a los dos lados (</w:t>
      </w:r>
      <w:r>
        <w:t>0.5</w:t>
      </w:r>
      <w:r>
        <w:t>): también a lo que se presenta como ley de Dios, porque no todo lo que se ha llamado «dios» es el Creador (</w:t>
      </w:r>
      <w:r>
        <w:t>1.3</w:t>
      </w:r>
      <w:r>
        <w:t>). Lo que las tradiciones añaden es que ese orden es anterior y se hereda, no se inventa. En Egipto: «los límites de la justicia son firmes; son lo que un hombre repite de su padre»</w:t>
      </w:r>
      <w:r>
        <w:t xml:space="preserve"> [original: «the limits of justice are steadfast; it is that which a man repeateth from his father», en la traducción inglesa de Gunn]</w:t>
      </w:r>
      <w:r>
        <w:t xml:space="preserve"> (Instrucción de Ptahhotep, máxima 5, en la traducción de Battiscombe Gunn, 1906)</w:t>
      </w:r>
      <w:r>
        <w:br/>
      </w:r>
      <w:r>
        <w:rPr>
          <w:b/>
        </w:rPr>
        <w:t>leída en su fuente · Instrucción de Ptahhotep, máxima 5, en la traducción de Battiscombe Gunn, 1906</w:t>
      </w:r>
      <w:r>
        <w:br/>
      </w:r>
      <w:r>
        <w:rPr>
          <w:b/>
        </w:rPr>
        <w:t>Archivo leído:</w:t>
      </w:r>
      <w:r>
        <w:t xml:space="preserve"> pg30508.txt (cierre_B3_B4_9oct\ptahhotep_gunn_gutenberg\pg30508.txt; cierre_mujer_varon_9oct\egipto_ptahhotep\pg30508.txt) · contraste del archivo de pasajes: ✔</w:t>
      </w:r>
      <w:r>
        <w:br/>
      </w:r>
      <w:r>
        <w:rPr>
          <w:b/>
        </w:rPr>
        <w:t>Lugar:</w:t>
      </w:r>
      <w:r>
        <w:t xml:space="preserve"> Ptahhotep, máxima 5</w:t>
      </w:r>
      <w:r>
        <w:br/>
      </w:r>
      <w:r>
        <w:rPr>
          <w:b/>
        </w:rPr>
        <w:t>Dirección:</w:t>
      </w:r>
      <w:r>
        <w:t xml:space="preserve"> </w:t>
      </w:r>
      <w:r>
        <w:t>https://www.gutenberg.org/cache/epub/30508/pg30508.txt</w:t>
      </w:r>
      <w:r>
        <w:br/>
      </w:r>
      <w:r>
        <w:rPr>
          <w:b/>
        </w:rPr>
        <w:t>Tal como está en la fuente:</w:t>
      </w:r>
      <w:r>
        <w:t xml:space="preserve"> But the limits of justice are steadfast; it is that which a man repeateth from his father.</w:t>
      </w:r>
      <w:r>
        <w:br/>
      </w:r>
      <w:r>
        <w:rPr>
          <w:b/>
        </w:rPr>
        <w:t>Traducción guardada:</w:t>
      </w:r>
      <w:r>
        <w:t xml:space="preserve"> traducción propia: Pero los límites de la justicia son firmes; es lo que un hombre repite de su padre.</w:t>
      </w:r>
      <w:r>
        <w:t>. En China: «El hombre toma su ley de la Tierra; la Tierra toma su ley del Cielo; el Cielo toma su ley del Tao»</w:t>
      </w:r>
      <w:r>
        <w:t xml:space="preserve"> [original: «Man takes his law from the Earth; the Earth takes its law from Heaven; Heaven takes its law from the Tâo», en la traducción inglesa de Legge]</w:t>
      </w:r>
      <w:r>
        <w:t xml:space="preserve"> (Daodejing 25, en la traducción de James Legge, Sacred Books of the East, vol. 39, 1891)</w:t>
      </w:r>
      <w:r>
        <w:br/>
      </w:r>
      <w:r>
        <w:rPr>
          <w:b/>
        </w:rPr>
        <w:t>leída en su fuente · Daodejing 25, en la traducción de James Legge, Sacred Books of the East, vol. 39, 1891</w:t>
      </w:r>
      <w:r>
        <w:br/>
      </w:r>
      <w:r>
        <w:rPr>
          <w:b/>
        </w:rPr>
        <w:t>Archivo leído:</w:t>
      </w:r>
      <w:r>
        <w:t xml:space="preserve"> laozi_legge_gutenberg_216.txt (c9h\laozi_legge_gutenberg_216.txt) · contraste del archivo de pasajes: ✔</w:t>
      </w:r>
      <w:r>
        <w:br/>
      </w:r>
      <w:r>
        <w:rPr>
          <w:b/>
        </w:rPr>
        <w:t>Lugar:</w:t>
      </w:r>
      <w:r>
        <w:t xml:space="preserve"> Daodejing 25, en la traducción de James Legge, Sacred Books of the East, vol. 39, 1891</w:t>
      </w:r>
      <w:r>
        <w:br/>
      </w:r>
      <w:r>
        <w:rPr>
          <w:b/>
        </w:rPr>
        <w:t>Tal como está en la fuente:</w:t>
      </w:r>
      <w:r>
        <w:t xml:space="preserve"> Man takes his law from the Earth; the Earth takes its law from Heaven; Heaven takes its law from the Tâo</w:t>
      </w:r>
      <w:r>
        <w:t xml:space="preserve">. Lo derivado recibe de más arriba. </w:t>
      </w:r>
      <w:r>
        <w:t>[04c, apartado 4; 04f, 3g y 3h; extractos comprobados el 8-oct]</w:t>
      </w:r>
    </w:p>
    <w:p>
      <w:r>
        <w:rPr>
          <w:b/>
        </w:rPr>
        <w:t>Cómo se pierde la derivada.</w:t>
      </w:r>
      <w:r>
        <w:t xml:space="preserve"> Lo dicen tradiciones sin contacto documentado entre sí, y lo dicen de quien manda, no de quien obedece:</w:t>
      </w:r>
    </w:p>
    <w:p>
      <w:pPr>
        <w:pStyle w:val="ListBullet"/>
      </w:pPr>
      <w:r>
        <w:rPr>
          <w:b/>
        </w:rPr>
        <w:t>Israel.</w:t>
      </w:r>
      <w:r>
        <w:t xml:space="preserve"> A los que juzgan se les llama «dioses», es decir, el título lo da otro; y se les quita por juzgar mal: «¿Hasta cuándo juzgaréis injustamente, y aceptaréis las personas de los impíos?»</w:t>
      </w:r>
      <w:r>
        <w:t xml:space="preserve"> (Sal 82:2)</w:t>
      </w:r>
      <w:r>
        <w:br/>
      </w:r>
      <w:r>
        <w:rPr>
          <w:b/>
        </w:rPr>
        <w:t>leída en su fuente · Sal 82:2</w:t>
      </w:r>
      <w:r>
        <w:br/>
      </w:r>
      <w:r>
        <w:rPr>
          <w:b/>
        </w:rPr>
        <w:t>Archivo leído:</w:t>
      </w:r>
      <w:r>
        <w:t xml:space="preserve"> biblia_c1.html (ant\c1\biblia_c1.html) · contraste del archivo de pasajes: ✔</w:t>
      </w:r>
      <w:r>
        <w:br/>
      </w:r>
      <w:r>
        <w:rPr>
          <w:b/>
        </w:rPr>
        <w:t>Lugar:</w:t>
      </w:r>
      <w:r>
        <w:t xml:space="preserve"> Sal 82:2</w:t>
      </w:r>
      <w:r>
        <w:br/>
      </w:r>
      <w:r>
        <w:rPr>
          <w:b/>
        </w:rPr>
        <w:t>Tal como está en la fuente:</w:t>
      </w:r>
      <w:r>
        <w:t xml:space="preserve"> ¿Hasta cuándo juzgaréis injustamente, y aceptaréis las personas de los impíos?</w:t>
      </w:r>
      <w:r>
        <w:t>. Después viene la sentencia que ya se leyó: «Vosotros sois dioses […] Empero como hombres moriréis» (</w:t>
      </w:r>
      <w:r>
        <w:t>1.3</w:t>
      </w:r>
      <w:r>
        <w:t>)</w:t>
      </w:r>
      <w:r>
        <w:t xml:space="preserve"> (Sal 82:6-7)</w:t>
      </w:r>
      <w:r>
        <w:br/>
      </w:r>
      <w:r>
        <w:rPr>
          <w:b/>
        </w:rPr>
        <w:t>leída en su fuente · Sal 82:6-7</w:t>
      </w:r>
      <w:r>
        <w:br/>
      </w:r>
      <w:r>
        <w:rPr>
          <w:b/>
        </w:rPr>
        <w:t>Archivo leído:</w:t>
      </w:r>
      <w:r>
        <w:t xml:space="preserve"> biblia_c1.html (ant\c1\biblia_c1.html) · contraste del archivo de pasajes: ✔</w:t>
      </w:r>
      <w:r>
        <w:br/>
      </w:r>
      <w:r>
        <w:rPr>
          <w:b/>
        </w:rPr>
        <w:t>Lugar:</w:t>
      </w:r>
      <w:r>
        <w:t xml:space="preserve"> Sal 82:6-7</w:t>
      </w:r>
      <w:r>
        <w:br/>
      </w:r>
      <w:r>
        <w:rPr>
          <w:b/>
        </w:rPr>
        <w:t>Tal como está en la fuente:</w:t>
      </w:r>
      <w:r>
        <w:t xml:space="preserve"> Vosotros sois dioses […] Empero como hombres moriréis</w:t>
      </w:r>
      <w:r>
        <w:br/>
      </w:r>
      <w:r>
        <w:rPr>
          <w:b/>
        </w:rPr>
        <w:t>Traducción guardada:</w:t>
      </w:r>
      <w:r>
        <w:t xml:space="preserve"> 1.3</w:t>
      </w:r>
      <w:r>
        <w:t>.</w:t>
      </w:r>
    </w:p>
    <w:p>
      <w:pPr>
        <w:pStyle w:val="ListBullet"/>
      </w:pPr>
      <w:r>
        <w:rPr>
          <w:b/>
        </w:rPr>
        <w:t>China.</w:t>
      </w:r>
      <w:r>
        <w:t xml:space="preserve"> El Duque de Shao explica por qué cayeron dos dinastías: «por falta de la virtud de la reverencia, el decreto a su favor cayó prematuramente a tierra»</w:t>
      </w:r>
      <w:r>
        <w:t xml:space="preserve"> [original: «for want of the virtue of reverence, the decree in its favour prematurely fell to the ground», en la traducción inglesa de Legge]</w:t>
      </w:r>
      <w:r>
        <w:t xml:space="preserve"> (Shû King, Anuncio del Duque de Shao, en la traducción de James Legge, Sacred Books of the East, vol. 3)</w:t>
      </w:r>
      <w:r>
        <w:br/>
      </w:r>
      <w:r>
        <w:rPr>
          <w:b/>
        </w:rPr>
        <w:t>leída en su fuente · Shû King, Anuncio del Duque de Shao, en la traducción de James Legge, Sacred Books of the</w:t>
      </w:r>
      <w:r>
        <w:br/>
      </w:r>
      <w:r>
        <w:rPr>
          <w:b/>
        </w:rPr>
        <w:t>Archivo leído:</w:t>
      </w:r>
      <w:r>
        <w:t xml:space="preserve"> sbe03039.htm (cierre_B3_B4_9oct\shujing_legge_sacredtexts\sbe03039.htm) · contraste del archivo de pasajes: ✔</w:t>
      </w:r>
      <w:r>
        <w:br/>
      </w:r>
      <w:r>
        <w:rPr>
          <w:b/>
        </w:rPr>
        <w:t>Lugar:</w:t>
      </w:r>
      <w:r>
        <w:t xml:space="preserve"> Shû King, Anuncio del Duque de Shao, en la traducción de James Legge, Sacred Books of the East, vol. 3</w:t>
      </w:r>
      <w:r>
        <w:br/>
      </w:r>
      <w:r>
        <w:rPr>
          <w:b/>
        </w:rPr>
        <w:t>Tal como está en la fuente:</w:t>
      </w:r>
      <w:r>
        <w:t xml:space="preserve"> for want of the virtue of reverence, the decree in its favour prematurely fell to the ground</w:t>
      </w:r>
      <w:r>
        <w:t>. Mencio dice de qué rey se puede prescindir: «El que ultraja la bondad propia de su naturaleza se llama ladrón; el que ultraja la justicia se llama rufián. Al ladrón y al rufián los llamamos un tipo cualquiera»</w:t>
      </w:r>
      <w:r>
        <w:t xml:space="preserve"> [original: «He who outrages the benevolence proper to his nature, is called a robber; he who outrages righteousness, is called a ruffian. The robber and ruffian we call a mere fellow», en la traducción inglesa de Legge]</w:t>
      </w:r>
      <w:r>
        <w:t xml:space="preserve"> (Mencio 1B, 8, en la traducción de James Legge, 1895)</w:t>
      </w:r>
      <w:r>
        <w:br/>
      </w:r>
      <w:r>
        <w:rPr>
          <w:b/>
        </w:rPr>
        <w:t>leída en su fuente · Mencio 1B, 8, en la traducción de James Legge, 1895</w:t>
      </w:r>
      <w:r>
        <w:br/>
      </w:r>
      <w:r>
        <w:rPr>
          <w:b/>
        </w:rPr>
        <w:t>Archivo leído:</w:t>
      </w:r>
      <w:r>
        <w:t xml:space="preserve"> 8.3_24_Legge_1895_Chinese_Classics_vol2_Mencius_OCR_archive.txt (c8a\8.3_24_Legge_1895_Chinese_Classics_vol2_Mencius_OCR_archive.txt) · contraste del archivo de pasajes: ✔</w:t>
      </w:r>
      <w:r>
        <w:br/>
      </w:r>
      <w:r>
        <w:rPr>
          <w:b/>
        </w:rPr>
        <w:t>Lugar:</w:t>
      </w:r>
      <w:r>
        <w:t xml:space="preserve"> Mencio 1B, 8, en la traducción de James Legge, 1895</w:t>
      </w:r>
      <w:r>
        <w:br/>
      </w:r>
      <w:r>
        <w:rPr>
          <w:b/>
        </w:rPr>
        <w:t>Tal como está en la fuente:</w:t>
      </w:r>
      <w:r>
        <w:t xml:space="preserve"> He who outrages the benevolence proper to his nature, is called a robber; he who outrages righteousness, is called a ruffian. The robber and ruffian we call a mere fellow</w:t>
      </w:r>
      <w:r>
        <w:t>. Y pone el orden: «El pueblo es lo más importante de una nación; los espíritus de la tierra y del grano vienen después; el soberano es lo más ligero»</w:t>
      </w:r>
      <w:r>
        <w:t xml:space="preserve"> [original: «The people are the most important element in a nation; the spirits of the land and grain are the next; the sovereign is the lightest»]</w:t>
      </w:r>
      <w:r>
        <w:t xml:space="preserve"> (Mencio 7B, 14)</w:t>
      </w:r>
      <w:r>
        <w:br/>
      </w:r>
      <w:r>
        <w:rPr>
          <w:b/>
        </w:rPr>
        <w:t>leída en su fuente · Mencio 7B, 14</w:t>
      </w:r>
      <w:r>
        <w:br/>
      </w:r>
      <w:r>
        <w:rPr>
          <w:b/>
        </w:rPr>
        <w:t>Archivo leído:</w:t>
      </w:r>
      <w:r>
        <w:t xml:space="preserve"> 8.3_24_Legge_1895_Chinese_Classics_vol2_Mencius_OCR_archive.txt (cierre_B3_B4_9oct\mencio_legge_wikisource\chapter14.txt; c8a\8.3_24_Legge_1895_Chinese_Classics_vol2_Mencius_OCR_archive.txt) · contraste del archivo de pasajes: ✔</w:t>
      </w:r>
      <w:r>
        <w:br/>
      </w:r>
      <w:r>
        <w:rPr>
          <w:b/>
        </w:rPr>
        <w:t>Lugar:</w:t>
      </w:r>
      <w:r>
        <w:t xml:space="preserve"> Mencio 7B, 14</w:t>
      </w:r>
      <w:r>
        <w:br/>
      </w:r>
      <w:r>
        <w:rPr>
          <w:b/>
        </w:rPr>
        <w:t>Tal como está en la fuente:</w:t>
      </w:r>
      <w:r>
        <w:t xml:space="preserve"> The people are the most important element in a nation; the spirits of the land and grain are the next; the sovereign is the lightest</w:t>
      </w:r>
      <w:r>
        <w:t>.</w:t>
      </w:r>
    </w:p>
    <w:p>
      <w:pPr>
        <w:pStyle w:val="ListBullet"/>
      </w:pPr>
      <w:r>
        <w:rPr>
          <w:b/>
        </w:rPr>
        <w:t>El islam.</w:t>
      </w:r>
      <w:r>
        <w:t xml:space="preserve"> Los hadices ponen a la obediencia un límite: «no hay obediencia para las malas obras; la obediencia se debe solo en lo que es bueno»</w:t>
      </w:r>
      <w:r>
        <w:t xml:space="preserve"> [original: «No obedience for evil deeds, obedience is required only in what is good», en la traducción inglesa de la copia de datos hadith-api]</w:t>
      </w:r>
      <w:r>
        <w:t xml:space="preserve"> (Sahih al-Bujari 7257; fuente secundaria)</w:t>
      </w:r>
      <w:r>
        <w:br/>
      </w:r>
      <w:r>
        <w:rPr>
          <w:b/>
        </w:rPr>
        <w:t>leída en su fuente · Sahih al-Bujari 7257; fuente secundaria</w:t>
      </w:r>
      <w:r>
        <w:br/>
      </w:r>
      <w:r>
        <w:rPr>
          <w:b/>
        </w:rPr>
        <w:t>Archivo leído:</w:t>
      </w:r>
      <w:r>
        <w:t xml:space="preserve"> eng-bukhari.json (cierre_B3_B4_9oct\hadices_completos_hadith_api\eng-bukhari.json) · contraste del archivo de pasajes: ✔</w:t>
      </w:r>
      <w:r>
        <w:br/>
      </w:r>
      <w:r>
        <w:rPr>
          <w:b/>
        </w:rPr>
        <w:t>Lugar:</w:t>
      </w:r>
      <w:r>
        <w:t xml:space="preserve"> Sahih al-Bujari 7257; fuente secundaria</w:t>
      </w:r>
      <w:r>
        <w:br/>
      </w:r>
      <w:r>
        <w:rPr>
          <w:b/>
        </w:rPr>
        <w:t>Tal como está en la fuente:</w:t>
      </w:r>
      <w:r>
        <w:t xml:space="preserve"> No obedience for evil deeds, obedience is required only in what is good</w:t>
      </w:r>
      <w:r>
        <w:t>.</w:t>
      </w:r>
    </w:p>
    <w:p>
      <w:r>
        <w:rPr>
          <w:b/>
        </w:rPr>
        <w:t>Aviso sobre los testigos chinos.</w:t>
      </w:r>
      <w:r>
        <w:t xml:space="preserve"> La doctrina del Mandato del Cielo la escribieron los vencedores, y el Duque de Shao habla al rey que acaba de vencer: es parte en su causa (</w:t>
      </w:r>
      <w:r>
        <w:t>1.7</w:t>
      </w:r>
      <w:r>
        <w:t xml:space="preserve">). Por eso se citan como testigos del </w:t>
      </w:r>
      <w:r>
        <w:rPr>
          <w:b/>
        </w:rPr>
        <w:t>criterio</w:t>
      </w:r>
      <w:r>
        <w:t xml:space="preserve"> (qué tiene que cumplir quien manda: servir, ser aceptado por el pueblo, no ultrajar la bondad ni la justicia), y no del hecho (que el Cielo quitara el mandato a nadie). </w:t>
      </w:r>
      <w:r>
        <w:t>[04c, paso 9; Kiko, 8-oct: «sí»]</w:t>
      </w:r>
    </w:p>
    <w:p>
      <w:r>
        <w:rPr>
          <w:b/>
        </w:rPr>
        <w:t>Conclusión, lo que arrojan los datos:</w:t>
      </w:r>
      <w:r>
        <w:t xml:space="preserve"> en Israel, China y el islam, tradiciones sin contacto documentado entre sí, la autoridad de quien manda se recibe de más arriba y se pierde por juzgar con injusticia, por falta de virtud o por mandar lo malo. Es lo que el capítulo ya mostró de la ley (1.6: las injustas «son más violencias que leyes») y de quien la escribe (1.7: nadie es juez en su propia causa). Son tres maneras de perder el título: el conflicto de interés, salirse del bien común y apartarse de lo superior. </w:t>
      </w:r>
      <w:r>
        <w:t>[04c, paso 6]</w:t>
      </w:r>
    </w:p>
    <w:p>
      <w:r>
        <w:rPr>
          <w:b/>
        </w:rPr>
        <w:t>Una prueba de una sola pregunta: ¿es suyo lo que ofrece?</w:t>
      </w:r>
      <w:r>
        <w:t xml:space="preserve"> Quien manda, da o promete: ¿es dueño de lo que da? La autoridad original no la da nadie: se reconoce. La derivada solo puede dar dentro de lo que recibió. Tradiciones sin relación entre sí lo dicen de quien tiene título:</w:t>
      </w:r>
    </w:p>
    <w:p>
      <w:pPr>
        <w:pStyle w:val="ListBullet"/>
      </w:pPr>
      <w:r>
        <w:rPr>
          <w:b/>
        </w:rPr>
        <w:t>Egipto.</w:t>
      </w:r>
      <w:r>
        <w:t xml:space="preserve"> El que se pasa de los límites «dice: "obtendré por mí mismo, para mí mismo", y no dice: "obtendré porque se me permite"»</w:t>
      </w:r>
      <w:r>
        <w:t xml:space="preserve"> [original: «For he saith, 'I will obtain by myself for myself,' and saith not, 'I will obtain because I am allowed.'», en la traducción inglesa de Gunn]</w:t>
      </w:r>
      <w:r>
        <w:t xml:space="preserve"> (Instrucción de Ptahhotep, máxima 5, en la traducción de Gunn, 1906)</w:t>
      </w:r>
      <w:r>
        <w:br/>
      </w:r>
      <w:r>
        <w:rPr>
          <w:b/>
        </w:rPr>
        <w:t>leída en su fuente · Instrucción de Ptahhotep, máxima 5, en la traducción de Gunn, 1906</w:t>
      </w:r>
      <w:r>
        <w:br/>
      </w:r>
      <w:r>
        <w:rPr>
          <w:b/>
        </w:rPr>
        <w:t>Archivo leído:</w:t>
      </w:r>
      <w:r>
        <w:t xml:space="preserve"> ptah.txt (ant\ptah.txt) · contraste del archivo de pasajes: ✔</w:t>
      </w:r>
      <w:r>
        <w:br/>
      </w:r>
      <w:r>
        <w:rPr>
          <w:b/>
        </w:rPr>
        <w:t>Lugar:</w:t>
      </w:r>
      <w:r>
        <w:t xml:space="preserve"> Instrucción de Ptahhotep, máxima 5, en la traducción de Gunn, 1906</w:t>
      </w:r>
      <w:r>
        <w:br/>
      </w:r>
      <w:r>
        <w:rPr>
          <w:b/>
        </w:rPr>
        <w:t>Tal como está en la fuente:</w:t>
      </w:r>
      <w:r>
        <w:t xml:space="preserve"> For he saith, 'I will obtain by myself for myself,' and saith not, 'I will obtain because I am allowed.'</w:t>
      </w:r>
      <w:r>
        <w:t>.</w:t>
      </w:r>
    </w:p>
    <w:p>
      <w:pPr>
        <w:pStyle w:val="ListBullet"/>
      </w:pPr>
      <w:r>
        <w:rPr>
          <w:b/>
        </w:rPr>
        <w:t>China.</w:t>
      </w:r>
      <w:r>
        <w:t xml:space="preserve"> «¿Dio Yao el trono a Shun?» «No. El soberano no puede dar el trono a otro»</w:t>
      </w:r>
      <w:r>
        <w:t xml:space="preserve"> [original: «'Was it the case that Yao gave the throne to Shun?' Mencius said, 'No. The sovereign cannot give the throne to another.'», en la traducción inglesa de Legge]</w:t>
      </w:r>
      <w:r>
        <w:t xml:space="preserve"> (Mencio 5A, 5, en la traducción de James Legge, 1895)</w:t>
      </w:r>
      <w:r>
        <w:br/>
      </w:r>
      <w:r>
        <w:rPr>
          <w:b/>
        </w:rPr>
        <w:t>pasaje guardado · Mencio 5A, 5, en la traducción de James Legge, 1895</w:t>
      </w:r>
      <w:r>
        <w:br/>
      </w:r>
      <w:r>
        <w:rPr>
          <w:b/>
        </w:rPr>
        <w:t>Archivo leído:</w:t>
      </w:r>
      <w:r>
        <w:t xml:space="preserve"> chapter09.txt (cierre_B3_B4_9oct\mencio_legge_wikisource\chapter09.txt) · contraste del archivo de pasajes: parcial</w:t>
      </w:r>
      <w:r>
        <w:br/>
      </w:r>
      <w:r>
        <w:rPr>
          <w:b/>
        </w:rPr>
        <w:t>Lugar:</w:t>
      </w:r>
      <w:r>
        <w:t xml:space="preserve"> Mencio 5A, 5, en la traducción de James Legge, 1895</w:t>
      </w:r>
      <w:r>
        <w:br/>
      </w:r>
      <w:r>
        <w:rPr>
          <w:b/>
        </w:rPr>
        <w:t>Tal como está en la fuente:</w:t>
      </w:r>
      <w:r>
        <w:t xml:space="preserve"> 'Was it the case that Yao gave the throne to Shun?' Mencius said, 'No. The sovereign cannot give the throne to another.'</w:t>
      </w:r>
      <w:r>
        <w:t>. Lo da «el Cielo», y «el Cielo no habla. Simplemente mostró su voluntad por su conducta personal y por su manera de llevar los asuntos»</w:t>
      </w:r>
      <w:r>
        <w:t xml:space="preserve"> [original: «Heaven does not speak. It simply showed its will by his personal conduct and his conduct of affairs»]</w:t>
      </w:r>
      <w:r>
        <w:t xml:space="preserve"> (Mencio 5A, 5)</w:t>
      </w:r>
      <w:r>
        <w:br/>
      </w:r>
      <w:r>
        <w:rPr>
          <w:b/>
        </w:rPr>
        <w:t>leída en su fuente · Mencio 5A, 5</w:t>
      </w:r>
      <w:r>
        <w:br/>
      </w:r>
      <w:r>
        <w:rPr>
          <w:b/>
        </w:rPr>
        <w:t>Archivo leído:</w:t>
      </w:r>
      <w:r>
        <w:t xml:space="preserve"> 8.3_24_Legge_1895_Chinese_Classics_vol2_Mencius_OCR_archive.txt (c8a\8.3_24_Legge_1895_Chinese_Classics_vol2_Mencius_OCR_archive.txt) · contraste del archivo de pasajes: ✔</w:t>
      </w:r>
      <w:r>
        <w:br/>
      </w:r>
      <w:r>
        <w:rPr>
          <w:b/>
        </w:rPr>
        <w:t>Lugar:</w:t>
      </w:r>
      <w:r>
        <w:t xml:space="preserve"> Mencio 5A, 5</w:t>
      </w:r>
      <w:r>
        <w:br/>
      </w:r>
      <w:r>
        <w:rPr>
          <w:b/>
        </w:rPr>
        <w:t>Tal como está en la fuente:</w:t>
      </w:r>
      <w:r>
        <w:t xml:space="preserve"> Heaven does not speak. It simply showed its will by his personal conduct and his conduct of affairs</w:t>
      </w:r>
      <w:r>
        <w:t>. Es decir, por sus frutos.</w:t>
      </w:r>
    </w:p>
    <w:p>
      <w:pPr>
        <w:pStyle w:val="ListBullet"/>
      </w:pPr>
      <w:r>
        <w:rPr>
          <w:b/>
        </w:rPr>
        <w:t>Grecia.</w:t>
      </w:r>
      <w:r>
        <w:t xml:space="preserve"> En el Timeo, el artífice dice a los dioses que él hizo: «mis creaciones son indisolubles, si así lo quiero»</w:t>
      </w:r>
      <w:r>
        <w:t xml:space="preserve"> [original: «my creations are indissoluble, if so I will», en la traducción inglesa de Jowett]</w:t>
      </w:r>
      <w:r>
        <w:t xml:space="preserve"> (Platón, Timeo 41a-b, en la traducción de Benjamin Jowett)</w:t>
      </w:r>
      <w:r>
        <w:br/>
      </w:r>
      <w:r>
        <w:rPr>
          <w:b/>
        </w:rPr>
        <w:t>leída en su fuente · Platón, Timeo 41a-b, en la traducción de Benjamin Jowett</w:t>
      </w:r>
      <w:r>
        <w:br/>
      </w:r>
      <w:r>
        <w:rPr>
          <w:b/>
        </w:rPr>
        <w:t>Archivo leído:</w:t>
      </w:r>
      <w:r>
        <w:t xml:space="preserve"> pg1572.txt (cierre_B3_B4_9oct\platon_timeo_gutenberg\pg1572.txt) · contraste del archivo de pasajes: ✔</w:t>
      </w:r>
      <w:r>
        <w:br/>
      </w:r>
      <w:r>
        <w:rPr>
          <w:b/>
        </w:rPr>
        <w:t>Lugar:</w:t>
      </w:r>
      <w:r>
        <w:t xml:space="preserve"> Platón, Timeo 41a-b, en la traducción de Benjamin Jowett</w:t>
      </w:r>
      <w:r>
        <w:br/>
      </w:r>
      <w:r>
        <w:rPr>
          <w:b/>
        </w:rPr>
        <w:t>Tal como está en la fuente:</w:t>
      </w:r>
      <w:r>
        <w:t xml:space="preserve"> my creations are indissoluble, if so I will</w:t>
      </w:r>
      <w:r>
        <w:t>. Lo que uno hizo puede sostenerlo; lo que no hizo no es suyo.</w:t>
      </w:r>
    </w:p>
    <w:p>
      <w:pPr>
        <w:pStyle w:val="ListBullet"/>
      </w:pPr>
      <w:r>
        <w:rPr>
          <w:b/>
        </w:rPr>
        <w:t>El cristianismo</w:t>
      </w:r>
      <w:r>
        <w:t>, que depende del Génesis y de los Evangelios y por eso no cuenta como pata aparte (</w:t>
      </w:r>
      <w:r>
        <w:t>0.5</w:t>
      </w:r>
      <w:r>
        <w:t>). Ireneo, sobre la oferta del desierto: «no es él quien ha puesto los reinos de este mundo, sino Dios»</w:t>
      </w:r>
      <w:r>
        <w:t xml:space="preserve"> [original: «For it is not he who has appointed the kingdoms of this world, but God», en la traducción inglesa de Roberts y Donaldson]</w:t>
      </w:r>
      <w:r>
        <w:t xml:space="preserve"> (Ireneo, Contra las herejías V, 24, 1)</w:t>
      </w:r>
      <w:r>
        <w:br/>
      </w:r>
      <w:r>
        <w:rPr>
          <w:b/>
        </w:rPr>
        <w:t>leída en su fuente · Ireneo, Contra las herejías V, 24, 1</w:t>
      </w:r>
      <w:r>
        <w:br/>
      </w:r>
      <w:r>
        <w:rPr>
          <w:b/>
        </w:rPr>
        <w:t>Archivo leído:</w:t>
      </w:r>
      <w:r>
        <w:t xml:space="preserve"> irineo_V_24.htm (cierre_B3_B4_9oct\irineo_agustin_newadvent\irineo_V_24.htm) · contraste del archivo de pasajes: ✔</w:t>
      </w:r>
      <w:r>
        <w:br/>
      </w:r>
      <w:r>
        <w:rPr>
          <w:b/>
        </w:rPr>
        <w:t>Lugar:</w:t>
      </w:r>
      <w:r>
        <w:t xml:space="preserve"> Ireneo, Contra las herejías V, 24, 1</w:t>
      </w:r>
      <w:r>
        <w:br/>
      </w:r>
      <w:r>
        <w:rPr>
          <w:b/>
        </w:rPr>
        <w:t>Tal como está en la fuente:</w:t>
      </w:r>
      <w:r>
        <w:t xml:space="preserve"> For it is not he who has appointed the kingdoms of this world, but God</w:t>
      </w:r>
      <w:r>
        <w:t>.</w:t>
      </w:r>
    </w:p>
    <w:p>
      <w:pPr>
        <w:pStyle w:val="ListBullet"/>
      </w:pPr>
      <w:r>
        <w:rPr>
          <w:b/>
        </w:rPr>
        <w:t>Enfrente, el que ofrece lo que no es suyo.</w:t>
      </w:r>
      <w:r>
        <w:t xml:space="preserve"> Tras mostrar «todos los reinos del mundo, y su gloria»</w:t>
      </w:r>
      <w:r>
        <w:t xml:space="preserve"> (Mt 4:8)</w:t>
      </w:r>
      <w:r>
        <w:br/>
      </w:r>
      <w:r>
        <w:rPr>
          <w:b/>
        </w:rPr>
        <w:t>leída en su fuente · Mt 4:8</w:t>
      </w:r>
      <w:r>
        <w:br/>
      </w:r>
      <w:r>
        <w:rPr>
          <w:b/>
        </w:rPr>
        <w:t>Archivo leído:</w:t>
      </w:r>
      <w:r>
        <w:t xml:space="preserve"> spaRV1909_texto_corrido.txt (biblia_rv1909\spaRV1909_texto_corrido.txt) · contraste del archivo de pasajes: ✔</w:t>
      </w:r>
      <w:r>
        <w:br/>
      </w:r>
      <w:r>
        <w:rPr>
          <w:b/>
        </w:rPr>
        <w:t>Lugar:</w:t>
      </w:r>
      <w:r>
        <w:t xml:space="preserve"> Mt 4:8</w:t>
      </w:r>
      <w:r>
        <w:br/>
      </w:r>
      <w:r>
        <w:rPr>
          <w:b/>
        </w:rPr>
        <w:t>Tal como está en la fuente:</w:t>
      </w:r>
      <w:r>
        <w:t xml:space="preserve"> todos los reinos del mundo, y su gloria</w:t>
      </w:r>
      <w:r>
        <w:t>: «Todo esto te daré, si postrado me adorares»</w:t>
      </w:r>
      <w:r>
        <w:t xml:space="preserve"> (Mt 4:9)</w:t>
      </w:r>
      <w:r>
        <w:br/>
      </w:r>
      <w:r>
        <w:rPr>
          <w:b/>
        </w:rPr>
        <w:t>leída en su fuente · Mt 4:9</w:t>
      </w:r>
      <w:r>
        <w:br/>
      </w:r>
      <w:r>
        <w:rPr>
          <w:b/>
        </w:rPr>
        <w:t>Archivo leído:</w:t>
      </w:r>
      <w:r>
        <w:t xml:space="preserve"> spaRV1909_texto_corrido.txt (biblia_rv1909\spaRV1909_texto_corrido.txt) · contraste del archivo de pasajes: ✔</w:t>
      </w:r>
      <w:r>
        <w:br/>
      </w:r>
      <w:r>
        <w:rPr>
          <w:b/>
        </w:rPr>
        <w:t>Lugar:</w:t>
      </w:r>
      <w:r>
        <w:t xml:space="preserve"> Mt 4:9</w:t>
      </w:r>
      <w:r>
        <w:br/>
      </w:r>
      <w:r>
        <w:rPr>
          <w:b/>
        </w:rPr>
        <w:t>Tal como está en la fuente:</w:t>
      </w:r>
      <w:r>
        <w:t xml:space="preserve"> Todo esto te daré, si postrado me adorares</w:t>
      </w:r>
      <w:r>
        <w:t>. Antes, en el huerto: «seréis como dioses sabiendo el bien y el mal»</w:t>
      </w:r>
      <w:r>
        <w:t xml:space="preserve"> (Gn 3:5)</w:t>
      </w:r>
      <w:r>
        <w:br/>
      </w:r>
      <w:r>
        <w:rPr>
          <w:b/>
        </w:rPr>
        <w:t>leída en su fuente · Gn 3:5</w:t>
      </w:r>
      <w:r>
        <w:br/>
      </w:r>
      <w:r>
        <w:rPr>
          <w:b/>
        </w:rPr>
        <w:t>Archivo leído:</w:t>
      </w:r>
      <w:r>
        <w:t xml:space="preserve"> spaRV1909_texto_corrido.txt (biblia_rv1909\spaRV1909_texto_corrido.txt) · contraste del archivo de pasajes: ✔</w:t>
      </w:r>
      <w:r>
        <w:br/>
      </w:r>
      <w:r>
        <w:rPr>
          <w:b/>
        </w:rPr>
        <w:t>Lugar:</w:t>
      </w:r>
      <w:r>
        <w:t xml:space="preserve"> Gn 3:5</w:t>
      </w:r>
      <w:r>
        <w:br/>
      </w:r>
      <w:r>
        <w:rPr>
          <w:b/>
        </w:rPr>
        <w:t>Tal como está en la fuente:</w:t>
      </w:r>
      <w:r>
        <w:t xml:space="preserve"> seréis como dioses sabiendo el bien y el mal</w:t>
      </w:r>
      <w:r>
        <w:t>. Y en Babilonia, Tiamat alza a Kingu: «el dominio sobre todos los dioses te he confiado»</w:t>
      </w:r>
      <w:r>
        <w:t xml:space="preserve"> [original: «[The dominion over all] the gods have I entrusted [unto thee]», en la traducción inglesa de King, con los corchetes del texto reconstruido]</w:t>
      </w:r>
      <w:r>
        <w:t xml:space="preserve"> (Enuma Elish, tablilla II, 40, en la traducción de L. W. King, 1902)</w:t>
      </w:r>
      <w:r>
        <w:br/>
      </w:r>
      <w:r>
        <w:rPr>
          <w:b/>
        </w:rPr>
        <w:t>leída en su fuente · Enuma Elish, tablilla II, 40, en la traducción de L. W. King, 1902</w:t>
      </w:r>
      <w:r>
        <w:br/>
      </w:r>
      <w:r>
        <w:rPr>
          <w:b/>
        </w:rPr>
        <w:t>Archivo leído:</w:t>
      </w:r>
      <w:r>
        <w:t xml:space="preserve"> enuma_elish_king_1902_vol1.txt (c4\enuma_elish_king_1902_vol1.txt) · contraste del archivo de pasajes: ✔</w:t>
      </w:r>
      <w:r>
        <w:br/>
      </w:r>
      <w:r>
        <w:rPr>
          <w:b/>
        </w:rPr>
        <w:t>Lugar:</w:t>
      </w:r>
      <w:r>
        <w:t xml:space="preserve"> Enuma Elish, tablilla II, 40, en la traducción de L. W. King, 1902</w:t>
      </w:r>
      <w:r>
        <w:br/>
      </w:r>
      <w:r>
        <w:rPr>
          <w:b/>
        </w:rPr>
        <w:t>Tal como está en la fuente:</w:t>
      </w:r>
      <w:r>
        <w:t xml:space="preserve"> [The dominion over all] the gods have I entrusted [unto thee]</w:t>
      </w:r>
      <w:r>
        <w:t>.</w:t>
      </w:r>
    </w:p>
    <w:p>
      <w:r>
        <w:t>Tres patas sin contacto documentado (Egipto, China, Grecia) y la cristiana que las acompaña: la mesa se sostiene. Una oferta de poder hecha por quien no es su dueño es la señal de la usurpación. La prueba se aplica a normas, instituciones y ofertas, nunca a personas (</w:t>
      </w:r>
      <w:r>
        <w:t>0.2</w:t>
      </w:r>
      <w:r>
        <w:t xml:space="preserve">). </w:t>
      </w:r>
      <w:r>
        <w:t>[04c, paso 8; 04f, 3g; Reina-Valera Antigua; extractos comprobados el 8-oct]</w:t>
      </w:r>
    </w:p>
    <w:p>
      <w:r>
        <w:rPr>
          <w:b/>
        </w:rPr>
        <w:t>Que se elige.</w:t>
      </w:r>
      <w:r>
        <w:t xml:space="preserve"> Tres familias sin contacto documentado dicen lo mismo del hombre ante estas dos autoridades: que elige.</w:t>
      </w:r>
    </w:p>
    <w:p>
      <w:pPr>
        <w:pStyle w:val="ListBullet"/>
      </w:pPr>
      <w:r>
        <w:rPr>
          <w:b/>
        </w:rPr>
        <w:t>Persia:</w:t>
      </w:r>
      <w:r>
        <w:t xml:space="preserve"> «Oíd con vuestros oídos las mejores cosas; miradlas con pensamiento claro, para decidir entre las dos Creencias, cada hombre por sí mismo»</w:t>
      </w:r>
      <w:r>
        <w:t xml:space="preserve"> [original: «Hear with your ears the best things; look upon them with clear-seeing thought, for decision between the two Beliefs, each man for himself», en la traducción inglesa de avesta.org]</w:t>
      </w:r>
      <w:r>
        <w:t xml:space="preserve"> (Yasna 30:2)</w:t>
      </w:r>
      <w:r>
        <w:br/>
      </w:r>
      <w:r>
        <w:rPr>
          <w:b/>
        </w:rPr>
        <w:t>leída en su fuente · Yasna 30:2</w:t>
      </w:r>
      <w:r>
        <w:br/>
      </w:r>
      <w:r>
        <w:rPr>
          <w:b/>
        </w:rPr>
        <w:t>Archivo leído:</w:t>
      </w:r>
      <w:r>
        <w:t xml:space="preserve"> yasna_ingles_avesta_org.html (c4\yasna_ingles_avesta_org.html) · contraste del archivo de pasajes: ✔</w:t>
      </w:r>
      <w:r>
        <w:br/>
      </w:r>
      <w:r>
        <w:rPr>
          <w:b/>
        </w:rPr>
        <w:t>Lugar:</w:t>
      </w:r>
      <w:r>
        <w:t xml:space="preserve"> Yasna 30:2</w:t>
      </w:r>
      <w:r>
        <w:br/>
      </w:r>
      <w:r>
        <w:rPr>
          <w:b/>
        </w:rPr>
        <w:t>Tal como está en la fuente:</w:t>
      </w:r>
      <w:r>
        <w:t xml:space="preserve"> Hear with your ears the best things; look upon them with clear-seeing thought, for decision between the two Beliefs, each man for himself</w:t>
      </w:r>
      <w:r>
        <w:t>.</w:t>
      </w:r>
    </w:p>
    <w:p>
      <w:pPr>
        <w:pStyle w:val="ListBullet"/>
      </w:pPr>
      <w:r>
        <w:rPr>
          <w:b/>
        </w:rPr>
        <w:t>La India:</w:t>
      </w:r>
      <w:r>
        <w:t xml:space="preserve"> «Medita; y, como quieras, obra»</w:t>
      </w:r>
      <w:r>
        <w:t xml:space="preserve"> [original: «Meditate! And--as thou wilt--then act!», en la traducción inglesa de Arnold]</w:t>
      </w:r>
      <w:r>
        <w:t xml:space="preserve"> (Bhagavad Gita XVIII, 63, en la traducción de Edwin Arnold)</w:t>
      </w:r>
      <w:r>
        <w:br/>
      </w:r>
      <w:r>
        <w:rPr>
          <w:b/>
        </w:rPr>
        <w:t>leída en su fuente · Bhagavad Gita XVIII, 63, en la traducción de Edwin Arnold</w:t>
      </w:r>
      <w:r>
        <w:br/>
      </w:r>
      <w:r>
        <w:rPr>
          <w:b/>
        </w:rPr>
        <w:t>Archivo leído:</w:t>
      </w:r>
      <w:r>
        <w:t xml:space="preserve"> pg2388.txt (cierre_B3_B4_9oct\gita_arnold_gutenberg\pg2388.txt) · contraste del archivo de pasajes: ✔</w:t>
      </w:r>
      <w:r>
        <w:br/>
      </w:r>
      <w:r>
        <w:rPr>
          <w:b/>
        </w:rPr>
        <w:t>Lugar:</w:t>
      </w:r>
      <w:r>
        <w:t xml:space="preserve"> Bhagavad Gita XVIII, 63, en la traducción de Edwin Arnold</w:t>
      </w:r>
      <w:r>
        <w:br/>
      </w:r>
      <w:r>
        <w:rPr>
          <w:b/>
        </w:rPr>
        <w:t>Tal como está en la fuente:</w:t>
      </w:r>
      <w:r>
        <w:t xml:space="preserve"> Meditate! And--as thou wilt--then act!</w:t>
      </w:r>
      <w:r>
        <w:t>.</w:t>
      </w:r>
    </w:p>
    <w:p>
      <w:pPr>
        <w:pStyle w:val="ListBullet"/>
      </w:pPr>
      <w:r>
        <w:rPr>
          <w:b/>
        </w:rPr>
        <w:t>El cristianismo:</w:t>
      </w:r>
      <w:r>
        <w:t xml:space="preserve"> «Dios hizo al hombre libre desde el principio, dueño de su propio poder»</w:t>
      </w:r>
      <w:r>
        <w:t xml:space="preserve"> [original: «God made man a free [agent] from the beginning, possessing his own power», en la traducción inglesa de Roberts y Donaldson]</w:t>
      </w:r>
      <w:r>
        <w:t xml:space="preserve"> (Ireneo, Contra las herejías IV, 37, 1)</w:t>
      </w:r>
      <w:r>
        <w:br/>
      </w:r>
      <w:r>
        <w:rPr>
          <w:b/>
        </w:rPr>
        <w:t>leída en su fuente · Ireneo, Contra las herejías IV, 37, 1</w:t>
      </w:r>
      <w:r>
        <w:br/>
      </w:r>
      <w:r>
        <w:rPr>
          <w:b/>
        </w:rPr>
        <w:t>Archivo leído:</w:t>
      </w:r>
      <w:r>
        <w:t xml:space="preserve"> irineo_0103437.htm (cierre_B3_B4_9oct\irineo_agustin_newadvent\irineo_0103437.htm) · contraste del archivo de pasajes: ✔</w:t>
      </w:r>
      <w:r>
        <w:br/>
      </w:r>
      <w:r>
        <w:rPr>
          <w:b/>
        </w:rPr>
        <w:t>Lugar:</w:t>
      </w:r>
      <w:r>
        <w:t xml:space="preserve"> Ireneo, Contra las herejías IV, 37, 1</w:t>
      </w:r>
      <w:r>
        <w:br/>
      </w:r>
      <w:r>
        <w:rPr>
          <w:b/>
        </w:rPr>
        <w:t>Tal como está en la fuente:</w:t>
      </w:r>
      <w:r>
        <w:t xml:space="preserve"> God made man a free [agent] from the beginning, possessing his own power</w:t>
      </w:r>
      <w:r>
        <w:t>.</w:t>
      </w:r>
    </w:p>
    <w:p>
      <w:r>
        <w:t xml:space="preserve">Converge solo esto: que se elige. Cuánta libertad hay, o si es el valor más alto, no lo dicen los tres, y va como lectura del autor. </w:t>
      </w:r>
      <w:r>
        <w:t>[04c, apartado 5; 04f, 3h; Kiko, 8-oct: «sí»]</w:t>
      </w:r>
    </w:p>
    <w:p>
      <w:r>
        <w:rPr>
          <w:b/>
        </w:rPr>
        <w:t>Lectura del autor:</w:t>
      </w:r>
      <w:r>
        <w:t xml:space="preserve"> todo constructo humano puede estar corrompido por un interés ilegítimo. «Que trabaje el prójimo y así yo vivo bien» es un desequilibrio: una cosa es la simbiosis y otra la esclavitud. No se dice de todos, porque sería presunción (</w:t>
      </w:r>
      <w:r>
        <w:t>0.4</w:t>
      </w:r>
      <w:r>
        <w:t>): se comprueba caso por caso, con quién escribió la norma y quién gana con ella (</w:t>
      </w:r>
      <w:r>
        <w:t>1.7</w:t>
      </w:r>
      <w:r>
        <w:t>), y se desvela. Desvelar no es juzgar a nadie: es poner los intereses a la vista. Por eso hay que empezar por seguir a quien tiene autoridad legítima y hablar en verdad comprobada. Las referencias ya existían; lo único que faltaba era ordenarlas (</w:t>
      </w:r>
      <w:r>
        <w:t>0.2</w:t>
      </w:r>
      <w:r>
        <w:t>). De dónde viene en último término la autoridad original, el autor lo tiene por de Dios; es su lectura, y el criterio funciona sin ella: «da igual el nombre que cada pueblo dé a Dios» (</w:t>
      </w:r>
      <w:r>
        <w:t>0.1</w:t>
      </w:r>
      <w:r>
        <w:t xml:space="preserve">). </w:t>
      </w:r>
      <w:r>
        <w:t>[palabras de Kiko, 8-oct-2026; 04c, apartados 3 y 5]</w:t>
      </w:r>
    </w:p>
    <w:p>
      <w:r>
        <w:rPr>
          <w:b/>
        </w:rPr>
        <w:t>Lo que no se puede decir.</w:t>
      </w:r>
      <w:r>
        <w:t xml:space="preserve"> No se prueba el origen último de la autoridad original: solo lo comprobable (que no tiene autor interesado, que converge, que pasa la vara). No se evalúa la virtud interior de ninguna persona: se mira la norma, quién la escribió, quién gana y qué fruto dio. Y «derivada» no quita a ninguna ley vigente su obligación</w:t>
      </w:r>
      <w:r>
        <w:t xml:space="preserve"> (Constitución, art. 9.1)</w:t>
      </w:r>
      <w:r>
        <w:t xml:space="preserve">. Cómo se mide hacia dónde apunta cada cosa, con un centro que solo pueden poner las dos autoridades originales, se explica en el </w:t>
      </w:r>
      <w:r>
        <w:t>anexo J</w:t>
      </w:r>
      <w:r>
        <w:t xml:space="preserve">. </w:t>
      </w:r>
      <w:r>
        <w:t>[04c, apartado 5; 04o, puntos 2 y 3]</w:t>
      </w:r>
    </w:p>
    <w:p>
      <w:pPr>
        <w:pStyle w:val="Heading2"/>
      </w:pPr>
      <w:r>
        <w:t>Límite honesto de la prueba</w:t>
      </w:r>
    </w:p>
    <w:p>
      <w:pPr>
        <w:pStyle w:val="ListBullet"/>
      </w:pPr>
      <w:r>
        <w:rPr>
          <w:b/>
        </w:rPr>
        <w:t>La costumbre no derriba la ley vigente.</w:t>
      </w:r>
      <w:r>
        <w:t xml:space="preserve"> En el derecho civil común, la costumbre rige en defecto de ley, nunca contra ella, y quien la alega debe probarla. Solo en Navarra prevalece «aunque sea contra ley». </w:t>
      </w:r>
      <w:r>
        <w:t>[02.00-2.4 y 21.1]</w:t>
      </w:r>
    </w:p>
    <w:p>
      <w:pPr>
        <w:pStyle w:val="ListBullet"/>
      </w:pPr>
      <w:r>
        <w:rPr>
          <w:b/>
        </w:rPr>
        <w:t>La ley natural no se litiga directamente.</w:t>
      </w:r>
      <w:r>
        <w:t xml:space="preserve"> Inspira el derecho y funda su crítica, pero no se alega sin más ante un juzgado. Un juez no puede dejar de aplicar una ley porque la crea injusta: frente a una ley solo puede plantear la cuestión de inconstitucionalidad</w:t>
      </w:r>
      <w:r>
        <w:t xml:space="preserve"> (Constitución, art. 163)</w:t>
      </w:r>
      <w:r>
        <w:t xml:space="preserve">. </w:t>
      </w:r>
      <w:r>
        <w:t>[02.00-21.1; 20.00-23.2]</w:t>
      </w:r>
    </w:p>
    <w:p>
      <w:pPr>
        <w:pStyle w:val="ListBullet"/>
      </w:pPr>
      <w:r>
        <w:rPr>
          <w:b/>
        </w:rPr>
        <w:t>Las máximas latinas no anulan leyes con solo citarlas.</w:t>
      </w:r>
      <w:r>
        <w:t xml:space="preserve"> Valen cuando el derecho vigente las ha recogido, o para mostrar que un principio no es un capricho reciente. </w:t>
      </w:r>
      <w:r>
        <w:t>[02.00-15.2]</w:t>
      </w:r>
    </w:p>
    <w:p>
      <w:pPr>
        <w:pStyle w:val="ListBullet"/>
      </w:pPr>
      <w:r>
        <w:rPr>
          <w:b/>
        </w:rPr>
        <w:t>Nada de esto exime de las obligaciones vigentes</w:t>
      </w:r>
      <w:r>
        <w:t xml:space="preserve"> (Constitución, art. 9.1)</w:t>
      </w:r>
      <w:r>
        <w:t xml:space="preserve">. </w:t>
      </w:r>
      <w:r>
        <w:t>[02.00-21.1]</w:t>
      </w:r>
    </w:p>
    <w:p>
      <w:pPr>
        <w:pStyle w:val="ListBullet"/>
      </w:pPr>
      <w:r>
        <w:rPr>
          <w:b/>
        </w:rPr>
        <w:t>La codificación fue un progreso.</w:t>
      </w:r>
      <w:r>
        <w:t xml:space="preserve"> Los códigos del siglo XIX trajeron la igualdad ante la ley y acabaron con muchos privilegios. Lo que la obra afirma como hecho es el patrón (7 de 8); la intención va solo como lectura, porque un patrón no prueba una intención. </w:t>
      </w:r>
      <w:r>
        <w:t>[11.00-14.8 y 14.9, concesión que se queda en este capítulo]</w:t>
      </w:r>
    </w:p>
    <w:p>
      <w:pPr>
        <w:pStyle w:val="ListBullet"/>
      </w:pPr>
      <w:r>
        <w:rPr>
          <w:b/>
        </w:rPr>
        <w:t>Las fuentes que no se han podido leer en el original</w:t>
      </w:r>
      <w:r>
        <w:t xml:space="preserve"> van marcadas como «fuente secundaria»: Egipto y Qumrán (de Qumrán se ha leído la doctrina de los dos espíritus, pero no la reserva de la doctrina), la copia de la sentencia de las Tres Vacas, el privilegio del Consolat de Mar (citado por dos historiadores) y la sentencia del Supremo de 1999.</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«la validez de la ley no depende de la moral», «imponer una ley natural es imponer una moral», «el Estado es aconfesional», «el derecho natural y las máximas latinas no son derecho aplicable» y «sin coacción, el derecho sería papel»;</w:t>
      </w:r>
    </w:p>
    <w:p>
      <w:pPr>
        <w:pStyle w:val="ListBullet"/>
      </w:pPr>
      <w:r>
        <w:rPr>
          <w:b/>
        </w:rPr>
        <w:t>y en los cargos 1 («La ley humana, primera fuente»), 2 («Nada por encima de la Constitución») y 7 («Lo legal es lo justo»)</w:t>
      </w:r>
      <w:r>
        <w:t xml:space="preserve"> (</w:t>
      </w:r>
      <w:r>
        <w:t>11.3</w:t>
      </w:r>
      <w:r>
        <w:t>).</w:t>
      </w:r>
    </w:p>
    <w:p>
      <w:r>
        <w:t>[clasificación de las defensas, aprobada; glosario 8.13]</w:t>
      </w:r>
    </w:p>
    <w:p>
      <w:pPr>
        <w:pStyle w:val="Heading2"/>
      </w:pPr>
      <w:r>
        <w:t>Para recordar</w:t>
      </w:r>
    </w:p>
    <w:p>
      <w:pPr>
        <w:pStyle w:val="ListBullet"/>
      </w:pPr>
      <w:r>
        <w:t>Por encima de todo, la ley de Dios; después, la ley natural; después, la costumbre; y al final, la ley que escriben los hombres.</w:t>
      </w:r>
    </w:p>
    <w:p>
      <w:pPr>
        <w:pStyle w:val="ListBullet"/>
      </w:pPr>
      <w:r>
        <w:t>La ley natural la tiene cualquier persona: lo dicen Grecia y China sin haberse leído, y también se dice quién sostuvo lo contrario.</w:t>
      </w:r>
    </w:p>
    <w:p>
      <w:pPr>
        <w:pStyle w:val="ListBullet"/>
      </w:pPr>
      <w:r>
        <w:t>Una ley es ley si nace de la razón, busca el bien común, la dicta quien tiene autoridad y se da a conocer; si contradice a las de arriba, es «corrupción de la ley».</w:t>
      </w:r>
    </w:p>
    <w:p>
      <w:pPr>
        <w:pStyle w:val="ListBullet"/>
      </w:pPr>
      <w:r>
        <w:t>El orden oficial es el inverso, y lo invirtió casi siempre quien tenía el poder de legislar: nadie debería ser juez en su propia causa.</w:t>
      </w:r>
    </w:p>
    <w:p>
      <w:pPr>
        <w:pStyle w:val="ListBullet"/>
      </w:pPr>
      <w:r>
        <w:t>La autoridad es poder de mandar con título: original, la de la ley de Dios y la natural; derivada, la de la costumbre y la ley escrita, que se pierde por el conflicto de interés, por salirse del bien común y por apartarse de lo superior.</w:t>
      </w:r>
    </w:p>
    <w:p>
      <w:pPr>
        <w:pStyle w:val="ListBullet"/>
      </w:pPr>
      <w:r>
        <w:t>La obra trabaja en la jurisdicción de la verdad y no exime de ninguna obligación del Estado.</w:t>
      </w:r>
    </w:p>
    <w:p>
      <w:pPr>
        <w:pStyle w:val="ListBullet"/>
      </w:pPr>
      <w:r>
        <w:rPr>
          <w:b/>
        </w:rPr>
        <w:t>Lo que aquí se expone que hay que podar (lectura del autor):</w:t>
      </w:r>
      <w:r>
        <w:t xml:space="preserve"> el orden invertido, que pone la ley que escriben los hombres en el primer lugar, el que corresponde a la ley de Dios; y la autoridad que se ejerce siendo juez en su propia causa.</w:t>
      </w:r>
    </w:p>
    <w:p>
      <w:pPr>
        <w:pStyle w:val="ListBullet"/>
      </w:pPr>
      <w:r>
        <w:rPr>
          <w:b/>
        </w:rPr>
        <w:t>Lo siguiente:</w:t>
      </w:r>
      <w:r>
        <w:t xml:space="preserve"> a quién sirven esas leyes: la persona, lo que trae al nacer y los derechos que tiene antes que ningún Estado (</w:t>
      </w:r>
      <w:r>
        <w:t>capítulo 2</w:t>
      </w:r>
      <w:r>
        <w:t>).</w:t>
      </w:r>
    </w:p>
    <w:p>
      <w:r>
        <w:br w:type="page"/>
      </w:r>
    </w:p>
    <w:p>
      <w:pPr>
        <w:pStyle w:val="Heading1"/>
      </w:pPr>
      <w:r>
        <w:t>2 La persona y los derechos que preceden al Estado</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187</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(B13: Kiko, chat de 08.18, 06:3x, «si» a la forma «sin contacto documentado entre sí»; orden de 08.29, filas 709 y 710 de 08/01, tras la auditoría de 10.36): las 2 frases en este capítulo con la forma de antes pasan a decir «sin contacto documentado» (07/herramientas/aplicar_contacto_documentado.py).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3 (borrador B16). Ninguna otra palabra cambia. Cambio del 12-oct-2026 (Kiko, chat de 08.18, 06:3x, pasado por 08.18 tal cual, a «¿das el sí a los nueve cambios de 07.6?»: «si»; borrador B13, el barrido de los cuantificadores vagos en las frases con dato): en 2.3, «Lo dicen tradiciones que nunca se leyeron entre sí» pasa a «tradiciones sin contacto documentado entre sí», y la conclusión ya no dice «sin contacto entre sí» de una lista que junta a Israel y al islam; en 2.5, el mito de Er decía al revés lo que dice Platón: en la traducción de Jowett, de las almas que eligieron mal, «the greater number of them came from heaven» (la mayoría venían del cielo), no que la mayoría de las que venían del cielo eligieran mal. Ninguna otra palabra cambia. Cambio del 9-oct-2026 (Kiko: «Sí al M4 con las tres recomendaciones» en el chat de 08 y «Sí al M4, aplícalo» en el de 07; borrador M4 de la carpeta 07, apartado 4; 04p fila 12): al final de «Varón y hembra, en las tradiciones», en 2.3, un bloque nuevo para el escalón 6 («Lo extenso»): las 78 fichas de los pasajes que leyó la obra, agrupadas por tradición y con su clasificación (concuerda, contrapunto o neutro); los 57 que no estaban arriba, con su pasaje entero y su original; los 21 que ya se ven arriba, solo con su ficha. Generado por programa desde el índice del agente de fuentes (carpeta 07); no cambia ningún texto anterior, y cumple lo que decían las frases «78 pasajes, que se ven en el nivel más hondo» y «todos, con su clasificación, en el más hondo». Cambio del 9-oct-2026 (Kiko: «Sí, concuerdo» al texto de la mujer y el varón; borrador B2 versión 3 de la carpeta 07; 04p fila 12 y 03b A6): al final de 2.3, un bloque nuevo «Varón y hembra, en las tradiciones»: cinco pasajes visibles en «Lectura» y «Con fuentes» (la Biblia en sus dos relatos, el Upanishad y el Corán dos veces), el resto en el nivel completo, y los 78 pasajes de 19 tradiciones en el nivel más hondo; conclusión sin cuentas («coinciden», no «convergen»: las fechas son casi todas aproximadas y no está comprobada la independencia), «Lo que no se puede decir» y la «Lectura del autor». Cambio del 8-oct-2026 (fase de reparación, auditoría de las citas contra los originales): en 2.1, la cita de Gn 1:27 pasa de «creó Dios al hombre á su imagen» a «crió Dios al hombre á su imagen», como dice la Reina-Valera 1909 (eBible, spaRV1909). Cambio del 8-oct-2026 (parlamento sobre los mitos; Kiko: «sí a las tres, con tus recomendaciones» y el añadido del método de medir): 2.6 pasa de «Lo que esta obra no es: los mitos del movimiento soberano» a «El camino que sigue esta obra, y el que deja»: se quitan el nombre del grupo y la palabra «mito», se cuenta cómo empezó la obra y se añade el método de medir. También cambian el resumen, la lista de 2.0, el límite honesto, la defensa y «Para recordar». No cambia ningún dato ni ninguna cita. ESTADO: APROBADO por Kiko el 5-oct-2026 («sí a las tres»). Su material está marcado en el inventario (04 CAPITULOS/marcas/marcas del capitulo 2.txt). Cualquier cambio posterior, con su aprobación. Añadido el 5-oct, con su aprobación: los flecos leídos en su fuente (informe 05b; libreta 72, punto 135). Trazabilidad: al final de cada párrafo o bloque, entre corchetes, de dónde sale (código del inventario de procedencia, entrada del glosario único o libreta). Corregido también en la Biblioteca y en la app el 5-oct (Kiko: «sí»): las citas de la Reina-Valera de 00.00, «Por sus frutos» y el nombre del grupo en 08.00, y la coma del art. 4 de la Declaración en 03.00. El índice (2.1) y el mapa del capítulo 0 (0.6) ya no dicen «persona viva». Citas leídas hoy en su fuente original: Declaración Universal (texto oficial en español, un.org); Constitución, Código Civil, Ley 40/2015 y Código Penal (BOE, texto consolidado); Aquino, con la definición de Boecio (corpusthomisticum.org); Kant (edición de la Academia, korpora.org); Mill (Gutenberg); Platón, Apología y Fedro (Perseus); Analectas, Mencio, Laozi y Xunzi (Wikisource, en chino); Pirkei Avot (Sefaria); Biblia (Reina-Valera Antigua); Corán (Julio Cortés); Sahih Muslim (texto árabe, de una copia de datos de la colección: fuente secundaria). Lo del glosario 2.3, 9.2 y 9.2.1 ya se leyó en su fuente el 5-oct y no se ha vuelto a revisar. Fuente secundaria, marcada en el texto: la «persona ficta» atribuida a Inocencio IV; la crítica de Mboti a Ubuntu. Leídos el 5-oct (flecos): Ubuntu, en el informe de la Comisión de la Verdad (1998); Agustín y Pelagio (De natura et gratia); Solzhenitsyn (ruso, Obras, t. 5, 2010); Guadalupe (1486) y Cádiz (1811). Correcciones halladas al comprobar (la Biblioteca las cita de otra manera): Job 42:5-6, Mt 18:3-4, Rm 7:19 y 7:24, Mt 19:17 y Pr 6:31 (ahora con el texto literal de la Reina-Valera); 08.00 decía «Por sus actos los conoceréis», y el versículo dice «Por sus frutos» (Mt 7:16); el artículo 4 de la Declaración lleva coma, no punto y coma. Título de 2.1: «La persona y el ente sin cuerpo», sin «viva», porque el glosario 2.1 (aprobado) retira «persona viva»; el índice decía «La persona viva y el ente sin cuerpo». Cautela de datos personales: el dicho del marinero va sin el nombre del pueblo (el lugar de nacimiento del autor no entra en la edición). Si Kiko quiere el pueblo, se añade. Conceptos que ancla este capítulo: la persona y el ciudadano; el ente sin cuerpo; el derecho de nacimiento; los derechos inalienables; «soberanos somos todos»; los aprendices; la madurez; el límite del respeto; el grano y la paja, con su condición. Lo que pasa a otro sitio: el llamamiento breve (00.00-1.1) y la invitación a los ángeles, a 11.6; las tres voces y «como es arriba, es abajo» (00.00-4.7), a 4.2; los casos completos de los mitos, al anexo E. TRES NIVELES (Kiko, 5-oct-2026, «sí a las dos»; libreta 72, puntos 112 y 113): pasado al formato de tres niveles sin cambiar ningún dato ni ninguna cita (la prueba de formato, aprobada). Añadido: «En pocas palabras», «La idea» de cada apartado y «Para recordar». Quitada una repetición: el Código Civil, art. 29, ahora solo en 2.1. Marcas: {fuente: …} niveles 2 y 3; {original: …} nivel 3; [trazabilidad] nivel 3; {completo} solo nivel 3; {breve} solo niveles 1 y 2.</w:t>
      </w:r>
    </w:p>
    <w:p>
      <w:pPr>
        <w:pBdr>
          <w:left w:val="single" w:sz="24" w:space="6" w:color="E2DED6"/>
        </w:pBdr>
        <w:shd w:val="clear" w:color="auto" w:fill="F1EEE8"/>
        <w:spacing w:before="80" w:after="160"/>
        <w:ind w:left="142" w:right="142"/>
      </w:pPr>
      <w:r>
        <w:rPr>
          <w:b/>
        </w:rPr>
        <w:t>En pocas palabras:</w:t>
      </w:r>
    </w:p>
    <w:p>
      <w:pPr>
        <w:pStyle w:val="ListBullet"/>
      </w:pPr>
      <w:r>
        <w:t>La persona es el ser humano, con una dignidad que nadie le da: la ley la encuentra al nacer. La persona jurídica, en cambio, la hace la ley.</w:t>
      </w:r>
    </w:p>
    <w:p>
      <w:pPr>
        <w:pStyle w:val="ListBullet"/>
      </w:pPr>
      <w:r>
        <w:t>Los derechos que preceden al Estado son inalienables: la ley los reconoce, no los crea. La propia Constitución los llama «inherentes».</w:t>
      </w:r>
    </w:p>
    <w:p>
      <w:pPr>
        <w:pStyle w:val="ListBullet"/>
      </w:pPr>
      <w:r>
        <w:t>«Soberanos somos todos»: cada persona es dueña de sí misma, y nadie lo es de otra. No exime de la ley.</w:t>
      </w:r>
    </w:p>
    <w:p>
      <w:pPr>
        <w:pStyle w:val="ListBullet"/>
      </w:pPr>
      <w:r>
        <w:t>Todos somos aprendices: nadie se declara maduro a sí mismo; la madurez se ve en los frutos.</w:t>
      </w:r>
    </w:p>
    <w:p>
      <w:pPr>
        <w:pStyle w:val="ListBullet"/>
      </w:pPr>
      <w:r>
        <w:t>Esta obra empezó con la documentación de personas que defienden su soberanía y siguió otro camino: lo que no tiene documento es una presunción, y no se admite.</w:t>
      </w:r>
    </w:p>
    <w:p>
      <w:pPr>
        <w:pStyle w:val="Heading2"/>
      </w:pPr>
      <w:r>
        <w:t>2.0 Propósito</w:t>
      </w:r>
    </w:p>
    <w:p>
      <w:r>
        <w:t xml:space="preserve">El </w:t>
      </w:r>
      <w:r>
        <w:t>capítulo 1</w:t>
      </w:r>
      <w:r>
        <w:t xml:space="preserve"> puso en orden las leyes. Este mira a quién sirven: a la persona. Dice quién es, qué trae al nacer y qué derechos tiene antes que ningún Estado, y la distingue de las instituciones a las que el derecho también llama «personas».</w:t>
      </w:r>
    </w:p>
    <w:p>
      <w:r>
        <w:rPr>
          <w:b/>
        </w:rPr>
        <w:t>El árbol.</w:t>
      </w:r>
      <w:r>
        <w:t xml:space="preserve"> El autor ordena todo esto con una imagen:</w:t>
      </w:r>
    </w:p>
    <w:p>
      <w:pPr>
        <w:pStyle w:val="ListBullet"/>
      </w:pPr>
      <w:r>
        <w:rPr>
          <w:b/>
        </w:rPr>
        <w:t>la raíz</w:t>
      </w:r>
      <w:r>
        <w:t xml:space="preserve"> son los derechos que preceden al Estado: fijos, «son los que son»;</w:t>
      </w:r>
    </w:p>
    <w:p>
      <w:pPr>
        <w:pStyle w:val="ListBullet"/>
      </w:pPr>
      <w:r>
        <w:rPr>
          <w:b/>
        </w:rPr>
        <w:t>el tronco</w:t>
      </w:r>
      <w:r>
        <w:t xml:space="preserve"> es lo más alto que hoy sostiene el ordenamiento español: antes terminaba en la Constitución, y hoy sigue creciendo hacia el derecho de la Unión Europea (lo que eso significa se examina en el juicio, en el </w:t>
      </w:r>
      <w:r>
        <w:t>cargo 2</w:t>
      </w:r>
      <w:r>
        <w:t>);</w:t>
      </w:r>
    </w:p>
    <w:p>
      <w:pPr>
        <w:pStyle w:val="ListBullet"/>
      </w:pPr>
      <w:r>
        <w:rPr>
          <w:b/>
        </w:rPr>
        <w:t>la rama gruesa</w:t>
      </w:r>
      <w:r>
        <w:t xml:space="preserve"> es la Constitución de 1978;</w:t>
      </w:r>
    </w:p>
    <w:p>
      <w:pPr>
        <w:pStyle w:val="ListBullet"/>
      </w:pPr>
      <w:r>
        <w:rPr>
          <w:b/>
        </w:rPr>
        <w:t>las ramas finas</w:t>
      </w:r>
      <w:r>
        <w:t xml:space="preserve"> son las divisiones del derecho que crecen de ella: civil, penal, administrativo, laboral.</w:t>
      </w:r>
    </w:p>
    <w:p>
      <w:r>
        <w:t>Todas dependen de la misma raíz, y por todas corre la misma savia: una ley es legítima cuando nace de la razón, se dirige al bien común, la dicta quien tiene autoridad para ello y se da a conocer (</w:t>
      </w:r>
      <w:r>
        <w:t>1.6</w:t>
      </w:r>
      <w:r>
        <w:t>).</w:t>
      </w:r>
    </w:p>
    <w:p>
      <w:r>
        <w:t>[11.00-0.1, 11.1 y 13.1; imagen del autor]</w:t>
      </w:r>
    </w:p>
    <w:p>
      <w:r>
        <w:t>Este capítulo trata de la raíz:</w:t>
      </w:r>
    </w:p>
    <w:p>
      <w:pPr>
        <w:pStyle w:val="ListBullet"/>
      </w:pPr>
      <w:r>
        <w:rPr>
          <w:b/>
        </w:rPr>
        <w:t>2.1</w:t>
      </w:r>
      <w:r>
        <w:t xml:space="preserve"> quién es la persona, y en qué se diferencia de la institución que actúa como persona;</w:t>
      </w:r>
    </w:p>
    <w:p>
      <w:pPr>
        <w:pStyle w:val="ListBullet"/>
      </w:pPr>
      <w:r>
        <w:rPr>
          <w:b/>
        </w:rPr>
        <w:t>2.2</w:t>
      </w:r>
      <w:r>
        <w:t xml:space="preserve"> qué derechos trae al nacer, y dónde los recoge hoy la ley española;</w:t>
      </w:r>
    </w:p>
    <w:p>
      <w:pPr>
        <w:pStyle w:val="ListBullet"/>
      </w:pPr>
      <w:r>
        <w:rPr>
          <w:b/>
        </w:rPr>
        <w:t>2.3</w:t>
      </w:r>
      <w:r>
        <w:t xml:space="preserve"> qué quiere decir «soberanos somos todos»;</w:t>
      </w:r>
    </w:p>
    <w:p>
      <w:pPr>
        <w:pStyle w:val="ListBullet"/>
      </w:pPr>
      <w:r>
        <w:rPr>
          <w:b/>
        </w:rPr>
        <w:t>2.4</w:t>
      </w:r>
      <w:r>
        <w:t xml:space="preserve"> el cuerpo, la conciencia y el respeto, en la voz del autor;</w:t>
      </w:r>
    </w:p>
    <w:p>
      <w:pPr>
        <w:pStyle w:val="ListBullet"/>
      </w:pPr>
      <w:r>
        <w:rPr>
          <w:b/>
        </w:rPr>
        <w:t>2.5</w:t>
      </w:r>
      <w:r>
        <w:t xml:space="preserve"> por qué todos somos aprendices;</w:t>
      </w:r>
    </w:p>
    <w:p>
      <w:pPr>
        <w:pStyle w:val="ListBullet"/>
      </w:pPr>
      <w:r>
        <w:rPr>
          <w:b/>
        </w:rPr>
        <w:t>2.6</w:t>
      </w:r>
      <w:r>
        <w:t xml:space="preserve"> y el camino que sigue esta obra, y el que deja.</w:t>
      </w:r>
    </w:p>
    <w:p>
      <w:pPr>
        <w:pStyle w:val="Heading2"/>
      </w:pPr>
      <w:r>
        <w:t>2.1 La persona y el ente sin cuerpo</w:t>
      </w:r>
    </w:p>
    <w:p>
      <w:pPr>
        <w:pBdr>
          <w:left w:val="single" w:sz="24" w:space="6" w:color="E2DED6"/>
        </w:pBdr>
        <w:shd w:val="clear" w:color="auto" w:fill="F1EEE8"/>
        <w:spacing w:before="80" w:after="160"/>
        <w:ind w:left="142" w:right="142"/>
      </w:pPr>
      <w:r>
        <w:rPr>
          <w:b/>
        </w:rPr>
        <w:t>La idea: la palabra «persona» tiene dos sentidos, el ser humano por su dignidad y la institución a la que la ley trata como persona. No son lo mismo.</w:t>
      </w:r>
    </w:p>
    <w:p>
      <w:r>
        <w:rPr>
          <w:b/>
        </w:rPr>
        <w:t>La persona, por su dignidad.</w:t>
      </w:r>
      <w:r>
        <w:t xml:space="preserve"> Tomás de Aquino recoge la definición que dio Boecio en su libro sobre las dos naturalezas: la persona es «la sustancia individual de naturaleza racional»</w:t>
      </w:r>
      <w:r>
        <w:t xml:space="preserve"> [original: «persona est rationalis naturae individua substantia»]</w:t>
      </w:r>
      <w:r>
        <w:t xml:space="preserve"> (Suma teológica I, q. 29, a. 1)</w:t>
      </w:r>
      <w:r>
        <w:br/>
      </w:r>
      <w:r>
        <w:rPr>
          <w:b/>
        </w:rPr>
        <w:t>leída en su fuente · Suma teológica I, q. 29, a. 1</w:t>
      </w:r>
      <w:r>
        <w:br/>
      </w:r>
      <w:r>
        <w:rPr>
          <w:b/>
        </w:rPr>
        <w:t>Archivo leído:</w:t>
      </w:r>
      <w:r>
        <w:t xml:space="preserve"> aquino_i29.html (c2\aquino_i29.html) · contraste del archivo de pasajes: ✔</w:t>
      </w:r>
      <w:r>
        <w:br/>
      </w:r>
      <w:r>
        <w:rPr>
          <w:b/>
        </w:rPr>
        <w:t>Lugar:</w:t>
      </w:r>
      <w:r>
        <w:t xml:space="preserve"> Suma teológica I, q. 29, a. 1</w:t>
      </w:r>
      <w:r>
        <w:br/>
      </w:r>
      <w:r>
        <w:rPr>
          <w:b/>
        </w:rPr>
        <w:t>Tal como está en la fuente:</w:t>
      </w:r>
      <w:r>
        <w:t xml:space="preserve"> persona est rationalis naturae individua substantia</w:t>
      </w:r>
      <w:r>
        <w:t>. Y explica por qué ese nombre honra: «porque es de gran dignidad subsistir en una naturaleza racional, todo individuo de naturaleza racional se llama persona»</w:t>
      </w:r>
      <w:r>
        <w:t xml:space="preserve"> [original: «quia magnae dignitatis est in rationali natura subsistere, ideo omne individuum rationalis naturae dicitur persona»]</w:t>
      </w:r>
      <w:r>
        <w:t xml:space="preserve"> (Suma teológica I, q. 29, a. 3, respuesta a la segunda objeción)</w:t>
      </w:r>
      <w:r>
        <w:br/>
      </w:r>
      <w:r>
        <w:rPr>
          <w:b/>
        </w:rPr>
        <w:t>leída en su fuente · Suma teológica I, q. 29, a. 3, respuesta a la segunda objeción</w:t>
      </w:r>
      <w:r>
        <w:br/>
      </w:r>
      <w:r>
        <w:rPr>
          <w:b/>
        </w:rPr>
        <w:t>Archivo leído:</w:t>
      </w:r>
      <w:r>
        <w:t xml:space="preserve"> aquino_i29.html (c2\aquino_i29.html) · contraste del archivo de pasajes: ✔</w:t>
      </w:r>
      <w:r>
        <w:br/>
      </w:r>
      <w:r>
        <w:rPr>
          <w:b/>
        </w:rPr>
        <w:t>Lugar:</w:t>
      </w:r>
      <w:r>
        <w:t xml:space="preserve"> Suma teológica I, q. 29, a. 3, respuesta a la segunda objeción</w:t>
      </w:r>
      <w:r>
        <w:br/>
      </w:r>
      <w:r>
        <w:rPr>
          <w:b/>
        </w:rPr>
        <w:t>Tal como está en la fuente:</w:t>
      </w:r>
      <w:r>
        <w:t xml:space="preserve"> quia magnae dignitatis est in rationali natura subsistere, ideo omne individuum rationalis naturae dicitur persona</w:t>
      </w:r>
      <w:r>
        <w:t>. Es el sentido de la Declaración Universal, que habla de «todo ser humano».</w:t>
      </w:r>
    </w:p>
    <w:p>
      <w:r>
        <w:t>[03.00-1.1 y 1.2; Aquino leído en latín]</w:t>
      </w:r>
    </w:p>
    <w:p>
      <w:r>
        <w:rPr>
          <w:b/>
        </w:rPr>
        <w:t>La persona que hace el derecho.</w:t>
      </w:r>
      <w:r>
        <w:t xml:space="preserve"> La ley llama también «personas» a ciertas instituciones: «Son personas jurídicas: 1.º Las corporaciones, asociaciones y fundaciones de interés público reconocidas por la ley»</w:t>
      </w:r>
      <w:r>
        <w:t xml:space="preserve"> (Código Civil, art. 35)</w:t>
      </w:r>
      <w:r>
        <w:br/>
      </w:r>
      <w:r>
        <w:rPr>
          <w:b/>
        </w:rPr>
        <w:t>leída en su fuente · Código Civil, art. 35</w:t>
      </w:r>
      <w:r>
        <w:br/>
      </w:r>
      <w:r>
        <w:rPr>
          <w:b/>
        </w:rPr>
        <w:t>Archivo leído:</w:t>
      </w:r>
      <w:r>
        <w:t xml:space="preserve"> cc.html (ant\c1\cc.html) · contraste del archivo de pasajes: ✔</w:t>
      </w:r>
      <w:r>
        <w:br/>
      </w:r>
      <w:r>
        <w:rPr>
          <w:b/>
        </w:rPr>
        <w:t>Lugar:</w:t>
      </w:r>
      <w:r>
        <w:t xml:space="preserve"> Código Civil, art. 35</w:t>
      </w:r>
      <w:r>
        <w:br/>
      </w:r>
      <w:r>
        <w:rPr>
          <w:b/>
        </w:rPr>
        <w:t>Tal como está en la fuente:</w:t>
      </w:r>
      <w:r>
        <w:t xml:space="preserve"> Son personas jurídicas: 1.º Las corporaciones, asociaciones y fundaciones de interés público reconocidas por la ley</w:t>
      </w:r>
      <w:r>
        <w:t>. Y la Administración «actúa para el cumplimiento de sus fines con personalidad jurídica única»</w:t>
      </w:r>
      <w:r>
        <w:t xml:space="preserve"> (Ley 40/2015, art. 3.4)</w:t>
      </w:r>
      <w:r>
        <w:br/>
      </w:r>
      <w:r>
        <w:rPr>
          <w:b/>
        </w:rPr>
        <w:t>leída en su fuente · Ley 40/2015, art. 3.4</w:t>
      </w:r>
      <w:r>
        <w:br/>
      </w:r>
      <w:r>
        <w:rPr>
          <w:b/>
        </w:rPr>
        <w:t>Archivo leído:</w:t>
      </w:r>
      <w:r>
        <w:t xml:space="preserve"> l40.html (ant\c1\l40.html) · contraste del archivo de pasajes: ✔</w:t>
      </w:r>
      <w:r>
        <w:br/>
      </w:r>
      <w:r>
        <w:rPr>
          <w:b/>
        </w:rPr>
        <w:t>Lugar:</w:t>
      </w:r>
      <w:r>
        <w:t xml:space="preserve"> Ley 40/2015, art. 3.4</w:t>
      </w:r>
      <w:r>
        <w:br/>
      </w:r>
      <w:r>
        <w:rPr>
          <w:b/>
        </w:rPr>
        <w:t>Tal como está en la fuente:</w:t>
      </w:r>
      <w:r>
        <w:t xml:space="preserve"> actúa para el cumplimiento de sus fines con personalidad jurídica única</w:t>
      </w:r>
      <w:r>
        <w:t>.</w:t>
      </w:r>
    </w:p>
    <w:p>
      <w:r>
        <w:t xml:space="preserve">La idea viene de lejos: en el siglo XIII, los juristas de la Iglesia empezaron a tratar a las corporaciones como </w:t>
      </w:r>
      <w:r>
        <w:rPr>
          <w:i/>
        </w:rPr>
        <w:t>persona ficta</w:t>
      </w:r>
      <w:r>
        <w:t xml:space="preserve"> (persona fingida), para que pudieran actuar en derecho; se atribuye al papa Inocencio IV (fuente secundaria). Y hoy las personas jurídicas «pueden adquirir y poseer bienes de todas clases, así como contraer obligaciones y ejercitar acciones civiles o criminales» (Código Civil, art. 38).</w:t>
      </w:r>
    </w:p>
    <w:p>
      <w:r>
        <w:t>[03.00-1.1 y 1.2; Código Civil y Ley 40/2015 leídos en el BOE]</w:t>
      </w:r>
    </w:p>
    <w:p>
      <w:r>
        <w:rPr>
          <w:b/>
        </w:rPr>
        <w:t>Cómo empieza cada una:</w:t>
      </w:r>
    </w:p>
    <w:p>
      <w:pPr>
        <w:pStyle w:val="ListBullet"/>
      </w:pPr>
      <w:r>
        <w:rPr>
          <w:b/>
        </w:rPr>
        <w:t>la persona:</w:t>
      </w:r>
      <w:r>
        <w:t xml:space="preserve"> «El nacimiento determina la personalidad»</w:t>
      </w:r>
      <w:r>
        <w:t xml:space="preserve"> (Código Civil, art. 29)</w:t>
      </w:r>
      <w:r>
        <w:br/>
      </w:r>
      <w:r>
        <w:rPr>
          <w:b/>
        </w:rPr>
        <w:t>leída en su fuente · Código Civil, art. 29</w:t>
      </w:r>
      <w:r>
        <w:br/>
      </w:r>
      <w:r>
        <w:rPr>
          <w:b/>
        </w:rPr>
        <w:t>Archivo leído:</w:t>
      </w:r>
      <w:r>
        <w:t xml:space="preserve"> codigo_civil_1889.html (c5\codigo_civil_1889.html) · contraste del archivo de pasajes: ✔</w:t>
      </w:r>
      <w:r>
        <w:br/>
      </w:r>
      <w:r>
        <w:rPr>
          <w:b/>
        </w:rPr>
        <w:t>Lugar:</w:t>
      </w:r>
      <w:r>
        <w:t xml:space="preserve"> Art. 30 (#art30)</w:t>
      </w:r>
      <w:r>
        <w:br/>
      </w:r>
      <w:r>
        <w:rPr>
          <w:b/>
        </w:rPr>
        <w:t>Dirección:</w:t>
      </w:r>
      <w:r>
        <w:t xml:space="preserve"> </w:t>
      </w:r>
      <w:r>
        <w:t>https://www.boe.es/buscar/act.php?id=BOE-A-1889-4763</w:t>
      </w:r>
      <w:r>
        <w:br/>
      </w:r>
      <w:r>
        <w:rPr>
          <w:b/>
        </w:rPr>
        <w:t>Tal como está en la fuente:</w:t>
      </w:r>
      <w:r>
        <w:t xml:space="preserve"> El nacimiento determina la personalidad; pero el concebido se tiene por nacido</w:t>
      </w:r>
      <w:r>
        <w:t>, y la personalidad «se extingue por la muerte de las personas»</w:t>
      </w:r>
      <w:r>
        <w:t xml:space="preserve"> (Código Civil, art. 32)</w:t>
      </w:r>
      <w:r>
        <w:br/>
      </w:r>
      <w:r>
        <w:rPr>
          <w:b/>
        </w:rPr>
        <w:t>leída en su fuente · Código Civil, art. 32</w:t>
      </w:r>
      <w:r>
        <w:br/>
      </w:r>
      <w:r>
        <w:rPr>
          <w:b/>
        </w:rPr>
        <w:t>Archivo leído:</w:t>
      </w:r>
      <w:r>
        <w:t xml:space="preserve"> cc.html (ant\c1\cc.html) · contraste del archivo de pasajes: ✔</w:t>
      </w:r>
      <w:r>
        <w:br/>
      </w:r>
      <w:r>
        <w:rPr>
          <w:b/>
        </w:rPr>
        <w:t>Lugar:</w:t>
      </w:r>
      <w:r>
        <w:t xml:space="preserve"> Código Civil, art. 32</w:t>
      </w:r>
      <w:r>
        <w:br/>
      </w:r>
      <w:r>
        <w:rPr>
          <w:b/>
        </w:rPr>
        <w:t>Tal como está en la fuente:</w:t>
      </w:r>
      <w:r>
        <w:t xml:space="preserve"> se extingue por la muerte de las personas</w:t>
      </w:r>
      <w:r>
        <w:t>;</w:t>
      </w:r>
    </w:p>
    <w:p>
      <w:pPr>
        <w:pStyle w:val="ListBullet"/>
      </w:pPr>
      <w:r>
        <w:t>el momento exacto: la personalidad «se adquiere en el momento del nacimiento con vida, una vez producido el entero desprendimiento del seno materno» (Código Civil, art. 30);</w:t>
      </w:r>
    </w:p>
    <w:p>
      <w:pPr>
        <w:pStyle w:val="ListBullet"/>
      </w:pPr>
      <w:r>
        <w:rPr>
          <w:b/>
        </w:rPr>
        <w:t>la persona jurídica:</w:t>
      </w:r>
      <w:r>
        <w:t xml:space="preserve"> «Su personalidad empieza desde el instante mismo en que, con arreglo a derecho, hubiesen quedado válidamente constituidas»</w:t>
      </w:r>
      <w:r>
        <w:t xml:space="preserve"> (Código Civil, art. 35)</w:t>
      </w:r>
      <w:r>
        <w:br/>
      </w:r>
      <w:r>
        <w:rPr>
          <w:b/>
        </w:rPr>
        <w:t>leída en su fuente · Código Civil, art. 35</w:t>
      </w:r>
      <w:r>
        <w:br/>
      </w:r>
      <w:r>
        <w:rPr>
          <w:b/>
        </w:rPr>
        <w:t>Archivo leído:</w:t>
      </w:r>
      <w:r>
        <w:t xml:space="preserve"> cc.html (ant\c1\cc.html) · contraste del archivo de pasajes: ✔</w:t>
      </w:r>
      <w:r>
        <w:br/>
      </w:r>
      <w:r>
        <w:rPr>
          <w:b/>
        </w:rPr>
        <w:t>Lugar:</w:t>
      </w:r>
      <w:r>
        <w:t xml:space="preserve"> Código Civil, art. 35</w:t>
      </w:r>
      <w:r>
        <w:br/>
      </w:r>
      <w:r>
        <w:rPr>
          <w:b/>
        </w:rPr>
        <w:t>Tal como está en la fuente:</w:t>
      </w:r>
      <w:r>
        <w:t xml:space="preserve"> Su personalidad empieza desde el instante mismo en que, con arreglo a derecho, hubiesen quedado válidamente constituidas</w:t>
      </w:r>
      <w:r>
        <w:t>.</w:t>
      </w:r>
    </w:p>
    <w:p>
      <w:r>
        <w:rPr>
          <w:b/>
        </w:rPr>
        <w:t>Conclusión, lo que arrojan los datos:</w:t>
      </w:r>
      <w:r>
        <w:t xml:space="preserve"> a la persona, la ley la encuentra: nace, y desde ese momento es persona. A la persona jurídica, la ley la hace: existe desde que se constituye conforme a derecho. Una tiene cuerpo, conciencia y muerte; la otra, no.</w:t>
      </w:r>
    </w:p>
    <w:p>
      <w:r>
        <w:t>[Código Civil leído en el BOE]</w:t>
      </w:r>
    </w:p>
    <w:p>
      <w:r>
        <w:rPr>
          <w:b/>
        </w:rPr>
        <w:t>El ente sin cuerpo.</w:t>
      </w:r>
      <w:r>
        <w:t xml:space="preserve"> Desde aquí, la edición llama así a la institución que actúa como si fuera una persona, sin un cuerpo ni una conciencia que respondan por ella. No es una opinión: es lo que describen los artículos citados. Cómo llega el derecho a tratarla como persona se explica en </w:t>
      </w:r>
      <w:r>
        <w:t>5.3</w:t>
      </w:r>
      <w:r>
        <w:t>.</w:t>
      </w:r>
    </w:p>
    <w:p>
      <w:r>
        <w:t>[glosario 3.2]</w:t>
      </w:r>
    </w:p>
    <w:p>
      <w:r>
        <w:rPr>
          <w:b/>
        </w:rPr>
        <w:t>La persona y el ciudadano.</w:t>
      </w:r>
      <w:r>
        <w:t xml:space="preserve"> La persona es el ser humano, con los derechos que tiene antes que el Estado. El ciudadano es la persona en su relación con el Estado: paga, pide y recibe una respuesta o el silencio. En esta obra, «persona» se usa solo en el sentido de la dignidad; la otra es siempre «persona jurídica».</w:t>
      </w:r>
    </w:p>
    <w:p>
      <w:r>
        <w:t>[glosario 2.1; 03.00-1.1]</w:t>
      </w:r>
    </w:p>
    <w:p>
      <w:pPr>
        <w:pStyle w:val="Heading2"/>
      </w:pPr>
      <w:r>
        <w:t>2.2 El derecho de nacimiento y los derechos inalienables</w:t>
      </w:r>
    </w:p>
    <w:p>
      <w:pPr>
        <w:pBdr>
          <w:left w:val="single" w:sz="24" w:space="6" w:color="E2DED6"/>
        </w:pBdr>
        <w:shd w:val="clear" w:color="auto" w:fill="F1EEE8"/>
        <w:spacing w:before="80" w:after="160"/>
        <w:ind w:left="142" w:right="142"/>
      </w:pPr>
      <w:r>
        <w:rPr>
          <w:b/>
        </w:rPr>
        <w:t>La idea: cada persona trae al nacer derechos que ninguna ley le da ni le puede quitar. La ley los reconoce; no los crea.</w:t>
      </w:r>
    </w:p>
    <w:p>
      <w:r>
        <w:rPr>
          <w:b/>
        </w:rPr>
        <w:t>Dos nombres, cada uno con su papel:</w:t>
      </w:r>
    </w:p>
    <w:p>
      <w:pPr>
        <w:pStyle w:val="ListBullet"/>
      </w:pPr>
      <w:r>
        <w:rPr>
          <w:b/>
        </w:rPr>
        <w:t>el derecho de nacimiento,</w:t>
      </w:r>
      <w:r>
        <w:t xml:space="preserve"> en singular, es lo que cada persona trae al nacer: su dignidad y su dominio sobre sí misma (</w:t>
      </w:r>
      <w:r>
        <w:t>2.3</w:t>
      </w:r>
      <w:r>
        <w:t>). Es la raíz del árbol;</w:t>
      </w:r>
    </w:p>
    <w:p>
      <w:pPr>
        <w:pStyle w:val="ListBullet"/>
      </w:pPr>
      <w:r>
        <w:rPr>
          <w:b/>
        </w:rPr>
        <w:t>los derechos inalienables,</w:t>
      </w:r>
      <w:r>
        <w:t xml:space="preserve"> en plural, o derechos que preceden al Estado, son los derechos concretos que salen de esa raíz y que ninguna ley concede ni puede quitar.</w:t>
      </w:r>
    </w:p>
    <w:p>
      <w:r>
        <w:t>[glosario 2.2]</w:t>
      </w:r>
    </w:p>
    <w:p>
      <w:r>
        <w:rPr>
          <w:b/>
        </w:rPr>
        <w:t>Lo que dicen los textos:</w:t>
      </w:r>
    </w:p>
    <w:p>
      <w:pPr>
        <w:pStyle w:val="ListBullet"/>
      </w:pPr>
      <w:r>
        <w:t>La Declaración Universal de Derechos Humanos, de 1948</w:t>
      </w:r>
      <w:r>
        <w:t xml:space="preserve"> (proclamada por la Asamblea General de las Naciones Unidas en París, el 10 de diciembre de 1948, resolución 217 A (III))</w:t>
      </w:r>
      <w:r>
        <w:t>, parte del «reconocimiento de la dignidad intrínseca y de los derechos iguales e inalienables de todos los miembros de la familia humana»</w:t>
      </w:r>
      <w:r>
        <w:t xml:space="preserve"> (Declaración Universal, preámbulo)</w:t>
      </w:r>
      <w:r>
        <w:br/>
      </w:r>
      <w:r>
        <w:rPr>
          <w:b/>
        </w:rPr>
        <w:t>leída en su fuente · Declaración Universal, preámbulo</w:t>
      </w:r>
      <w:r>
        <w:br/>
      </w:r>
      <w:r>
        <w:rPr>
          <w:b/>
        </w:rPr>
        <w:t>Archivo leído:</w:t>
      </w:r>
      <w:r>
        <w:t xml:space="preserve"> dudh.html (c2\dudh.html) · contraste del archivo de pasajes: ✔</w:t>
      </w:r>
      <w:r>
        <w:br/>
      </w:r>
      <w:r>
        <w:rPr>
          <w:b/>
        </w:rPr>
        <w:t>Lugar:</w:t>
      </w:r>
      <w:r>
        <w:t xml:space="preserve"> Declaración Universal, preámbulo</w:t>
      </w:r>
      <w:r>
        <w:br/>
      </w:r>
      <w:r>
        <w:rPr>
          <w:b/>
        </w:rPr>
        <w:t>Tal como está en la fuente:</w:t>
      </w:r>
      <w:r>
        <w:t xml:space="preserve"> reconocimiento de la dignidad intrínseca y de los derechos iguales e inalienables de todos los miembros de la familia humana</w:t>
      </w:r>
      <w:r>
        <w:t>. Y su primer artículo dice: «Todos los seres humanos nacen libres e iguales en dignidad y derechos y, dotados como están de razón y conciencia, deben comportarse fraternalmente los unos con los otros»</w:t>
      </w:r>
      <w:r>
        <w:t xml:space="preserve"> (Declaración Universal, art. 1)</w:t>
      </w:r>
      <w:r>
        <w:br/>
      </w:r>
      <w:r>
        <w:rPr>
          <w:b/>
        </w:rPr>
        <w:t>leída en su fuente · Declaración Universal, art. 1</w:t>
      </w:r>
      <w:r>
        <w:br/>
      </w:r>
      <w:r>
        <w:rPr>
          <w:b/>
        </w:rPr>
        <w:t>Archivo leído:</w:t>
      </w:r>
      <w:r>
        <w:t xml:space="preserve"> dudh.html (c2\dudh.html) · contraste del archivo de pasajes: ✔</w:t>
      </w:r>
      <w:r>
        <w:br/>
      </w:r>
      <w:r>
        <w:rPr>
          <w:b/>
        </w:rPr>
        <w:t>Lugar:</w:t>
      </w:r>
      <w:r>
        <w:t xml:space="preserve"> Declaración Universal, art. 1</w:t>
      </w:r>
      <w:r>
        <w:br/>
      </w:r>
      <w:r>
        <w:rPr>
          <w:b/>
        </w:rPr>
        <w:t>Tal como está en la fuente:</w:t>
      </w:r>
      <w:r>
        <w:t xml:space="preserve"> Todos los seres humanos nacen libres e iguales en dignidad y derechos y, dotados como están de razón y conciencia, deben comportarse fraternalmente los unos con los otros</w:t>
      </w:r>
      <w:r>
        <w:t>.</w:t>
      </w:r>
    </w:p>
    <w:p>
      <w:pPr>
        <w:pStyle w:val="ListBullet"/>
      </w:pPr>
      <w:r>
        <w:t>La Constitución usa la misma idea: «La dignidad de la persona, los derechos inviolables que le son inherentes [...] son fundamento del orden político y de la paz social»</w:t>
      </w:r>
      <w:r>
        <w:t xml:space="preserve"> (Constitución, art. 10.1)</w:t>
      </w:r>
      <w:r>
        <w:br/>
      </w:r>
      <w:r>
        <w:rPr>
          <w:b/>
        </w:rPr>
        <w:t>leída en su fuente · Constitución, art. 10.1</w:t>
      </w:r>
      <w:r>
        <w:br/>
      </w:r>
      <w:r>
        <w:rPr>
          <w:b/>
        </w:rPr>
        <w:t>Archivo leído:</w:t>
      </w:r>
      <w:r>
        <w:t xml:space="preserve"> constitucion_1978.html (c5\constitucion_1978.html) · contraste del archivo de pasajes: ✔</w:t>
      </w:r>
      <w:r>
        <w:br/>
      </w:r>
      <w:r>
        <w:rPr>
          <w:b/>
        </w:rPr>
        <w:t>Lugar:</w:t>
      </w:r>
      <w:r>
        <w:t xml:space="preserve"> Art. 10.1 (#a10)</w:t>
      </w:r>
      <w:r>
        <w:br/>
      </w:r>
      <w:r>
        <w:rPr>
          <w:b/>
        </w:rPr>
        <w:t>Dirección:</w:t>
      </w:r>
      <w:r>
        <w:t xml:space="preserve"> </w:t>
      </w:r>
      <w:r>
        <w:t>https://www.boe.es/buscar/act.php?id=BOE-A-1978-31229</w:t>
      </w:r>
      <w:r>
        <w:br/>
      </w:r>
      <w:r>
        <w:rPr>
          <w:b/>
        </w:rPr>
        <w:t>Tal como está en la fuente:</w:t>
      </w:r>
      <w:r>
        <w:t xml:space="preserve"> 1. La dignidad de la persona, los derechos inviolables que le son inherentes</w:t>
      </w:r>
      <w:r>
        <w:t>. Y manda leer los derechos que reconoce «de conformidad con la Declaración Universal de Derechos Humanos»</w:t>
      </w:r>
      <w:r>
        <w:t xml:space="preserve"> (Constitución, art. 10.2)</w:t>
      </w:r>
      <w:r>
        <w:br/>
      </w:r>
      <w:r>
        <w:rPr>
          <w:b/>
        </w:rPr>
        <w:t>leída en su fuente · Constitución, art. 10.2</w:t>
      </w:r>
      <w:r>
        <w:br/>
      </w:r>
      <w:r>
        <w:rPr>
          <w:b/>
        </w:rPr>
        <w:t>Archivo leído:</w:t>
      </w:r>
      <w:r>
        <w:t xml:space="preserve"> ce.html (ant\c1\ce.html) · contraste del archivo de pasajes: ✔</w:t>
      </w:r>
      <w:r>
        <w:br/>
      </w:r>
      <w:r>
        <w:rPr>
          <w:b/>
        </w:rPr>
        <w:t>Lugar:</w:t>
      </w:r>
      <w:r>
        <w:t xml:space="preserve"> Constitución, art. 10.2</w:t>
      </w:r>
      <w:r>
        <w:br/>
      </w:r>
      <w:r>
        <w:rPr>
          <w:b/>
        </w:rPr>
        <w:t>Tal como está en la fuente:</w:t>
      </w:r>
      <w:r>
        <w:t xml:space="preserve"> de conformidad con la Declaración Universal de Derechos Humanos</w:t>
      </w:r>
      <w:r>
        <w:t>.</w:t>
      </w:r>
    </w:p>
    <w:p>
      <w:r>
        <w:t>[03.00-0.1, 3.1 a 3.3 y 30.2; Declaración leída en un.org; Constitución leída en el BOE]</w:t>
      </w:r>
    </w:p>
    <w:p>
      <w:r>
        <w:rPr>
          <w:b/>
        </w:rPr>
        <w:t>Conclusión, lo que arrojan los datos:</w:t>
      </w:r>
      <w:r>
        <w:t xml:space="preserve"> los propios textos del Estado llaman a estos derechos «inherentes» e «inalienables». No los da: los reconoce.</w:t>
      </w:r>
    </w:p>
    <w:p>
      <w:r>
        <w:rPr>
          <w:b/>
        </w:rPr>
        <w:t>Dónde viven hoy.</w:t>
      </w:r>
      <w:r>
        <w:t xml:space="preserve"> Cada uno de los treinta artículos de la Declaración tiene su sitio en la ley española: la vida y la integridad</w:t>
      </w:r>
      <w:r>
        <w:t xml:space="preserve"> (Constitución, art. 15)</w:t>
      </w:r>
      <w:r>
        <w:t>, la igualdad</w:t>
      </w:r>
      <w:r>
        <w:t xml:space="preserve"> (art. 14)</w:t>
      </w:r>
      <w:r>
        <w:t>, la libertad</w:t>
      </w:r>
      <w:r>
        <w:t xml:space="preserve"> (art. 17)</w:t>
      </w:r>
      <w:r>
        <w:t>, la protección de los jueces</w:t>
      </w:r>
      <w:r>
        <w:t xml:space="preserve"> (art. 24)</w:t>
      </w:r>
      <w:r>
        <w:t>, la libertad de conciencia</w:t>
      </w:r>
      <w:r>
        <w:t xml:space="preserve"> (art. 16)</w:t>
      </w:r>
      <w:r>
        <w:t xml:space="preserve"> o la de expresión</w:t>
      </w:r>
      <w:r>
        <w:t xml:space="preserve"> (art. 20)</w:t>
      </w:r>
      <w:r>
        <w:t>. Cinco de ellos están, del todo o en parte, entre los «principios rectores», que no se pueden exigir ante un juez como los demás (véase el límite honesto).</w:t>
      </w:r>
    </w:p>
    <w:p>
      <w:r>
        <w:t>La segunda columna resume el texto oficial de la Declaración; la tercera da el artículo de la Constitución (o de la ley que se indica) donde vive hoy ese derecho. Lo marcado con PR está en el capítulo de los «principios rectores».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Art.</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reconoce la Declaración</w:t>
            </w:r>
          </w:p>
        </w:tc>
        <w:tc>
          <w:tcPr>
            <w:tcW w:type="dxa" w:w="3061"/>
            <w:shd w:val="clear" w:color="auto" w:fill="F1EEE8"/>
          </w:tcPr>
          <w:p>
            <w:pPr>
              <w:spacing w:after="20" w:line="264" w:lineRule="auto"/>
            </w:pPr>
            <w:r>
              <w:rPr>
                <w:b/>
              </w:rPr>
            </w:r>
            <w:r>
              <w:rPr>
                <w:rFonts w:ascii="Segoe UI" w:hAnsi="Segoe UI" w:eastAsia="Segoe UI" w:cs="Segoe UI"/>
                <w:b/>
                <w:color w:val="1F1D1A"/>
                <w:sz w:val="18"/>
              </w:rPr>
              <w:t>Dónde lo recoge el derecho español</w:t>
            </w:r>
          </w:p>
        </w:tc>
      </w:tr>
      <w:tr>
        <w:tc>
          <w:tcPr>
            <w:tcW w:type="dxa" w:w="3061"/>
          </w:tcPr>
          <w:p>
            <w:pPr>
              <w:spacing w:after="20" w:line="264" w:lineRule="auto"/>
            </w:pPr>
            <w:r/>
            <w:r>
              <w:rPr>
                <w:rFonts w:ascii="Segoe UI" w:hAnsi="Segoe UI" w:eastAsia="Segoe UI" w:cs="Segoe UI"/>
                <w:color w:val="1F1D1A"/>
                <w:sz w:val="18"/>
              </w:rPr>
              <w:t>1</w:t>
            </w:r>
          </w:p>
        </w:tc>
        <w:tc>
          <w:tcPr>
            <w:tcW w:type="dxa" w:w="3061"/>
          </w:tcPr>
          <w:p>
            <w:pPr>
              <w:spacing w:after="20" w:line="264" w:lineRule="auto"/>
            </w:pPr>
            <w:r/>
            <w:r>
              <w:rPr>
                <w:rFonts w:ascii="Segoe UI" w:hAnsi="Segoe UI" w:eastAsia="Segoe UI" w:cs="Segoe UI"/>
                <w:color w:val="1F1D1A"/>
                <w:sz w:val="18"/>
              </w:rPr>
              <w:t>Todos nacen libres e iguales en dignidad y derechos</w:t>
            </w:r>
          </w:p>
        </w:tc>
        <w:tc>
          <w:tcPr>
            <w:tcW w:type="dxa" w:w="3061"/>
          </w:tcPr>
          <w:p>
            <w:pPr>
              <w:spacing w:after="20" w:line="264" w:lineRule="auto"/>
            </w:pPr>
            <w:r/>
            <w:r>
              <w:rPr>
                <w:rFonts w:ascii="Segoe UI" w:hAnsi="Segoe UI" w:eastAsia="Segoe UI" w:cs="Segoe UI"/>
                <w:color w:val="1F1D1A"/>
                <w:sz w:val="18"/>
              </w:rPr>
              <w:t>Constitución, art. 10.1</w:t>
            </w:r>
          </w:p>
        </w:tc>
      </w:tr>
      <w:tr>
        <w:tc>
          <w:tcPr>
            <w:tcW w:type="dxa" w:w="3061"/>
          </w:tcPr>
          <w:p>
            <w:pPr>
              <w:spacing w:after="20" w:line="264" w:lineRule="auto"/>
            </w:pPr>
            <w:r/>
            <w:r>
              <w:rPr>
                <w:rFonts w:ascii="Segoe UI" w:hAnsi="Segoe UI" w:eastAsia="Segoe UI" w:cs="Segoe UI"/>
                <w:color w:val="1F1D1A"/>
                <w:sz w:val="18"/>
              </w:rPr>
              <w:t>2</w:t>
            </w:r>
          </w:p>
        </w:tc>
        <w:tc>
          <w:tcPr>
            <w:tcW w:type="dxa" w:w="3061"/>
          </w:tcPr>
          <w:p>
            <w:pPr>
              <w:spacing w:after="20" w:line="264" w:lineRule="auto"/>
            </w:pPr>
            <w:r/>
            <w:r>
              <w:rPr>
                <w:rFonts w:ascii="Segoe UI" w:hAnsi="Segoe UI" w:eastAsia="Segoe UI" w:cs="Segoe UI"/>
                <w:color w:val="1F1D1A"/>
                <w:sz w:val="18"/>
              </w:rPr>
              <w:t>Los derechos son de todos, sin distinción de raza, color, sexo, idioma, religión, opinión, origen, posición económica, nacimiento o cualquier otra condición</w:t>
            </w:r>
          </w:p>
        </w:tc>
        <w:tc>
          <w:tcPr>
            <w:tcW w:type="dxa" w:w="3061"/>
          </w:tcPr>
          <w:p>
            <w:pPr>
              <w:spacing w:after="20" w:line="264" w:lineRule="auto"/>
            </w:pPr>
            <w:r/>
            <w:r>
              <w:rPr>
                <w:rFonts w:ascii="Segoe UI" w:hAnsi="Segoe UI" w:eastAsia="Segoe UI" w:cs="Segoe UI"/>
                <w:color w:val="1F1D1A"/>
                <w:sz w:val="18"/>
              </w:rPr>
              <w:t>art. 14</w:t>
            </w:r>
          </w:p>
        </w:tc>
      </w:tr>
      <w:tr>
        <w:tc>
          <w:tcPr>
            <w:tcW w:type="dxa" w:w="3061"/>
          </w:tcPr>
          <w:p>
            <w:pPr>
              <w:spacing w:after="20" w:line="264" w:lineRule="auto"/>
            </w:pPr>
            <w:r/>
            <w:r>
              <w:rPr>
                <w:rFonts w:ascii="Segoe UI" w:hAnsi="Segoe UI" w:eastAsia="Segoe UI" w:cs="Segoe UI"/>
                <w:color w:val="1F1D1A"/>
                <w:sz w:val="18"/>
              </w:rPr>
              <w:t>3</w:t>
            </w:r>
          </w:p>
        </w:tc>
        <w:tc>
          <w:tcPr>
            <w:tcW w:type="dxa" w:w="3061"/>
          </w:tcPr>
          <w:p>
            <w:pPr>
              <w:spacing w:after="20" w:line="264" w:lineRule="auto"/>
            </w:pPr>
            <w:r/>
            <w:r>
              <w:rPr>
                <w:rFonts w:ascii="Segoe UI" w:hAnsi="Segoe UI" w:eastAsia="Segoe UI" w:cs="Segoe UI"/>
                <w:color w:val="1F1D1A"/>
                <w:sz w:val="18"/>
              </w:rPr>
              <w:t>La vida, la libertad y la seguridad</w:t>
            </w:r>
          </w:p>
        </w:tc>
        <w:tc>
          <w:tcPr>
            <w:tcW w:type="dxa" w:w="3061"/>
          </w:tcPr>
          <w:p>
            <w:pPr>
              <w:spacing w:after="20" w:line="264" w:lineRule="auto"/>
            </w:pPr>
            <w:r/>
            <w:r>
              <w:rPr>
                <w:rFonts w:ascii="Segoe UI" w:hAnsi="Segoe UI" w:eastAsia="Segoe UI" w:cs="Segoe UI"/>
                <w:color w:val="1F1D1A"/>
                <w:sz w:val="18"/>
              </w:rPr>
              <w:t>arts. 15 y 17.1</w:t>
            </w:r>
          </w:p>
        </w:tc>
      </w:tr>
      <w:tr>
        <w:tc>
          <w:tcPr>
            <w:tcW w:type="dxa" w:w="3061"/>
          </w:tcPr>
          <w:p>
            <w:pPr>
              <w:spacing w:after="20" w:line="264" w:lineRule="auto"/>
            </w:pPr>
            <w:r/>
            <w:r>
              <w:rPr>
                <w:rFonts w:ascii="Segoe UI" w:hAnsi="Segoe UI" w:eastAsia="Segoe UI" w:cs="Segoe UI"/>
                <w:color w:val="1F1D1A"/>
                <w:sz w:val="18"/>
              </w:rPr>
              <w:t>4</w:t>
            </w:r>
          </w:p>
        </w:tc>
        <w:tc>
          <w:tcPr>
            <w:tcW w:type="dxa" w:w="3061"/>
          </w:tcPr>
          <w:p>
            <w:pPr>
              <w:spacing w:after="20" w:line="264" w:lineRule="auto"/>
            </w:pPr>
            <w:r/>
            <w:r>
              <w:rPr>
                <w:rFonts w:ascii="Segoe UI" w:hAnsi="Segoe UI" w:eastAsia="Segoe UI" w:cs="Segoe UI"/>
                <w:color w:val="1F1D1A"/>
                <w:sz w:val="18"/>
              </w:rPr>
              <w:t>Nadie será esclavo ni siervo</w:t>
            </w:r>
          </w:p>
        </w:tc>
        <w:tc>
          <w:tcPr>
            <w:tcW w:type="dxa" w:w="3061"/>
          </w:tcPr>
          <w:p>
            <w:pPr>
              <w:spacing w:after="20" w:line="264" w:lineRule="auto"/>
            </w:pPr>
            <w:r/>
            <w:r>
              <w:rPr>
                <w:rFonts w:ascii="Segoe UI" w:hAnsi="Segoe UI" w:eastAsia="Segoe UI" w:cs="Segoe UI"/>
                <w:color w:val="1F1D1A"/>
                <w:sz w:val="18"/>
              </w:rPr>
              <w:t>art. 25.2 (las penas no pueden consistir en trabajos forzados); Código Penal, art. 177 bis (trata de seres humanos)</w:t>
            </w:r>
          </w:p>
        </w:tc>
      </w:tr>
      <w:tr>
        <w:tc>
          <w:tcPr>
            <w:tcW w:type="dxa" w:w="3061"/>
          </w:tcPr>
          <w:p>
            <w:pPr>
              <w:spacing w:after="20" w:line="264" w:lineRule="auto"/>
            </w:pPr>
            <w:r/>
            <w:r>
              <w:rPr>
                <w:rFonts w:ascii="Segoe UI" w:hAnsi="Segoe UI" w:eastAsia="Segoe UI" w:cs="Segoe UI"/>
                <w:color w:val="1F1D1A"/>
                <w:sz w:val="18"/>
              </w:rPr>
              <w:t>5</w:t>
            </w:r>
          </w:p>
        </w:tc>
        <w:tc>
          <w:tcPr>
            <w:tcW w:type="dxa" w:w="3061"/>
          </w:tcPr>
          <w:p>
            <w:pPr>
              <w:spacing w:after="20" w:line="264" w:lineRule="auto"/>
            </w:pPr>
            <w:r/>
            <w:r>
              <w:rPr>
                <w:rFonts w:ascii="Segoe UI" w:hAnsi="Segoe UI" w:eastAsia="Segoe UI" w:cs="Segoe UI"/>
                <w:color w:val="1F1D1A"/>
                <w:sz w:val="18"/>
              </w:rPr>
              <w:t>Nadie será torturado ni sometido a tratos crueles, inhumanos o degradantes</w:t>
            </w:r>
          </w:p>
        </w:tc>
        <w:tc>
          <w:tcPr>
            <w:tcW w:type="dxa" w:w="3061"/>
          </w:tcPr>
          <w:p>
            <w:pPr>
              <w:spacing w:after="20" w:line="264" w:lineRule="auto"/>
            </w:pPr>
            <w:r/>
            <w:r>
              <w:rPr>
                <w:rFonts w:ascii="Segoe UI" w:hAnsi="Segoe UI" w:eastAsia="Segoe UI" w:cs="Segoe UI"/>
                <w:color w:val="1F1D1A"/>
                <w:sz w:val="18"/>
              </w:rPr>
              <w:t>art. 15</w:t>
            </w:r>
          </w:p>
        </w:tc>
      </w:tr>
      <w:tr>
        <w:tc>
          <w:tcPr>
            <w:tcW w:type="dxa" w:w="3061"/>
          </w:tcPr>
          <w:p>
            <w:pPr>
              <w:spacing w:after="20" w:line="264" w:lineRule="auto"/>
            </w:pPr>
            <w:r/>
            <w:r>
              <w:rPr>
                <w:rFonts w:ascii="Segoe UI" w:hAnsi="Segoe UI" w:eastAsia="Segoe UI" w:cs="Segoe UI"/>
                <w:color w:val="1F1D1A"/>
                <w:sz w:val="18"/>
              </w:rPr>
              <w:t>6</w:t>
            </w:r>
          </w:p>
        </w:tc>
        <w:tc>
          <w:tcPr>
            <w:tcW w:type="dxa" w:w="3061"/>
          </w:tcPr>
          <w:p>
            <w:pPr>
              <w:spacing w:after="20" w:line="264" w:lineRule="auto"/>
            </w:pPr>
            <w:r/>
            <w:r>
              <w:rPr>
                <w:rFonts w:ascii="Segoe UI" w:hAnsi="Segoe UI" w:eastAsia="Segoe UI" w:cs="Segoe UI"/>
                <w:color w:val="1F1D1A"/>
                <w:sz w:val="18"/>
              </w:rPr>
              <w:t>Todo ser humano tiene derecho a que se reconozca su personalidad jurídica</w:t>
            </w:r>
          </w:p>
        </w:tc>
        <w:tc>
          <w:tcPr>
            <w:tcW w:type="dxa" w:w="3061"/>
          </w:tcPr>
          <w:p>
            <w:pPr>
              <w:spacing w:after="20" w:line="264" w:lineRule="auto"/>
            </w:pPr>
            <w:r/>
            <w:r>
              <w:rPr>
                <w:rFonts w:ascii="Segoe UI" w:hAnsi="Segoe UI" w:eastAsia="Segoe UI" w:cs="Segoe UI"/>
                <w:color w:val="1F1D1A"/>
                <w:sz w:val="18"/>
              </w:rPr>
              <w:t>Código Civil, arts. 29 y 30</w:t>
            </w:r>
          </w:p>
        </w:tc>
      </w:tr>
      <w:tr>
        <w:tc>
          <w:tcPr>
            <w:tcW w:type="dxa" w:w="3061"/>
          </w:tcPr>
          <w:p>
            <w:pPr>
              <w:spacing w:after="20" w:line="264" w:lineRule="auto"/>
            </w:pPr>
            <w:r/>
            <w:r>
              <w:rPr>
                <w:rFonts w:ascii="Segoe UI" w:hAnsi="Segoe UI" w:eastAsia="Segoe UI" w:cs="Segoe UI"/>
                <w:color w:val="1F1D1A"/>
                <w:sz w:val="18"/>
              </w:rPr>
              <w:t>7</w:t>
            </w:r>
          </w:p>
        </w:tc>
        <w:tc>
          <w:tcPr>
            <w:tcW w:type="dxa" w:w="3061"/>
          </w:tcPr>
          <w:p>
            <w:pPr>
              <w:spacing w:after="20" w:line="264" w:lineRule="auto"/>
            </w:pPr>
            <w:r/>
            <w:r>
              <w:rPr>
                <w:rFonts w:ascii="Segoe UI" w:hAnsi="Segoe UI" w:eastAsia="Segoe UI" w:cs="Segoe UI"/>
                <w:color w:val="1F1D1A"/>
                <w:sz w:val="18"/>
              </w:rPr>
              <w:t>Todos son iguales ante la ley y tienen derecho a igual protección contra la discriminación</w:t>
            </w:r>
          </w:p>
        </w:tc>
        <w:tc>
          <w:tcPr>
            <w:tcW w:type="dxa" w:w="3061"/>
          </w:tcPr>
          <w:p>
            <w:pPr>
              <w:spacing w:after="20" w:line="264" w:lineRule="auto"/>
            </w:pPr>
            <w:r/>
            <w:r>
              <w:rPr>
                <w:rFonts w:ascii="Segoe UI" w:hAnsi="Segoe UI" w:eastAsia="Segoe UI" w:cs="Segoe UI"/>
                <w:color w:val="1F1D1A"/>
                <w:sz w:val="18"/>
              </w:rPr>
              <w:t>art. 14</w:t>
            </w:r>
          </w:p>
        </w:tc>
      </w:tr>
      <w:tr>
        <w:tc>
          <w:tcPr>
            <w:tcW w:type="dxa" w:w="3061"/>
          </w:tcPr>
          <w:p>
            <w:pPr>
              <w:spacing w:after="20" w:line="264" w:lineRule="auto"/>
            </w:pPr>
            <w:r/>
            <w:r>
              <w:rPr>
                <w:rFonts w:ascii="Segoe UI" w:hAnsi="Segoe UI" w:eastAsia="Segoe UI" w:cs="Segoe UI"/>
                <w:color w:val="1F1D1A"/>
                <w:sz w:val="18"/>
              </w:rPr>
              <w:t>8</w:t>
            </w:r>
          </w:p>
        </w:tc>
        <w:tc>
          <w:tcPr>
            <w:tcW w:type="dxa" w:w="3061"/>
          </w:tcPr>
          <w:p>
            <w:pPr>
              <w:spacing w:after="20" w:line="264" w:lineRule="auto"/>
            </w:pPr>
            <w:r/>
            <w:r>
              <w:rPr>
                <w:rFonts w:ascii="Segoe UI" w:hAnsi="Segoe UI" w:eastAsia="Segoe UI" w:cs="Segoe UI"/>
                <w:color w:val="1F1D1A"/>
                <w:sz w:val="18"/>
              </w:rPr>
              <w:t>Un recurso efectivo ante los tribunales</w:t>
            </w:r>
          </w:p>
        </w:tc>
        <w:tc>
          <w:tcPr>
            <w:tcW w:type="dxa" w:w="3061"/>
          </w:tcPr>
          <w:p>
            <w:pPr>
              <w:spacing w:after="20" w:line="264" w:lineRule="auto"/>
            </w:pPr>
            <w:r/>
            <w:r>
              <w:rPr>
                <w:rFonts w:ascii="Segoe UI" w:hAnsi="Segoe UI" w:eastAsia="Segoe UI" w:cs="Segoe UI"/>
                <w:color w:val="1F1D1A"/>
                <w:sz w:val="18"/>
              </w:rPr>
              <w:t>arts. 24.1 y 53.2</w:t>
            </w:r>
          </w:p>
        </w:tc>
      </w:tr>
      <w:tr>
        <w:tc>
          <w:tcPr>
            <w:tcW w:type="dxa" w:w="3061"/>
          </w:tcPr>
          <w:p>
            <w:pPr>
              <w:spacing w:after="20" w:line="264" w:lineRule="auto"/>
            </w:pPr>
            <w:r/>
            <w:r>
              <w:rPr>
                <w:rFonts w:ascii="Segoe UI" w:hAnsi="Segoe UI" w:eastAsia="Segoe UI" w:cs="Segoe UI"/>
                <w:color w:val="1F1D1A"/>
                <w:sz w:val="18"/>
              </w:rPr>
              <w:t>9</w:t>
            </w:r>
          </w:p>
        </w:tc>
        <w:tc>
          <w:tcPr>
            <w:tcW w:type="dxa" w:w="3061"/>
          </w:tcPr>
          <w:p>
            <w:pPr>
              <w:spacing w:after="20" w:line="264" w:lineRule="auto"/>
            </w:pPr>
            <w:r/>
            <w:r>
              <w:rPr>
                <w:rFonts w:ascii="Segoe UI" w:hAnsi="Segoe UI" w:eastAsia="Segoe UI" w:cs="Segoe UI"/>
                <w:color w:val="1F1D1A"/>
                <w:sz w:val="18"/>
              </w:rPr>
              <w:t>Nadie será detenido, preso ni desterrado arbitrariamente</w:t>
            </w:r>
          </w:p>
        </w:tc>
        <w:tc>
          <w:tcPr>
            <w:tcW w:type="dxa" w:w="3061"/>
          </w:tcPr>
          <w:p>
            <w:pPr>
              <w:spacing w:after="20" w:line="264" w:lineRule="auto"/>
            </w:pPr>
            <w:r/>
            <w:r>
              <w:rPr>
                <w:rFonts w:ascii="Segoe UI" w:hAnsi="Segoe UI" w:eastAsia="Segoe UI" w:cs="Segoe UI"/>
                <w:color w:val="1F1D1A"/>
                <w:sz w:val="18"/>
              </w:rPr>
              <w:t>art. 17.1 y 17.2</w:t>
            </w:r>
          </w:p>
        </w:tc>
      </w:tr>
      <w:tr>
        <w:tc>
          <w:tcPr>
            <w:tcW w:type="dxa" w:w="3061"/>
          </w:tcPr>
          <w:p>
            <w:pPr>
              <w:spacing w:after="20" w:line="264" w:lineRule="auto"/>
            </w:pPr>
            <w:r/>
            <w:r>
              <w:rPr>
                <w:rFonts w:ascii="Segoe UI" w:hAnsi="Segoe UI" w:eastAsia="Segoe UI" w:cs="Segoe UI"/>
                <w:color w:val="1F1D1A"/>
                <w:sz w:val="18"/>
              </w:rPr>
              <w:t>10</w:t>
            </w:r>
          </w:p>
        </w:tc>
        <w:tc>
          <w:tcPr>
            <w:tcW w:type="dxa" w:w="3061"/>
          </w:tcPr>
          <w:p>
            <w:pPr>
              <w:spacing w:after="20" w:line="264" w:lineRule="auto"/>
            </w:pPr>
            <w:r/>
            <w:r>
              <w:rPr>
                <w:rFonts w:ascii="Segoe UI" w:hAnsi="Segoe UI" w:eastAsia="Segoe UI" w:cs="Segoe UI"/>
                <w:color w:val="1F1D1A"/>
                <w:sz w:val="18"/>
              </w:rPr>
              <w:t>Ser oído por un tribunal independiente e imparcial</w:t>
            </w:r>
          </w:p>
        </w:tc>
        <w:tc>
          <w:tcPr>
            <w:tcW w:type="dxa" w:w="3061"/>
          </w:tcPr>
          <w:p>
            <w:pPr>
              <w:spacing w:after="20" w:line="264" w:lineRule="auto"/>
            </w:pPr>
            <w:r/>
            <w:r>
              <w:rPr>
                <w:rFonts w:ascii="Segoe UI" w:hAnsi="Segoe UI" w:eastAsia="Segoe UI" w:cs="Segoe UI"/>
                <w:color w:val="1F1D1A"/>
                <w:sz w:val="18"/>
              </w:rPr>
              <w:t>arts. 24.2 y 117.1</w:t>
            </w:r>
          </w:p>
        </w:tc>
      </w:tr>
      <w:tr>
        <w:tc>
          <w:tcPr>
            <w:tcW w:type="dxa" w:w="3061"/>
          </w:tcPr>
          <w:p>
            <w:pPr>
              <w:spacing w:after="20" w:line="264" w:lineRule="auto"/>
            </w:pPr>
            <w:r/>
            <w:r>
              <w:rPr>
                <w:rFonts w:ascii="Segoe UI" w:hAnsi="Segoe UI" w:eastAsia="Segoe UI" w:cs="Segoe UI"/>
                <w:color w:val="1F1D1A"/>
                <w:sz w:val="18"/>
              </w:rPr>
              <w:t>11</w:t>
            </w:r>
          </w:p>
        </w:tc>
        <w:tc>
          <w:tcPr>
            <w:tcW w:type="dxa" w:w="3061"/>
          </w:tcPr>
          <w:p>
            <w:pPr>
              <w:spacing w:after="20" w:line="264" w:lineRule="auto"/>
            </w:pPr>
            <w:r/>
            <w:r>
              <w:rPr>
                <w:rFonts w:ascii="Segoe UI" w:hAnsi="Segoe UI" w:eastAsia="Segoe UI" w:cs="Segoe UI"/>
                <w:color w:val="1F1D1A"/>
                <w:sz w:val="18"/>
              </w:rPr>
              <w:t>La presunción de inocencia, y no ser condenado por lo que no era delito cuando se hizo</w:t>
            </w:r>
          </w:p>
        </w:tc>
        <w:tc>
          <w:tcPr>
            <w:tcW w:type="dxa" w:w="3061"/>
          </w:tcPr>
          <w:p>
            <w:pPr>
              <w:spacing w:after="20" w:line="264" w:lineRule="auto"/>
            </w:pPr>
            <w:r/>
            <w:r>
              <w:rPr>
                <w:rFonts w:ascii="Segoe UI" w:hAnsi="Segoe UI" w:eastAsia="Segoe UI" w:cs="Segoe UI"/>
                <w:color w:val="1F1D1A"/>
                <w:sz w:val="18"/>
              </w:rPr>
              <w:t>arts. 24.2 y 25.1</w:t>
            </w:r>
          </w:p>
        </w:tc>
      </w:tr>
      <w:tr>
        <w:tc>
          <w:tcPr>
            <w:tcW w:type="dxa" w:w="3061"/>
          </w:tcPr>
          <w:p>
            <w:pPr>
              <w:spacing w:after="20" w:line="264" w:lineRule="auto"/>
            </w:pPr>
            <w:r/>
            <w:r>
              <w:rPr>
                <w:rFonts w:ascii="Segoe UI" w:hAnsi="Segoe UI" w:eastAsia="Segoe UI" w:cs="Segoe UI"/>
                <w:color w:val="1F1D1A"/>
                <w:sz w:val="18"/>
              </w:rPr>
              <w:t>12</w:t>
            </w:r>
          </w:p>
        </w:tc>
        <w:tc>
          <w:tcPr>
            <w:tcW w:type="dxa" w:w="3061"/>
          </w:tcPr>
          <w:p>
            <w:pPr>
              <w:spacing w:after="20" w:line="264" w:lineRule="auto"/>
            </w:pPr>
            <w:r/>
            <w:r>
              <w:rPr>
                <w:rFonts w:ascii="Segoe UI" w:hAnsi="Segoe UI" w:eastAsia="Segoe UI" w:cs="Segoe UI"/>
                <w:color w:val="1F1D1A"/>
                <w:sz w:val="18"/>
              </w:rPr>
              <w:t>La vida privada, la familia, el domicilio, la correspondencia y la honra</w:t>
            </w:r>
          </w:p>
        </w:tc>
        <w:tc>
          <w:tcPr>
            <w:tcW w:type="dxa" w:w="3061"/>
          </w:tcPr>
          <w:p>
            <w:pPr>
              <w:spacing w:after="20" w:line="264" w:lineRule="auto"/>
            </w:pPr>
            <w:r/>
            <w:r>
              <w:rPr>
                <w:rFonts w:ascii="Segoe UI" w:hAnsi="Segoe UI" w:eastAsia="Segoe UI" w:cs="Segoe UI"/>
                <w:color w:val="1F1D1A"/>
                <w:sz w:val="18"/>
              </w:rPr>
              <w:t>art. 18</w:t>
            </w:r>
          </w:p>
        </w:tc>
      </w:tr>
      <w:tr>
        <w:tc>
          <w:tcPr>
            <w:tcW w:type="dxa" w:w="3061"/>
          </w:tcPr>
          <w:p>
            <w:pPr>
              <w:spacing w:after="20" w:line="264" w:lineRule="auto"/>
            </w:pPr>
            <w:r/>
            <w:r>
              <w:rPr>
                <w:rFonts w:ascii="Segoe UI" w:hAnsi="Segoe UI" w:eastAsia="Segoe UI" w:cs="Segoe UI"/>
                <w:color w:val="1F1D1A"/>
                <w:sz w:val="18"/>
              </w:rPr>
              <w:t>13</w:t>
            </w:r>
          </w:p>
        </w:tc>
        <w:tc>
          <w:tcPr>
            <w:tcW w:type="dxa" w:w="3061"/>
          </w:tcPr>
          <w:p>
            <w:pPr>
              <w:spacing w:after="20" w:line="264" w:lineRule="auto"/>
            </w:pPr>
            <w:r/>
            <w:r>
              <w:rPr>
                <w:rFonts w:ascii="Segoe UI" w:hAnsi="Segoe UI" w:eastAsia="Segoe UI" w:cs="Segoe UI"/>
                <w:color w:val="1F1D1A"/>
                <w:sz w:val="18"/>
              </w:rPr>
              <w:t>Circular, elegir residencia, salir de cualquier país y volver al propio</w:t>
            </w:r>
          </w:p>
        </w:tc>
        <w:tc>
          <w:tcPr>
            <w:tcW w:type="dxa" w:w="3061"/>
          </w:tcPr>
          <w:p>
            <w:pPr>
              <w:spacing w:after="20" w:line="264" w:lineRule="auto"/>
            </w:pPr>
            <w:r/>
            <w:r>
              <w:rPr>
                <w:rFonts w:ascii="Segoe UI" w:hAnsi="Segoe UI" w:eastAsia="Segoe UI" w:cs="Segoe UI"/>
                <w:color w:val="1F1D1A"/>
                <w:sz w:val="18"/>
              </w:rPr>
              <w:t>art. 19</w:t>
            </w:r>
          </w:p>
        </w:tc>
      </w:tr>
      <w:tr>
        <w:tc>
          <w:tcPr>
            <w:tcW w:type="dxa" w:w="3061"/>
          </w:tcPr>
          <w:p>
            <w:pPr>
              <w:spacing w:after="20" w:line="264" w:lineRule="auto"/>
            </w:pPr>
            <w:r/>
            <w:r>
              <w:rPr>
                <w:rFonts w:ascii="Segoe UI" w:hAnsi="Segoe UI" w:eastAsia="Segoe UI" w:cs="Segoe UI"/>
                <w:color w:val="1F1D1A"/>
                <w:sz w:val="18"/>
              </w:rPr>
              <w:t>14</w:t>
            </w:r>
          </w:p>
        </w:tc>
        <w:tc>
          <w:tcPr>
            <w:tcW w:type="dxa" w:w="3061"/>
          </w:tcPr>
          <w:p>
            <w:pPr>
              <w:spacing w:after="20" w:line="264" w:lineRule="auto"/>
            </w:pPr>
            <w:r/>
            <w:r>
              <w:rPr>
                <w:rFonts w:ascii="Segoe UI" w:hAnsi="Segoe UI" w:eastAsia="Segoe UI" w:cs="Segoe UI"/>
                <w:color w:val="1F1D1A"/>
                <w:sz w:val="18"/>
              </w:rPr>
              <w:t>Buscar asilo y disfrutar de él</w:t>
            </w:r>
          </w:p>
        </w:tc>
        <w:tc>
          <w:tcPr>
            <w:tcW w:type="dxa" w:w="3061"/>
          </w:tcPr>
          <w:p>
            <w:pPr>
              <w:spacing w:after="20" w:line="264" w:lineRule="auto"/>
            </w:pPr>
            <w:r/>
            <w:r>
              <w:rPr>
                <w:rFonts w:ascii="Segoe UI" w:hAnsi="Segoe UI" w:eastAsia="Segoe UI" w:cs="Segoe UI"/>
                <w:color w:val="1F1D1A"/>
                <w:sz w:val="18"/>
              </w:rPr>
              <w:t>art. 13.4</w:t>
            </w:r>
          </w:p>
        </w:tc>
      </w:tr>
      <w:tr>
        <w:tc>
          <w:tcPr>
            <w:tcW w:type="dxa" w:w="3061"/>
          </w:tcPr>
          <w:p>
            <w:pPr>
              <w:spacing w:after="20" w:line="264" w:lineRule="auto"/>
            </w:pPr>
            <w:r/>
            <w:r>
              <w:rPr>
                <w:rFonts w:ascii="Segoe UI" w:hAnsi="Segoe UI" w:eastAsia="Segoe UI" w:cs="Segoe UI"/>
                <w:color w:val="1F1D1A"/>
                <w:sz w:val="18"/>
              </w:rPr>
              <w:t>15</w:t>
            </w:r>
          </w:p>
        </w:tc>
        <w:tc>
          <w:tcPr>
            <w:tcW w:type="dxa" w:w="3061"/>
          </w:tcPr>
          <w:p>
            <w:pPr>
              <w:spacing w:after="20" w:line="264" w:lineRule="auto"/>
            </w:pPr>
            <w:r/>
            <w:r>
              <w:rPr>
                <w:rFonts w:ascii="Segoe UI" w:hAnsi="Segoe UI" w:eastAsia="Segoe UI" w:cs="Segoe UI"/>
                <w:color w:val="1F1D1A"/>
                <w:sz w:val="18"/>
              </w:rPr>
              <w:t>Una nacionalidad, de la que nadie será privado arbitrariamente</w:t>
            </w:r>
          </w:p>
        </w:tc>
        <w:tc>
          <w:tcPr>
            <w:tcW w:type="dxa" w:w="3061"/>
          </w:tcPr>
          <w:p>
            <w:pPr>
              <w:spacing w:after="20" w:line="264" w:lineRule="auto"/>
            </w:pPr>
            <w:r/>
            <w:r>
              <w:rPr>
                <w:rFonts w:ascii="Segoe UI" w:hAnsi="Segoe UI" w:eastAsia="Segoe UI" w:cs="Segoe UI"/>
                <w:color w:val="1F1D1A"/>
                <w:sz w:val="18"/>
              </w:rPr>
              <w:t>art. 11; Código Civil, arts. 17 y siguientes</w:t>
            </w:r>
          </w:p>
        </w:tc>
      </w:tr>
      <w:tr>
        <w:tc>
          <w:tcPr>
            <w:tcW w:type="dxa" w:w="3061"/>
          </w:tcPr>
          <w:p>
            <w:pPr>
              <w:spacing w:after="20" w:line="264" w:lineRule="auto"/>
            </w:pPr>
            <w:r/>
            <w:r>
              <w:rPr>
                <w:rFonts w:ascii="Segoe UI" w:hAnsi="Segoe UI" w:eastAsia="Segoe UI" w:cs="Segoe UI"/>
                <w:color w:val="1F1D1A"/>
                <w:sz w:val="18"/>
              </w:rPr>
              <w:t>16</w:t>
            </w:r>
          </w:p>
        </w:tc>
        <w:tc>
          <w:tcPr>
            <w:tcW w:type="dxa" w:w="3061"/>
          </w:tcPr>
          <w:p>
            <w:pPr>
              <w:spacing w:after="20" w:line="264" w:lineRule="auto"/>
            </w:pPr>
            <w:r/>
            <w:r>
              <w:rPr>
                <w:rFonts w:ascii="Segoe UI" w:hAnsi="Segoe UI" w:eastAsia="Segoe UI" w:cs="Segoe UI"/>
                <w:color w:val="1F1D1A"/>
                <w:sz w:val="18"/>
              </w:rPr>
              <w:t>Casarse y fundar una familia, con libre y pleno consentimiento</w:t>
            </w:r>
          </w:p>
        </w:tc>
        <w:tc>
          <w:tcPr>
            <w:tcW w:type="dxa" w:w="3061"/>
          </w:tcPr>
          <w:p>
            <w:pPr>
              <w:spacing w:after="20" w:line="264" w:lineRule="auto"/>
            </w:pPr>
            <w:r/>
            <w:r>
              <w:rPr>
                <w:rFonts w:ascii="Segoe UI" w:hAnsi="Segoe UI" w:eastAsia="Segoe UI" w:cs="Segoe UI"/>
                <w:color w:val="1F1D1A"/>
                <w:sz w:val="18"/>
              </w:rPr>
              <w:t>art. 32; art. 39 (PR)</w:t>
            </w:r>
          </w:p>
        </w:tc>
      </w:tr>
      <w:tr>
        <w:tc>
          <w:tcPr>
            <w:tcW w:type="dxa" w:w="3061"/>
          </w:tcPr>
          <w:p>
            <w:pPr>
              <w:spacing w:after="20" w:line="264" w:lineRule="auto"/>
            </w:pPr>
            <w:r/>
            <w:r>
              <w:rPr>
                <w:rFonts w:ascii="Segoe UI" w:hAnsi="Segoe UI" w:eastAsia="Segoe UI" w:cs="Segoe UI"/>
                <w:color w:val="1F1D1A"/>
                <w:sz w:val="18"/>
              </w:rPr>
              <w:t>17</w:t>
            </w:r>
          </w:p>
        </w:tc>
        <w:tc>
          <w:tcPr>
            <w:tcW w:type="dxa" w:w="3061"/>
          </w:tcPr>
          <w:p>
            <w:pPr>
              <w:spacing w:after="20" w:line="264" w:lineRule="auto"/>
            </w:pPr>
            <w:r/>
            <w:r>
              <w:rPr>
                <w:rFonts w:ascii="Segoe UI" w:hAnsi="Segoe UI" w:eastAsia="Segoe UI" w:cs="Segoe UI"/>
                <w:color w:val="1F1D1A"/>
                <w:sz w:val="18"/>
              </w:rPr>
              <w:t>La propiedad, individual y colectiva</w:t>
            </w:r>
          </w:p>
        </w:tc>
        <w:tc>
          <w:tcPr>
            <w:tcW w:type="dxa" w:w="3061"/>
          </w:tcPr>
          <w:p>
            <w:pPr>
              <w:spacing w:after="20" w:line="264" w:lineRule="auto"/>
            </w:pPr>
            <w:r/>
            <w:r>
              <w:rPr>
                <w:rFonts w:ascii="Segoe UI" w:hAnsi="Segoe UI" w:eastAsia="Segoe UI" w:cs="Segoe UI"/>
                <w:color w:val="1F1D1A"/>
                <w:sz w:val="18"/>
              </w:rPr>
              <w:t>art. 33; Código Civil, art. 348</w:t>
            </w:r>
          </w:p>
        </w:tc>
      </w:tr>
      <w:tr>
        <w:tc>
          <w:tcPr>
            <w:tcW w:type="dxa" w:w="3061"/>
          </w:tcPr>
          <w:p>
            <w:pPr>
              <w:spacing w:after="20" w:line="264" w:lineRule="auto"/>
            </w:pPr>
            <w:r/>
            <w:r>
              <w:rPr>
                <w:rFonts w:ascii="Segoe UI" w:hAnsi="Segoe UI" w:eastAsia="Segoe UI" w:cs="Segoe UI"/>
                <w:color w:val="1F1D1A"/>
                <w:sz w:val="18"/>
              </w:rPr>
              <w:t>18</w:t>
            </w:r>
          </w:p>
        </w:tc>
        <w:tc>
          <w:tcPr>
            <w:tcW w:type="dxa" w:w="3061"/>
          </w:tcPr>
          <w:p>
            <w:pPr>
              <w:spacing w:after="20" w:line="264" w:lineRule="auto"/>
            </w:pPr>
            <w:r/>
            <w:r>
              <w:rPr>
                <w:rFonts w:ascii="Segoe UI" w:hAnsi="Segoe UI" w:eastAsia="Segoe UI" w:cs="Segoe UI"/>
                <w:color w:val="1F1D1A"/>
                <w:sz w:val="18"/>
              </w:rPr>
              <w:t>La libertad de pensamiento, de conciencia y de religión</w:t>
            </w:r>
          </w:p>
        </w:tc>
        <w:tc>
          <w:tcPr>
            <w:tcW w:type="dxa" w:w="3061"/>
          </w:tcPr>
          <w:p>
            <w:pPr>
              <w:spacing w:after="20" w:line="264" w:lineRule="auto"/>
            </w:pPr>
            <w:r/>
            <w:r>
              <w:rPr>
                <w:rFonts w:ascii="Segoe UI" w:hAnsi="Segoe UI" w:eastAsia="Segoe UI" w:cs="Segoe UI"/>
                <w:color w:val="1F1D1A"/>
                <w:sz w:val="18"/>
              </w:rPr>
              <w:t>art. 16</w:t>
            </w:r>
          </w:p>
        </w:tc>
      </w:tr>
      <w:tr>
        <w:tc>
          <w:tcPr>
            <w:tcW w:type="dxa" w:w="3061"/>
          </w:tcPr>
          <w:p>
            <w:pPr>
              <w:spacing w:after="20" w:line="264" w:lineRule="auto"/>
            </w:pPr>
            <w:r/>
            <w:r>
              <w:rPr>
                <w:rFonts w:ascii="Segoe UI" w:hAnsi="Segoe UI" w:eastAsia="Segoe UI" w:cs="Segoe UI"/>
                <w:color w:val="1F1D1A"/>
                <w:sz w:val="18"/>
              </w:rPr>
              <w:t>19</w:t>
            </w:r>
          </w:p>
        </w:tc>
        <w:tc>
          <w:tcPr>
            <w:tcW w:type="dxa" w:w="3061"/>
          </w:tcPr>
          <w:p>
            <w:pPr>
              <w:spacing w:after="20" w:line="264" w:lineRule="auto"/>
            </w:pPr>
            <w:r/>
            <w:r>
              <w:rPr>
                <w:rFonts w:ascii="Segoe UI" w:hAnsi="Segoe UI" w:eastAsia="Segoe UI" w:cs="Segoe UI"/>
                <w:color w:val="1F1D1A"/>
                <w:sz w:val="18"/>
              </w:rPr>
              <w:t>La libertad de opinión y de expresión</w:t>
            </w:r>
          </w:p>
        </w:tc>
        <w:tc>
          <w:tcPr>
            <w:tcW w:type="dxa" w:w="3061"/>
          </w:tcPr>
          <w:p>
            <w:pPr>
              <w:spacing w:after="20" w:line="264" w:lineRule="auto"/>
            </w:pPr>
            <w:r/>
            <w:r>
              <w:rPr>
                <w:rFonts w:ascii="Segoe UI" w:hAnsi="Segoe UI" w:eastAsia="Segoe UI" w:cs="Segoe UI"/>
                <w:color w:val="1F1D1A"/>
                <w:sz w:val="18"/>
              </w:rPr>
              <w:t>art. 20.1 a)</w:t>
            </w:r>
          </w:p>
        </w:tc>
      </w:tr>
      <w:tr>
        <w:tc>
          <w:tcPr>
            <w:tcW w:type="dxa" w:w="3061"/>
          </w:tcPr>
          <w:p>
            <w:pPr>
              <w:spacing w:after="20" w:line="264" w:lineRule="auto"/>
            </w:pPr>
            <w:r/>
            <w:r>
              <w:rPr>
                <w:rFonts w:ascii="Segoe UI" w:hAnsi="Segoe UI" w:eastAsia="Segoe UI" w:cs="Segoe UI"/>
                <w:color w:val="1F1D1A"/>
                <w:sz w:val="18"/>
              </w:rPr>
              <w:t>20</w:t>
            </w:r>
          </w:p>
        </w:tc>
        <w:tc>
          <w:tcPr>
            <w:tcW w:type="dxa" w:w="3061"/>
          </w:tcPr>
          <w:p>
            <w:pPr>
              <w:spacing w:after="20" w:line="264" w:lineRule="auto"/>
            </w:pPr>
            <w:r/>
            <w:r>
              <w:rPr>
                <w:rFonts w:ascii="Segoe UI" w:hAnsi="Segoe UI" w:eastAsia="Segoe UI" w:cs="Segoe UI"/>
                <w:color w:val="1F1D1A"/>
                <w:sz w:val="18"/>
              </w:rPr>
              <w:t>La reunión y la asociación pacíficas; nadie puede ser obligado a asociarse</w:t>
            </w:r>
          </w:p>
        </w:tc>
        <w:tc>
          <w:tcPr>
            <w:tcW w:type="dxa" w:w="3061"/>
          </w:tcPr>
          <w:p>
            <w:pPr>
              <w:spacing w:after="20" w:line="264" w:lineRule="auto"/>
            </w:pPr>
            <w:r/>
            <w:r>
              <w:rPr>
                <w:rFonts w:ascii="Segoe UI" w:hAnsi="Segoe UI" w:eastAsia="Segoe UI" w:cs="Segoe UI"/>
                <w:color w:val="1F1D1A"/>
                <w:sz w:val="18"/>
              </w:rPr>
              <w:t>arts. 21 y 22</w:t>
            </w:r>
          </w:p>
        </w:tc>
      </w:tr>
      <w:tr>
        <w:tc>
          <w:tcPr>
            <w:tcW w:type="dxa" w:w="3061"/>
          </w:tcPr>
          <w:p>
            <w:pPr>
              <w:spacing w:after="20" w:line="264" w:lineRule="auto"/>
            </w:pPr>
            <w:r/>
            <w:r>
              <w:rPr>
                <w:rFonts w:ascii="Segoe UI" w:hAnsi="Segoe UI" w:eastAsia="Segoe UI" w:cs="Segoe UI"/>
                <w:color w:val="1F1D1A"/>
                <w:sz w:val="18"/>
              </w:rPr>
              <w:t>21</w:t>
            </w:r>
          </w:p>
        </w:tc>
        <w:tc>
          <w:tcPr>
            <w:tcW w:type="dxa" w:w="3061"/>
          </w:tcPr>
          <w:p>
            <w:pPr>
              <w:spacing w:after="20" w:line="264" w:lineRule="auto"/>
            </w:pPr>
            <w:r/>
            <w:r>
              <w:rPr>
                <w:rFonts w:ascii="Segoe UI" w:hAnsi="Segoe UI" w:eastAsia="Segoe UI" w:cs="Segoe UI"/>
                <w:color w:val="1F1D1A"/>
                <w:sz w:val="18"/>
              </w:rPr>
              <w:t>Participar en el gobierno del país y acceder a las funciones públicas. «La voluntad del pueblo es la base de la autoridad del poder público»</w:t>
            </w:r>
          </w:p>
        </w:tc>
        <w:tc>
          <w:tcPr>
            <w:tcW w:type="dxa" w:w="3061"/>
          </w:tcPr>
          <w:p>
            <w:pPr>
              <w:spacing w:after="20" w:line="264" w:lineRule="auto"/>
            </w:pPr>
            <w:r/>
            <w:r>
              <w:rPr>
                <w:rFonts w:ascii="Segoe UI" w:hAnsi="Segoe UI" w:eastAsia="Segoe UI" w:cs="Segoe UI"/>
                <w:color w:val="1F1D1A"/>
                <w:sz w:val="18"/>
              </w:rPr>
              <w:t>art. 23</w:t>
            </w:r>
          </w:p>
        </w:tc>
      </w:tr>
      <w:tr>
        <w:tc>
          <w:tcPr>
            <w:tcW w:type="dxa" w:w="3061"/>
          </w:tcPr>
          <w:p>
            <w:pPr>
              <w:spacing w:after="20" w:line="264" w:lineRule="auto"/>
            </w:pPr>
            <w:r/>
            <w:r>
              <w:rPr>
                <w:rFonts w:ascii="Segoe UI" w:hAnsi="Segoe UI" w:eastAsia="Segoe UI" w:cs="Segoe UI"/>
                <w:color w:val="1F1D1A"/>
                <w:sz w:val="18"/>
              </w:rPr>
              <w:t>22</w:t>
            </w:r>
          </w:p>
        </w:tc>
        <w:tc>
          <w:tcPr>
            <w:tcW w:type="dxa" w:w="3061"/>
          </w:tcPr>
          <w:p>
            <w:pPr>
              <w:spacing w:after="20" w:line="264" w:lineRule="auto"/>
            </w:pPr>
            <w:r/>
            <w:r>
              <w:rPr>
                <w:rFonts w:ascii="Segoe UI" w:hAnsi="Segoe UI" w:eastAsia="Segoe UI" w:cs="Segoe UI"/>
                <w:color w:val="1F1D1A"/>
                <w:sz w:val="18"/>
              </w:rPr>
              <w:t>La seguridad social</w:t>
            </w:r>
          </w:p>
        </w:tc>
        <w:tc>
          <w:tcPr>
            <w:tcW w:type="dxa" w:w="3061"/>
          </w:tcPr>
          <w:p>
            <w:pPr>
              <w:spacing w:after="20" w:line="264" w:lineRule="auto"/>
            </w:pPr>
            <w:r/>
            <w:r>
              <w:rPr>
                <w:rFonts w:ascii="Segoe UI" w:hAnsi="Segoe UI" w:eastAsia="Segoe UI" w:cs="Segoe UI"/>
                <w:color w:val="1F1D1A"/>
                <w:sz w:val="18"/>
              </w:rPr>
              <w:t>art. 41 (PR)</w:t>
            </w:r>
          </w:p>
        </w:tc>
      </w:tr>
      <w:tr>
        <w:tc>
          <w:tcPr>
            <w:tcW w:type="dxa" w:w="3061"/>
          </w:tcPr>
          <w:p>
            <w:pPr>
              <w:spacing w:after="20" w:line="264" w:lineRule="auto"/>
            </w:pPr>
            <w:r/>
            <w:r>
              <w:rPr>
                <w:rFonts w:ascii="Segoe UI" w:hAnsi="Segoe UI" w:eastAsia="Segoe UI" w:cs="Segoe UI"/>
                <w:color w:val="1F1D1A"/>
                <w:sz w:val="18"/>
              </w:rPr>
              <w:t>23</w:t>
            </w:r>
          </w:p>
        </w:tc>
        <w:tc>
          <w:tcPr>
            <w:tcW w:type="dxa" w:w="3061"/>
          </w:tcPr>
          <w:p>
            <w:pPr>
              <w:spacing w:after="20" w:line="264" w:lineRule="auto"/>
            </w:pPr>
            <w:r/>
            <w:r>
              <w:rPr>
                <w:rFonts w:ascii="Segoe UI" w:hAnsi="Segoe UI" w:eastAsia="Segoe UI" w:cs="Segoe UI"/>
                <w:color w:val="1F1D1A"/>
                <w:sz w:val="18"/>
              </w:rPr>
              <w:t>El trabajo, igual salario por igual trabajo, una remuneración equitativa y los sindicatos</w:t>
            </w:r>
          </w:p>
        </w:tc>
        <w:tc>
          <w:tcPr>
            <w:tcW w:type="dxa" w:w="3061"/>
          </w:tcPr>
          <w:p>
            <w:pPr>
              <w:spacing w:after="20" w:line="264" w:lineRule="auto"/>
            </w:pPr>
            <w:r/>
            <w:r>
              <w:rPr>
                <w:rFonts w:ascii="Segoe UI" w:hAnsi="Segoe UI" w:eastAsia="Segoe UI" w:cs="Segoe UI"/>
                <w:color w:val="1F1D1A"/>
                <w:sz w:val="18"/>
              </w:rPr>
              <w:t>arts. 28 y 35</w:t>
            </w:r>
          </w:p>
        </w:tc>
      </w:tr>
      <w:tr>
        <w:tc>
          <w:tcPr>
            <w:tcW w:type="dxa" w:w="3061"/>
          </w:tcPr>
          <w:p>
            <w:pPr>
              <w:spacing w:after="20" w:line="264" w:lineRule="auto"/>
            </w:pPr>
            <w:r/>
            <w:r>
              <w:rPr>
                <w:rFonts w:ascii="Segoe UI" w:hAnsi="Segoe UI" w:eastAsia="Segoe UI" w:cs="Segoe UI"/>
                <w:color w:val="1F1D1A"/>
                <w:sz w:val="18"/>
              </w:rPr>
              <w:t>24</w:t>
            </w:r>
          </w:p>
        </w:tc>
        <w:tc>
          <w:tcPr>
            <w:tcW w:type="dxa" w:w="3061"/>
          </w:tcPr>
          <w:p>
            <w:pPr>
              <w:spacing w:after="20" w:line="264" w:lineRule="auto"/>
            </w:pPr>
            <w:r/>
            <w:r>
              <w:rPr>
                <w:rFonts w:ascii="Segoe UI" w:hAnsi="Segoe UI" w:eastAsia="Segoe UI" w:cs="Segoe UI"/>
                <w:color w:val="1F1D1A"/>
                <w:sz w:val="18"/>
              </w:rPr>
              <w:t>El descanso, el tiempo libre y las vacaciones pagadas</w:t>
            </w:r>
          </w:p>
        </w:tc>
        <w:tc>
          <w:tcPr>
            <w:tcW w:type="dxa" w:w="3061"/>
          </w:tcPr>
          <w:p>
            <w:pPr>
              <w:spacing w:after="20" w:line="264" w:lineRule="auto"/>
            </w:pPr>
            <w:r/>
            <w:r>
              <w:rPr>
                <w:rFonts w:ascii="Segoe UI" w:hAnsi="Segoe UI" w:eastAsia="Segoe UI" w:cs="Segoe UI"/>
                <w:color w:val="1F1D1A"/>
                <w:sz w:val="18"/>
              </w:rPr>
              <w:t>art. 40.2 (PR)</w:t>
            </w:r>
          </w:p>
        </w:tc>
      </w:tr>
      <w:tr>
        <w:tc>
          <w:tcPr>
            <w:tcW w:type="dxa" w:w="3061"/>
          </w:tcPr>
          <w:p>
            <w:pPr>
              <w:spacing w:after="20" w:line="264" w:lineRule="auto"/>
            </w:pPr>
            <w:r/>
            <w:r>
              <w:rPr>
                <w:rFonts w:ascii="Segoe UI" w:hAnsi="Segoe UI" w:eastAsia="Segoe UI" w:cs="Segoe UI"/>
                <w:color w:val="1F1D1A"/>
                <w:sz w:val="18"/>
              </w:rPr>
              <w:t>25</w:t>
            </w:r>
          </w:p>
        </w:tc>
        <w:tc>
          <w:tcPr>
            <w:tcW w:type="dxa" w:w="3061"/>
          </w:tcPr>
          <w:p>
            <w:pPr>
              <w:spacing w:after="20" w:line="264" w:lineRule="auto"/>
            </w:pPr>
            <w:r/>
            <w:r>
              <w:rPr>
                <w:rFonts w:ascii="Segoe UI" w:hAnsi="Segoe UI" w:eastAsia="Segoe UI" w:cs="Segoe UI"/>
                <w:color w:val="1F1D1A"/>
                <w:sz w:val="18"/>
              </w:rPr>
              <w:t>Un nivel de vida adecuado: alimentación, vestido, vivienda y asistencia médica</w:t>
            </w:r>
          </w:p>
        </w:tc>
        <w:tc>
          <w:tcPr>
            <w:tcW w:type="dxa" w:w="3061"/>
          </w:tcPr>
          <w:p>
            <w:pPr>
              <w:spacing w:after="20" w:line="264" w:lineRule="auto"/>
            </w:pPr>
            <w:r/>
            <w:r>
              <w:rPr>
                <w:rFonts w:ascii="Segoe UI" w:hAnsi="Segoe UI" w:eastAsia="Segoe UI" w:cs="Segoe UI"/>
                <w:color w:val="1F1D1A"/>
                <w:sz w:val="18"/>
              </w:rPr>
              <w:t>arts. 39, 43, 47 y 50 (PR)</w:t>
            </w:r>
          </w:p>
        </w:tc>
      </w:tr>
      <w:tr>
        <w:tc>
          <w:tcPr>
            <w:tcW w:type="dxa" w:w="3061"/>
          </w:tcPr>
          <w:p>
            <w:pPr>
              <w:spacing w:after="20" w:line="264" w:lineRule="auto"/>
            </w:pPr>
            <w:r/>
            <w:r>
              <w:rPr>
                <w:rFonts w:ascii="Segoe UI" w:hAnsi="Segoe UI" w:eastAsia="Segoe UI" w:cs="Segoe UI"/>
                <w:color w:val="1F1D1A"/>
                <w:sz w:val="18"/>
              </w:rPr>
              <w:t>26</w:t>
            </w:r>
          </w:p>
        </w:tc>
        <w:tc>
          <w:tcPr>
            <w:tcW w:type="dxa" w:w="3061"/>
          </w:tcPr>
          <w:p>
            <w:pPr>
              <w:spacing w:after="20" w:line="264" w:lineRule="auto"/>
            </w:pPr>
            <w:r/>
            <w:r>
              <w:rPr>
                <w:rFonts w:ascii="Segoe UI" w:hAnsi="Segoe UI" w:eastAsia="Segoe UI" w:cs="Segoe UI"/>
                <w:color w:val="1F1D1A"/>
                <w:sz w:val="18"/>
              </w:rPr>
              <w:t>La educación, gratuita y obligatoria en lo elemental</w:t>
            </w:r>
          </w:p>
        </w:tc>
        <w:tc>
          <w:tcPr>
            <w:tcW w:type="dxa" w:w="3061"/>
          </w:tcPr>
          <w:p>
            <w:pPr>
              <w:spacing w:after="20" w:line="264" w:lineRule="auto"/>
            </w:pPr>
            <w:r/>
            <w:r>
              <w:rPr>
                <w:rFonts w:ascii="Segoe UI" w:hAnsi="Segoe UI" w:eastAsia="Segoe UI" w:cs="Segoe UI"/>
                <w:color w:val="1F1D1A"/>
                <w:sz w:val="18"/>
              </w:rPr>
              <w:t>art. 27</w:t>
            </w:r>
          </w:p>
        </w:tc>
      </w:tr>
      <w:tr>
        <w:tc>
          <w:tcPr>
            <w:tcW w:type="dxa" w:w="3061"/>
          </w:tcPr>
          <w:p>
            <w:pPr>
              <w:spacing w:after="20" w:line="264" w:lineRule="auto"/>
            </w:pPr>
            <w:r/>
            <w:r>
              <w:rPr>
                <w:rFonts w:ascii="Segoe UI" w:hAnsi="Segoe UI" w:eastAsia="Segoe UI" w:cs="Segoe UI"/>
                <w:color w:val="1F1D1A"/>
                <w:sz w:val="18"/>
              </w:rPr>
              <w:t>27</w:t>
            </w:r>
          </w:p>
        </w:tc>
        <w:tc>
          <w:tcPr>
            <w:tcW w:type="dxa" w:w="3061"/>
          </w:tcPr>
          <w:p>
            <w:pPr>
              <w:spacing w:after="20" w:line="264" w:lineRule="auto"/>
            </w:pPr>
            <w:r/>
            <w:r>
              <w:rPr>
                <w:rFonts w:ascii="Segoe UI" w:hAnsi="Segoe UI" w:eastAsia="Segoe UI" w:cs="Segoe UI"/>
                <w:color w:val="1F1D1A"/>
                <w:sz w:val="18"/>
              </w:rPr>
              <w:t>La vida cultural, las artes, la ciencia y los derechos de autor</w:t>
            </w:r>
          </w:p>
        </w:tc>
        <w:tc>
          <w:tcPr>
            <w:tcW w:type="dxa" w:w="3061"/>
          </w:tcPr>
          <w:p>
            <w:pPr>
              <w:spacing w:after="20" w:line="264" w:lineRule="auto"/>
            </w:pPr>
            <w:r/>
            <w:r>
              <w:rPr>
                <w:rFonts w:ascii="Segoe UI" w:hAnsi="Segoe UI" w:eastAsia="Segoe UI" w:cs="Segoe UI"/>
                <w:color w:val="1F1D1A"/>
                <w:sz w:val="18"/>
              </w:rPr>
              <w:t>art. 20.1 b); art. 44 (PR)</w:t>
            </w:r>
          </w:p>
        </w:tc>
      </w:tr>
      <w:tr>
        <w:tc>
          <w:tcPr>
            <w:tcW w:type="dxa" w:w="3061"/>
          </w:tcPr>
          <w:p>
            <w:pPr>
              <w:spacing w:after="20" w:line="264" w:lineRule="auto"/>
            </w:pPr>
            <w:r/>
            <w:r>
              <w:rPr>
                <w:rFonts w:ascii="Segoe UI" w:hAnsi="Segoe UI" w:eastAsia="Segoe UI" w:cs="Segoe UI"/>
                <w:color w:val="1F1D1A"/>
                <w:sz w:val="18"/>
              </w:rPr>
              <w:t>28</w:t>
            </w:r>
          </w:p>
        </w:tc>
        <w:tc>
          <w:tcPr>
            <w:tcW w:type="dxa" w:w="3061"/>
          </w:tcPr>
          <w:p>
            <w:pPr>
              <w:spacing w:after="20" w:line="264" w:lineRule="auto"/>
            </w:pPr>
            <w:r/>
            <w:r>
              <w:rPr>
                <w:rFonts w:ascii="Segoe UI" w:hAnsi="Segoe UI" w:eastAsia="Segoe UI" w:cs="Segoe UI"/>
                <w:color w:val="1F1D1A"/>
                <w:sz w:val="18"/>
              </w:rPr>
              <w:t>Un orden social e internacional que haga efectivos estos derechos</w:t>
            </w:r>
          </w:p>
        </w:tc>
        <w:tc>
          <w:tcPr>
            <w:tcW w:type="dxa" w:w="3061"/>
          </w:tcPr>
          <w:p>
            <w:pPr>
              <w:spacing w:after="20" w:line="264" w:lineRule="auto"/>
            </w:pPr>
            <w:r/>
            <w:r>
              <w:rPr>
                <w:rFonts w:ascii="Segoe UI" w:hAnsi="Segoe UI" w:eastAsia="Segoe UI" w:cs="Segoe UI"/>
                <w:color w:val="1F1D1A"/>
                <w:sz w:val="18"/>
              </w:rPr>
              <w:t>arts. 10.2 y 96.1</w:t>
            </w:r>
          </w:p>
        </w:tc>
      </w:tr>
      <w:tr>
        <w:tc>
          <w:tcPr>
            <w:tcW w:type="dxa" w:w="3061"/>
          </w:tcPr>
          <w:p>
            <w:pPr>
              <w:spacing w:after="20" w:line="264" w:lineRule="auto"/>
            </w:pPr>
            <w:r/>
            <w:r>
              <w:rPr>
                <w:rFonts w:ascii="Segoe UI" w:hAnsi="Segoe UI" w:eastAsia="Segoe UI" w:cs="Segoe UI"/>
                <w:color w:val="1F1D1A"/>
                <w:sz w:val="18"/>
              </w:rPr>
              <w:t>29</w:t>
            </w:r>
          </w:p>
        </w:tc>
        <w:tc>
          <w:tcPr>
            <w:tcW w:type="dxa" w:w="3061"/>
          </w:tcPr>
          <w:p>
            <w:pPr>
              <w:spacing w:after="20" w:line="264" w:lineRule="auto"/>
            </w:pPr>
            <w:r/>
            <w:r>
              <w:rPr>
                <w:rFonts w:ascii="Segoe UI" w:hAnsi="Segoe UI" w:eastAsia="Segoe UI" w:cs="Segoe UI"/>
                <w:color w:val="1F1D1A"/>
                <w:sz w:val="18"/>
              </w:rPr>
              <w:t>Deberes con la comunidad, y límites solo por ley, para respetar los derechos de los demás</w:t>
            </w:r>
          </w:p>
        </w:tc>
        <w:tc>
          <w:tcPr>
            <w:tcW w:type="dxa" w:w="3061"/>
          </w:tcPr>
          <w:p>
            <w:pPr>
              <w:spacing w:after="20" w:line="264" w:lineRule="auto"/>
            </w:pPr>
            <w:r/>
            <w:r>
              <w:rPr>
                <w:rFonts w:ascii="Segoe UI" w:hAnsi="Segoe UI" w:eastAsia="Segoe UI" w:cs="Segoe UI"/>
                <w:color w:val="1F1D1A"/>
                <w:sz w:val="18"/>
              </w:rPr>
              <w:t>arts. 10.1 y 20.4</w:t>
            </w:r>
          </w:p>
        </w:tc>
      </w:tr>
      <w:tr>
        <w:tc>
          <w:tcPr>
            <w:tcW w:type="dxa" w:w="3061"/>
          </w:tcPr>
          <w:p>
            <w:pPr>
              <w:spacing w:after="20" w:line="264" w:lineRule="auto"/>
            </w:pPr>
            <w:r/>
            <w:r>
              <w:rPr>
                <w:rFonts w:ascii="Segoe UI" w:hAnsi="Segoe UI" w:eastAsia="Segoe UI" w:cs="Segoe UI"/>
                <w:color w:val="1F1D1A"/>
                <w:sz w:val="18"/>
              </w:rPr>
              <w:t>30</w:t>
            </w:r>
          </w:p>
        </w:tc>
        <w:tc>
          <w:tcPr>
            <w:tcW w:type="dxa" w:w="3061"/>
          </w:tcPr>
          <w:p>
            <w:pPr>
              <w:spacing w:after="20" w:line="264" w:lineRule="auto"/>
            </w:pPr>
            <w:r/>
            <w:r>
              <w:rPr>
                <w:rFonts w:ascii="Segoe UI" w:hAnsi="Segoe UI" w:eastAsia="Segoe UI" w:cs="Segoe UI"/>
                <w:color w:val="1F1D1A"/>
                <w:sz w:val="18"/>
              </w:rPr>
              <w:t>Nada en la Declaración da derecho a nadie, tampoco al Estado, a suprimir estos derechos</w:t>
            </w:r>
          </w:p>
        </w:tc>
        <w:tc>
          <w:tcPr>
            <w:tcW w:type="dxa" w:w="3061"/>
          </w:tcPr>
          <w:p>
            <w:pPr>
              <w:spacing w:after="20" w:line="264" w:lineRule="auto"/>
            </w:pPr>
            <w:r/>
            <w:r>
              <w:rPr>
                <w:rFonts w:ascii="Segoe UI" w:hAnsi="Segoe UI" w:eastAsia="Segoe UI" w:cs="Segoe UI"/>
                <w:color w:val="1F1D1A"/>
                <w:sz w:val="18"/>
              </w:rPr>
              <w:t>art. 9.1; Código Civil, art. 7.2</w:t>
            </w:r>
          </w:p>
        </w:tc>
      </w:tr>
    </w:tbl>
    <w:p>
      <w:pPr>
        <w:spacing w:after="80"/>
      </w:pPr>
    </w:p>
    <w:p>
      <w:r>
        <w:t>[03.00-3.1 a 32.3; Declaración leída en un.org; Constitución, Código Civil y Código Penal leídos en el BOE]</w:t>
      </w:r>
    </w:p>
    <w:p>
      <w:r>
        <w:rPr>
          <w:b/>
        </w:rPr>
        <w:t>Cómo llegó España al artículo 4.</w:t>
      </w:r>
      <w:r>
        <w:t xml:space="preserve"> La servidumbre feudal se abolió en dos pasos. En 1486, el rey abolió los «malos usos» de los payeses de remensa catalanes y los declaró «perpetualmente ser liberos y quitios dellos», pero a cambio de que ellos mismos pagaran sesenta sueldos por cada mas, o un censo equivalente</w:t>
      </w:r>
      <w:r>
        <w:t xml:space="preserve"> (Sentencia Arbitral de Guadalupe, 21 de abril de 1486, edición de G. Pérez Sarrión)</w:t>
      </w:r>
      <w:r>
        <w:t>. Y en 1811, las Cortes de Cádiz declararon: «Quedan abolidos los dictados de vasallos y vasallage»</w:t>
      </w:r>
      <w:r>
        <w:t xml:space="preserve"> (Decreto de 6 de agosto de 1811, art. 4, Gazeta de la Regencia de 12-9-1811)</w:t>
      </w:r>
      <w:r>
        <w:br/>
      </w:r>
      <w:r>
        <w:rPr>
          <w:b/>
        </w:rPr>
        <w:t>pasaje guardado · Decreto de 6 de agosto de 1811, art. 4, Gazeta de la Regencia de 12-9-1811</w:t>
      </w:r>
      <w:r>
        <w:br/>
      </w:r>
      <w:r>
        <w:rPr>
          <w:b/>
        </w:rPr>
        <w:t>Archivo leído:</w:t>
      </w:r>
      <w:r>
        <w:t xml:space="preserve"> 03.00-6.2_Gazeta_Regencia_1811-09-12_Decreto_6-08-1811_senorios.pdf.txt (flecos\txt\03.00-6.2_Gazeta_Regencia_1811-09-12_Decreto_6-08-1811_senorios.pdf.txt) · contraste del archivo de pasajes: ✔</w:t>
      </w:r>
      <w:r>
        <w:br/>
      </w:r>
      <w:r>
        <w:rPr>
          <w:b/>
        </w:rPr>
        <w:t>Lugar:</w:t>
      </w:r>
      <w:r>
        <w:t xml:space="preserve"> Decreto de 6 de agosto de 1811, art. 4, Gazeta de la Regencia de 12-9-1811</w:t>
      </w:r>
      <w:r>
        <w:br/>
      </w:r>
      <w:r>
        <w:rPr>
          <w:b/>
        </w:rPr>
        <w:t>Tal como está en la fuente:</w:t>
      </w:r>
      <w:r>
        <w:t xml:space="preserve"> Quedan abolidos los dictados de vasallos y vasallage</w:t>
      </w:r>
      <w:r>
        <w:t>. La esclavitud en las colonias duró hasta 1873 en Puerto Rico y hasta 1886 en Cuba (</w:t>
      </w:r>
      <w:r>
        <w:t>3.1</w:t>
      </w:r>
      <w:r>
        <w:t xml:space="preserve">). </w:t>
      </w:r>
      <w:r>
        <w:t>[03.00-6.2; leídos el 5-oct]</w:t>
      </w:r>
    </w:p>
    <w:p>
      <w:r>
        <w:rPr>
          <w:b/>
        </w:rPr>
        <w:t>Con los derechos, los deberes.</w:t>
      </w:r>
      <w:r>
        <w:t xml:space="preserve"> La Declaración no habla solo de derechos: «Toda persona tiene deberes respecto a la comunidad, puesto que sólo en ella puede desarrollar libre y plenamente su personalidad»</w:t>
      </w:r>
      <w:r>
        <w:t xml:space="preserve"> (Declaración Universal, art. 29.1)</w:t>
      </w:r>
      <w:r>
        <w:br/>
      </w:r>
      <w:r>
        <w:rPr>
          <w:b/>
        </w:rPr>
        <w:t>leída en su fuente · Declaración Universal, art. 29.1</w:t>
      </w:r>
      <w:r>
        <w:br/>
      </w:r>
      <w:r>
        <w:rPr>
          <w:b/>
        </w:rPr>
        <w:t>Archivo leído:</w:t>
      </w:r>
      <w:r>
        <w:t xml:space="preserve"> dudh.html (c2\dudh.html) · contraste del archivo de pasajes: ✔</w:t>
      </w:r>
      <w:r>
        <w:br/>
      </w:r>
      <w:r>
        <w:rPr>
          <w:b/>
        </w:rPr>
        <w:t>Lugar:</w:t>
      </w:r>
      <w:r>
        <w:t xml:space="preserve"> Declaración Universal, art. 29.1</w:t>
      </w:r>
      <w:r>
        <w:br/>
      </w:r>
      <w:r>
        <w:rPr>
          <w:b/>
        </w:rPr>
        <w:t>Tal como está en la fuente:</w:t>
      </w:r>
      <w:r>
        <w:t xml:space="preserve"> Toda persona tiene deberes respecto a la comunidad, puesto que sólo en ella puede desarrollar libre y plenamente su personalidad</w:t>
      </w:r>
      <w:r>
        <w:t>.</w:t>
      </w:r>
    </w:p>
    <w:p>
      <w:r>
        <w:t>En el sur de África lo dicen así: «Umuntu ngumuntu ngabantu» (una persona es persona a través de otras personas). Lo recoge el informe de la Comisión de la Verdad y la Reconciliación de Sudáfrica, que presidió Desmond Tutu y que se entregó al presidente Nelson Mandela en 1998: ubuntu, «traducido por lo general como “humanidad”», se expresa en esa frase</w:t>
      </w:r>
      <w:r>
        <w:t xml:space="preserve"> [original: «Ubuntu, generally translated as ‘humaneness’, expresses itself metaphorically in umuntu ngumuntu ngabantu – ‘people are people through other people’»]</w:t>
      </w:r>
      <w:r>
        <w:t xml:space="preserve"> (Comisión de la Verdad y la Reconciliación, Informe, vol. 1, 1998, cap. 5, § 85)</w:t>
      </w:r>
      <w:r>
        <w:t xml:space="preserve">. Con su matiz: no prueba la ley natural, sino que la dignidad se vive en relación con los demás; y hay críticos, como Mboti (2015), que rechazan presentarlo como una esencia de los pueblos africanos (fuente secundaria). </w:t>
      </w:r>
      <w:r>
        <w:t>[01.00-12.1 y 12.2; Declaración leída en un.org]</w:t>
      </w:r>
    </w:p>
    <w:p>
      <w:pPr>
        <w:pStyle w:val="Heading2"/>
      </w:pPr>
      <w:r>
        <w:t>2.3 «Soberanos somos todos»</w:t>
      </w:r>
    </w:p>
    <w:p>
      <w:pPr>
        <w:pBdr>
          <w:left w:val="single" w:sz="24" w:space="6" w:color="E2DED6"/>
        </w:pBdr>
        <w:shd w:val="clear" w:color="auto" w:fill="F1EEE8"/>
        <w:spacing w:before="80" w:after="160"/>
        <w:ind w:left="142" w:right="142"/>
      </w:pPr>
      <w:r>
        <w:rPr>
          <w:b/>
        </w:rPr>
        <w:t>La idea: cada persona es dueña de sí misma, porque lleva en sí la imagen de su Creador, y nadie lo es por naturaleza de otra. No exime de la ley ni da autoridad frente a nadie: cada uno responde de sus actos.</w:t>
      </w:r>
    </w:p>
    <w:p>
      <w:pPr>
        <w:pStyle w:val="ListBullet"/>
      </w:pPr>
      <w:r>
        <w:t>Por eso la soberanía reside en el pueblo, en todos.</w:t>
      </w:r>
    </w:p>
    <w:p>
      <w:pPr>
        <w:pStyle w:val="ListBullet"/>
      </w:pPr>
      <w:r>
        <w:t>La obra ni concede esa soberanía ni la quita: deja constancia.</w:t>
      </w:r>
    </w:p>
    <w:p>
      <w:pPr>
        <w:pStyle w:val="ListBullet"/>
      </w:pPr>
      <w:r>
        <w:t>Fuera de esta frase, la edición usa «soberano» solo en su sentido político corriente, como en «soberanía nacional».</w:t>
      </w:r>
    </w:p>
    <w:p>
      <w:r>
        <w:t>[glosario 2.1 y 2.3; 00.00-1.2 y 1.3]</w:t>
      </w:r>
    </w:p>
    <w:p>
      <w:r>
        <w:rPr>
          <w:b/>
        </w:rPr>
        <w:t>Lo dicen tradiciones sin contacto documentado entre sí:</w:t>
      </w:r>
    </w:p>
    <w:p>
      <w:pPr>
        <w:pStyle w:val="ListBullet"/>
      </w:pPr>
      <w:r>
        <w:rPr>
          <w:b/>
        </w:rPr>
        <w:t>La Biblia:</w:t>
      </w:r>
      <w:r>
        <w:t xml:space="preserve"> «crió Dios al hombre á su imagen»</w:t>
      </w:r>
      <w:r>
        <w:t xml:space="preserve"> (Gn 1:27)</w:t>
      </w:r>
      <w:r>
        <w:br/>
      </w:r>
      <w:r>
        <w:rPr>
          <w:b/>
        </w:rPr>
        <w:t>leída en su fuente · Gn 1:27</w:t>
      </w:r>
      <w:r>
        <w:br/>
      </w:r>
      <w:r>
        <w:rPr>
          <w:b/>
        </w:rPr>
        <w:t>Archivo leído:</w:t>
      </w:r>
      <w:r>
        <w:t xml:space="preserve"> 42_Gn_1_27_RVA.html (flecos3\42_Gn_1_27_RVA.html) · contraste del archivo de pasajes: ✔</w:t>
      </w:r>
      <w:r>
        <w:br/>
      </w:r>
      <w:r>
        <w:rPr>
          <w:b/>
        </w:rPr>
        <w:t>Dirección:</w:t>
      </w:r>
      <w:r>
        <w:t xml:space="preserve"> </w:t>
      </w:r>
      <w:r>
        <w:t>https://www.biblegateway.com/passage/?search=Genesis+1%3A27&amp;version=RVA</w:t>
      </w:r>
      <w:r>
        <w:br/>
      </w:r>
      <w:r>
        <w:rPr>
          <w:b/>
        </w:rPr>
        <w:t>Tal como está en la fuente:</w:t>
      </w:r>
      <w:r>
        <w:t xml:space="preserve"> Y crió Dios al hombre á su imagen, á imagen de Dios lo crió; varón y hembra los crió.</w:t>
      </w:r>
      <w:r>
        <w:t>.</w:t>
      </w:r>
    </w:p>
    <w:p>
      <w:pPr>
        <w:pStyle w:val="ListBullet"/>
      </w:pPr>
      <w:r>
        <w:t>Y además: «porque á imagen de Dios es hecho el hombre» (Gn 9:6); «los hombres, los cuales son hechos á la semejanza de Dios» (Stg 3:9); «siendo pues linaje de Dios» (Hch 17:29).</w:t>
      </w:r>
    </w:p>
    <w:p>
      <w:pPr>
        <w:pStyle w:val="ListBullet"/>
      </w:pPr>
      <w:r>
        <w:rPr>
          <w:b/>
        </w:rPr>
        <w:t>San Agustín:</w:t>
      </w:r>
      <w:r>
        <w:t xml:space="preserve"> Dios no quiso que el ser racional, hecho a su imagen, dominara sino sobre los seres irracionales: «no al hombre sobre el hombre, sino al hombre sobre el ganado»</w:t>
      </w:r>
      <w:r>
        <w:t xml:space="preserve"> [original: «Rationalem factum ad imaginem suam noluit nisi inrationabilibus dominari; non hominem homini, sed hominem pecori»]</w:t>
      </w:r>
      <w:r>
        <w:t xml:space="preserve"> (La ciudad de Dios XIX, 15)</w:t>
      </w:r>
      <w:r>
        <w:br/>
      </w:r>
      <w:r>
        <w:rPr>
          <w:b/>
        </w:rPr>
        <w:t>leída en su fuente · La ciudad de Dios XIX, 15</w:t>
      </w:r>
      <w:r>
        <w:br/>
      </w:r>
      <w:r>
        <w:rPr>
          <w:b/>
        </w:rPr>
        <w:t>Archivo leído:</w:t>
      </w:r>
      <w:r>
        <w:t xml:space="preserve"> agustin_civitas_dei_XIX_thelatinlibrary.html (reparacion_citas\agustin_civitas_dei_XIX_thelatinlibrary.html) · contraste del archivo de pasajes: ✔</w:t>
      </w:r>
      <w:r>
        <w:br/>
      </w:r>
      <w:r>
        <w:rPr>
          <w:b/>
        </w:rPr>
        <w:t>Lugar:</w:t>
      </w:r>
      <w:r>
        <w:t xml:space="preserve"> La ciudad de Dios XIX, 15</w:t>
      </w:r>
      <w:r>
        <w:br/>
      </w:r>
      <w:r>
        <w:rPr>
          <w:b/>
        </w:rPr>
        <w:t>Tal como está en la fuente:</w:t>
      </w:r>
      <w:r>
        <w:t xml:space="preserve"> Rationalem factum ad imaginem suam noluit nisi inrationabilibus dominari; non hominem homini, sed hominem pecori</w:t>
      </w:r>
      <w:r>
        <w:t>.</w:t>
      </w:r>
    </w:p>
    <w:p>
      <w:pPr>
        <w:pStyle w:val="ListBullet"/>
      </w:pPr>
      <w:r>
        <w:rPr>
          <w:b/>
        </w:rPr>
        <w:t>El budismo:</w:t>
      </w:r>
      <w:r>
        <w:t xml:space="preserve"> «uno mismo es el señor de uno mismo: ¿quién otro podría ser su señor?»</w:t>
      </w:r>
      <w:r>
        <w:t xml:space="preserve"> [original: «Attā hi attano nātho, ko hi nātho paro siyā»]</w:t>
      </w:r>
      <w:r>
        <w:t xml:space="preserve"> (Dhammapada 160)</w:t>
      </w:r>
      <w:r>
        <w:br/>
      </w:r>
      <w:r>
        <w:rPr>
          <w:b/>
        </w:rPr>
        <w:t>leída en su fuente · Dhammapada 160</w:t>
      </w:r>
      <w:r>
        <w:br/>
      </w:r>
      <w:r>
        <w:rPr>
          <w:b/>
        </w:rPr>
        <w:t>Archivo leído:</w:t>
      </w:r>
      <w:r>
        <w:t xml:space="preserve"> suttacentral_dhammapada_pali_ms_texto_corrido.txt (reparacion_citas\suttacentral_dhammapada_pali_ms_texto_corrido.txt) · contraste del archivo de pasajes: ✔</w:t>
      </w:r>
      <w:r>
        <w:br/>
      </w:r>
      <w:r>
        <w:rPr>
          <w:b/>
        </w:rPr>
        <w:t>Lugar:</w:t>
      </w:r>
      <w:r>
        <w:t xml:space="preserve"> Dhammapada 160</w:t>
      </w:r>
      <w:r>
        <w:br/>
      </w:r>
      <w:r>
        <w:rPr>
          <w:b/>
        </w:rPr>
        <w:t>Tal como está en la fuente:</w:t>
      </w:r>
      <w:r>
        <w:t xml:space="preserve"> Attā hi attano nātho, ko hi nātho paro siyā</w:t>
      </w:r>
      <w:r>
        <w:t>.</w:t>
      </w:r>
    </w:p>
    <w:p>
      <w:pPr>
        <w:pStyle w:val="ListBullet"/>
      </w:pPr>
      <w:r>
        <w:rPr>
          <w:b/>
        </w:rPr>
        <w:t>Confucio:</w:t>
      </w:r>
      <w:r>
        <w:t xml:space="preserve"> «a un gran ejército se le puede arrebatar su general; al hombre más sencillo no se le puede arrebatar su voluntad»</w:t>
      </w:r>
      <w:r>
        <w:t xml:space="preserve"> [original: «三軍可奪帥也，匹夫不可奪志也»]</w:t>
      </w:r>
      <w:r>
        <w:t xml:space="preserve"> (Analectas 9.26)</w:t>
      </w:r>
      <w:r>
        <w:br/>
      </w:r>
      <w:r>
        <w:rPr>
          <w:b/>
        </w:rPr>
        <w:t>leída en su fuente · Analectas 9.26</w:t>
      </w:r>
      <w:r>
        <w:br/>
      </w:r>
      <w:r>
        <w:rPr>
          <w:b/>
        </w:rPr>
        <w:t>Original donde está:</w:t>
      </w:r>
      <w:r>
        <w:t xml:space="preserve"> zhwikisource_Analectas_子罕第九.txt</w:t>
      </w:r>
      <w:r>
        <w:br/>
      </w:r>
      <w:r>
        <w:t>El pasaje literal no está en el archivo de pasajes con este comienzo; la auditoría lo halló en ese original.</w:t>
      </w:r>
      <w:r>
        <w:t>.</w:t>
      </w:r>
    </w:p>
    <w:p>
      <w:pPr>
        <w:pStyle w:val="ListBullet"/>
      </w:pPr>
      <w:r>
        <w:rPr>
          <w:b/>
        </w:rPr>
        <w:t>Mill:</w:t>
      </w:r>
      <w:r>
        <w:t xml:space="preserve"> «sobre sí mismo, sobre su propio cuerpo y su propia mente, el individuo es soberano»</w:t>
      </w:r>
      <w:r>
        <w:t xml:space="preserve"> [original: «Over himself, over his own body and mind, the individual is sovereign»]</w:t>
      </w:r>
      <w:r>
        <w:t xml:space="preserve"> (John Stuart Mill, Sobre la libertad, 1859, cap. I)</w:t>
      </w:r>
      <w:r>
        <w:br/>
      </w:r>
      <w:r>
        <w:rPr>
          <w:b/>
        </w:rPr>
        <w:t>leída en su fuente · John Stuart Mill, Sobre la libertad, 1859, cap. I</w:t>
      </w:r>
      <w:r>
        <w:br/>
      </w:r>
      <w:r>
        <w:rPr>
          <w:b/>
        </w:rPr>
        <w:t>Archivo leído:</w:t>
      </w:r>
      <w:r>
        <w:t xml:space="preserve"> mill.txt (c2\mill.txt) · contraste del archivo de pasajes: ✔</w:t>
      </w:r>
      <w:r>
        <w:br/>
      </w:r>
      <w:r>
        <w:rPr>
          <w:b/>
        </w:rPr>
        <w:t>Lugar:</w:t>
      </w:r>
      <w:r>
        <w:t xml:space="preserve"> John Stuart Mill, Sobre la libertad, 1859, cap. I</w:t>
      </w:r>
      <w:r>
        <w:br/>
      </w:r>
      <w:r>
        <w:rPr>
          <w:b/>
        </w:rPr>
        <w:t>Tal como está en la fuente:</w:t>
      </w:r>
      <w:r>
        <w:t xml:space="preserve"> Over himself, over his own body and mind, the individual is sovereign</w:t>
      </w:r>
      <w:r>
        <w:t>.</w:t>
      </w:r>
    </w:p>
    <w:p>
      <w:pPr>
        <w:pStyle w:val="ListBullet"/>
      </w:pPr>
      <w:r>
        <w:rPr>
          <w:b/>
        </w:rPr>
        <w:t>La Constitución:</w:t>
      </w:r>
      <w:r>
        <w:t xml:space="preserve"> «La soberanía nacional reside en el pueblo español, del que emanan los poderes del Estado»</w:t>
      </w:r>
      <w:r>
        <w:t xml:space="preserve"> (Constitución, art. 1.2)</w:t>
      </w:r>
      <w:r>
        <w:br/>
      </w:r>
      <w:r>
        <w:rPr>
          <w:b/>
        </w:rPr>
        <w:t>leída en su fuente · Constitución, art. 1.2</w:t>
      </w:r>
      <w:r>
        <w:br/>
      </w:r>
      <w:r>
        <w:rPr>
          <w:b/>
        </w:rPr>
        <w:t>Archivo leído:</w:t>
      </w:r>
      <w:r>
        <w:t xml:space="preserve"> constitucion_1978.html (c5\constitucion_1978.html) · contraste del archivo de pasajes: ✔</w:t>
      </w:r>
      <w:r>
        <w:br/>
      </w:r>
      <w:r>
        <w:rPr>
          <w:b/>
        </w:rPr>
        <w:t>Lugar:</w:t>
      </w:r>
      <w:r>
        <w:t xml:space="preserve"> Art. 1.2</w:t>
      </w:r>
      <w:r>
        <w:br/>
      </w:r>
      <w:r>
        <w:rPr>
          <w:b/>
        </w:rPr>
        <w:t>Dirección:</w:t>
      </w:r>
      <w:r>
        <w:t xml:space="preserve"> </w:t>
      </w:r>
      <w:r>
        <w:t>https://www.boe.es/buscar/act.php?id=BOE-A-1978-31229</w:t>
      </w:r>
      <w:r>
        <w:br/>
      </w:r>
      <w:r>
        <w:rPr>
          <w:b/>
        </w:rPr>
        <w:t>Tal como está en la fuente:</w:t>
      </w:r>
      <w:r>
        <w:t xml:space="preserve"> 2. La soberanía nacional reside en el pueblo español, del que emanan los poderes del Estado.</w:t>
      </w:r>
      <w:r>
        <w:t>.</w:t>
      </w:r>
    </w:p>
    <w:p>
      <w:pPr>
        <w:pStyle w:val="ListBullet"/>
      </w:pPr>
      <w:r>
        <w:rPr>
          <w:b/>
        </w:rPr>
        <w:t>El judaísmo:</w:t>
      </w:r>
      <w:r>
        <w:t xml:space="preserve"> «חָבִיב אָדָם שֶׁנִּבְרָא בְצֶלֶם» (amado es el ser humano, porque fue creado a imagen; Pirkei Avot 3:14).</w:t>
      </w:r>
    </w:p>
    <w:p>
      <w:pPr>
        <w:pStyle w:val="ListBullet"/>
      </w:pPr>
      <w:r>
        <w:rPr>
          <w:b/>
        </w:rPr>
        <w:t>El islam:</w:t>
      </w:r>
      <w:r>
        <w:t xml:space="preserve"> «Hemos honrado a los hijos de Adán» (Corán 17:70); «cuando lo haya formado armoniosamente e infundido en él de Mi Espíritu» (15:29).</w:t>
      </w:r>
    </w:p>
    <w:p>
      <w:pPr>
        <w:pStyle w:val="ListBullet"/>
      </w:pPr>
      <w:r>
        <w:rPr>
          <w:b/>
        </w:rPr>
        <w:t>La India:</w:t>
      </w:r>
      <w:r>
        <w:t xml:space="preserve"> «mamaivāṁśo jīva-loke jīva-bhūtaḥ sanātanaḥ» (una porción eterna de Mí mismo se hace ser vivo en el mundo de los vivos; Bhagavad Gita 15.7).</w:t>
      </w:r>
    </w:p>
    <w:p>
      <w:pPr>
        <w:pStyle w:val="ListBullet"/>
      </w:pPr>
      <w:r>
        <w:rPr>
          <w:b/>
        </w:rPr>
        <w:t>Mencio:</w:t>
      </w:r>
      <w:r>
        <w:t xml:space="preserve"> «有天爵者，有人爵者» (hay una nobleza del Cielo y una nobleza de los hombres). La del Cielo es la benevolencia, la rectitud, la lealtad y la fidelidad; la de los hombres, los cargos. «人人有貴於己者，弗思耳矣» (cada persona tiene en sí misma lo que es digno de honra; solo que no piensa en ello). «趙孟之所貴，趙孟能賤之» (a quien Zhao Meng, un ministro poderoso, ennoblece, Zhao Meng puede rebajarlo; Mencio 6A16-17).</w:t>
      </w:r>
    </w:p>
    <w:p>
      <w:pPr>
        <w:pStyle w:val="ListBullet"/>
      </w:pPr>
      <w:r>
        <w:rPr>
          <w:b/>
        </w:rPr>
        <w:t>Laozi:</w:t>
      </w:r>
      <w:r>
        <w:t xml:space="preserve"> «勝人者有力，自勝者強» (quien vence a los demás tiene fuerza; quien se vence a sí mismo es fuerte; Daodejing 33).</w:t>
      </w:r>
    </w:p>
    <w:p>
      <w:r>
        <w:t>[glosario 2.3, leído en su fuente el 5-oct; Confucio, Mencio y Laozi leídos en chino; Mill, en Gutenberg; Constitución, en el BOE]</w:t>
      </w:r>
    </w:p>
    <w:p>
      <w:r>
        <w:rPr>
          <w:b/>
        </w:rPr>
        <w:t>Conclusión, lo que arrojan los datos:</w:t>
      </w:r>
      <w:r>
        <w:t xml:space="preserve"> Israel, el islam, la India, el budismo y China coinciden en una cosa. Cada persona lleva en sí algo que ningún poder humano le da ni le puede quitar: la imagen de Dios, su espíritu, una porción eterna, el señorío sobre sí misma, su voluntad o la nobleza del Cielo. Y la propia Constitución pone la soberanía en el pueblo, es decir, en todos. Con la vara de la convergencia (</w:t>
      </w:r>
      <w:r>
        <w:t>0.5</w:t>
      </w:r>
      <w:r>
        <w:t>), la mesa se sostiene.</w:t>
      </w:r>
    </w:p>
    <w:p>
      <w:r>
        <w:rPr>
          <w:b/>
        </w:rPr>
        <w:t>Las patas cojas, dichas:</w:t>
      </w:r>
    </w:p>
    <w:p>
      <w:pPr>
        <w:pStyle w:val="ListBullet"/>
      </w:pPr>
      <w:r>
        <w:t>El mismo capítulo de san Agustín acepta la servidumbre como pena justa del pecado</w:t>
      </w:r>
      <w:r>
        <w:t xml:space="preserve"> [original: «Condicio quippe seruitutis iure intellegitur inposita peccatori» (con razón se entiende que la condición de siervo se impuso al pecador)]</w:t>
      </w:r>
      <w:r>
        <w:t>. Lo que niega es que venga de la naturaleza: «ese nombre lo mereció la culpa, no la naturaleza»</w:t>
      </w:r>
      <w:r>
        <w:t xml:space="preserve"> [original: «Nomen itaque istud culpa meruit, non natura»]</w:t>
      </w:r>
      <w:r>
        <w:t xml:space="preserve"> (La ciudad de Dios XIX, 15)</w:t>
      </w:r>
      <w:r>
        <w:br/>
      </w:r>
      <w:r>
        <w:rPr>
          <w:b/>
        </w:rPr>
        <w:t>leída en su fuente · La ciudad de Dios XIX, 15</w:t>
      </w:r>
      <w:r>
        <w:br/>
      </w:r>
      <w:r>
        <w:rPr>
          <w:b/>
        </w:rPr>
        <w:t>Archivo leído:</w:t>
      </w:r>
      <w:r>
        <w:t xml:space="preserve"> agustin_civitas_dei_XIX_thelatinlibrary.html (reparacion_citas\agustin_civitas_dei_XIX_thelatinlibrary.html) · contraste del archivo de pasajes: ✔</w:t>
      </w:r>
      <w:r>
        <w:br/>
      </w:r>
      <w:r>
        <w:rPr>
          <w:b/>
        </w:rPr>
        <w:t>Lugar:</w:t>
      </w:r>
      <w:r>
        <w:t xml:space="preserve"> La ciudad de Dios XIX, 15</w:t>
      </w:r>
      <w:r>
        <w:br/>
      </w:r>
      <w:r>
        <w:rPr>
          <w:b/>
        </w:rPr>
        <w:t>Tal como está en la fuente:</w:t>
      </w:r>
      <w:r>
        <w:t xml:space="preserve"> Nomen itaque istud culpa meruit, non natura</w:t>
      </w:r>
      <w:r>
        <w:t>.</w:t>
      </w:r>
    </w:p>
    <w:p>
      <w:pPr>
        <w:pStyle w:val="ListBullet"/>
      </w:pPr>
      <w:r>
        <w:t>La imagen no hace a nadie Dios: «como hombres moriréis»</w:t>
      </w:r>
      <w:r>
        <w:t xml:space="preserve"> (Sal 82:7; </w:t>
      </w:r>
      <w:r>
        <w:t>1.3</w:t>
      </w:r>
      <w:r>
        <w:t>)</w:t>
      </w:r>
      <w:r>
        <w:t>.</w:t>
      </w:r>
    </w:p>
    <w:p>
      <w:pPr>
        <w:pStyle w:val="ListBullet"/>
      </w:pPr>
      <w:r>
        <w:t>Las palabras no son las mismas: imagen, espíritu, señorío, voluntad o nobleza no significan exactamente «soberanía». Coincide la idea, no el término.</w:t>
      </w:r>
    </w:p>
    <w:p>
      <w:r>
        <w:t>[glosario 2.3]</w:t>
      </w:r>
    </w:p>
    <w:p>
      <w:r>
        <w:rPr>
          <w:b/>
        </w:rPr>
        <w:t>El límite.</w:t>
      </w:r>
      <w:r>
        <w:t xml:space="preserve"> Mill lo pone en el mismo libro: «el único fin por el que se puede ejercer con derecho el poder sobre cualquier miembro de una comunidad civilizada, contra su voluntad, es impedir que dañe a otros»</w:t>
      </w:r>
      <w:r>
        <w:t xml:space="preserve"> [original: «the only purpose for which power can be rightfully exercised over any member of a civilised community, against his will, is to prevent harm to others»]</w:t>
      </w:r>
      <w:r>
        <w:t xml:space="preserve"> (Sobre la libertad, cap. I)</w:t>
      </w:r>
      <w:r>
        <w:br/>
      </w:r>
      <w:r>
        <w:rPr>
          <w:b/>
        </w:rPr>
        <w:t>leída en su fuente · Sobre la libertad, cap. I</w:t>
      </w:r>
      <w:r>
        <w:br/>
      </w:r>
      <w:r>
        <w:rPr>
          <w:b/>
        </w:rPr>
        <w:t>Archivo leído:</w:t>
      </w:r>
      <w:r>
        <w:t xml:space="preserve"> mill.txt (c2\mill.txt) · contraste del archivo de pasajes: ✔</w:t>
      </w:r>
      <w:r>
        <w:br/>
      </w:r>
      <w:r>
        <w:rPr>
          <w:b/>
        </w:rPr>
        <w:t>Lugar:</w:t>
      </w:r>
      <w:r>
        <w:t xml:space="preserve"> Sobre la libertad, cap. I</w:t>
      </w:r>
      <w:r>
        <w:br/>
      </w:r>
      <w:r>
        <w:rPr>
          <w:b/>
        </w:rPr>
        <w:t>Tal como está en la fuente:</w:t>
      </w:r>
      <w:r>
        <w:t xml:space="preserve"> the only purpose for which power can be rightfully exercised over any member of a civilised community, against his will, is to prevent harm to others</w:t>
      </w:r>
      <w:r>
        <w:t>. Y cada uno responde de lo suyo: «El alma que pecare, esa morirá: el hijo no llevará por el pecado del padre, ni el padre llevará por el pecado del hijo»</w:t>
      </w:r>
      <w:r>
        <w:t xml:space="preserve"> (Ez 18:20)</w:t>
      </w:r>
      <w:r>
        <w:br/>
      </w:r>
      <w:r>
        <w:rPr>
          <w:b/>
        </w:rPr>
        <w:t>leída en su fuente · Ez 18:20</w:t>
      </w:r>
      <w:r>
        <w:br/>
      </w:r>
      <w:r>
        <w:rPr>
          <w:b/>
        </w:rPr>
        <w:t>Archivo leído:</w:t>
      </w:r>
      <w:r>
        <w:t xml:space="preserve"> ez_18_20_rva.html (c9a\ez_18_20_rva.html) · contraste del archivo de pasajes: ✔</w:t>
      </w:r>
      <w:r>
        <w:br/>
      </w:r>
      <w:r>
        <w:rPr>
          <w:b/>
        </w:rPr>
        <w:t>Lugar:</w:t>
      </w:r>
      <w:r>
        <w:t xml:space="preserve"> passage-text, v. 20</w:t>
      </w:r>
      <w:r>
        <w:br/>
      </w:r>
      <w:r>
        <w:rPr>
          <w:b/>
        </w:rPr>
        <w:t>Dirección:</w:t>
      </w:r>
      <w:r>
        <w:t xml:space="preserve"> </w:t>
      </w:r>
      <w:r>
        <w:t>https://www.biblegateway.com/passage/?search=Ezekiel+18%3A20&amp;version=RVA</w:t>
      </w:r>
      <w:r>
        <w:br/>
      </w:r>
      <w:r>
        <w:rPr>
          <w:b/>
        </w:rPr>
        <w:t>Tal como está en la fuente:</w:t>
      </w:r>
      <w:r>
        <w:t xml:space="preserve"> El alma que pecare, esa morirá: el hijo no llevará por el pecado del padre, ni el padre llevará por el pecado del hijo: la justicia del justo será sobre él, y la impiedad el impío será sobre él.</w:t>
      </w:r>
      <w:r>
        <w:t>.</w:t>
      </w:r>
    </w:p>
    <w:p>
      <w:r>
        <w:t>[20.00-1.1 y 1.3; Mill leído en Gutenberg; Reina-Valera Antigua]</w:t>
      </w:r>
    </w:p>
    <w:p>
      <w:r>
        <w:rPr>
          <w:b/>
        </w:rPr>
        <w:t>Lectura del autor:</w:t>
      </w:r>
      <w:r>
        <w:t xml:space="preserve"> Dios nos creó a imagen y semejanza. De ahí viene la soberanía de cada uno sobre sí mismo, que ningún ente sin cuerpo puede dar ni quitar.</w:t>
      </w:r>
    </w:p>
    <w:p>
      <w:r>
        <w:t>[glosario 2.3]</w:t>
      </w:r>
    </w:p>
    <w:p>
      <w:r>
        <w:rPr>
          <w:b/>
        </w:rPr>
        <w:t>Varón y hembra, en las tradiciones.</w:t>
      </w:r>
      <w:r>
        <w:t xml:space="preserve"> Si cada persona lleva la imagen de su Creador, ¿la llevan igual el varón y la hembra? La obra leyó los relatos del origen de 19 tradiciones (78 pasajes, que se ven en el nivel más hondo). Aquí van los más claros.</w:t>
      </w:r>
    </w:p>
    <w:p>
      <w:r>
        <w:rPr>
          <w:b/>
        </w:rPr>
        <w:t>Un solo origen, o un solo ser que se divide:</w:t>
      </w:r>
    </w:p>
    <w:p>
      <w:pPr>
        <w:pStyle w:val="ListBullet"/>
      </w:pPr>
      <w:r>
        <w:rPr>
          <w:b/>
        </w:rPr>
        <w:t>La Biblia:</w:t>
      </w:r>
      <w:r>
        <w:t xml:space="preserve"> «Y crió Dios al hombre á su imagen, á imagen de Dios lo crió; varón y hembra los crió»</w:t>
      </w:r>
      <w:r>
        <w:t xml:space="preserve"> [original: «זָכָ֥ר וּנְקֵבָ֖ה בָּרָ֥א אֹתָֽם׃»]</w:t>
      </w:r>
      <w:r>
        <w:t xml:space="preserve"> (Gn 1:27)</w:t>
      </w:r>
      <w:r>
        <w:br/>
      </w:r>
      <w:r>
        <w:rPr>
          <w:b/>
        </w:rPr>
        <w:t>leída en su fuente · Gn 1:27</w:t>
      </w:r>
      <w:r>
        <w:br/>
      </w:r>
      <w:r>
        <w:rPr>
          <w:b/>
        </w:rPr>
        <w:t>Archivo leído:</w:t>
      </w:r>
      <w:r>
        <w:t xml:space="preserve"> 42_Gn_1_27_RVA.html (flecos3\42_Gn_1_27_RVA.html) · contraste del archivo de pasajes: ✔</w:t>
      </w:r>
      <w:r>
        <w:br/>
      </w:r>
      <w:r>
        <w:rPr>
          <w:b/>
        </w:rPr>
        <w:t>Dirección:</w:t>
      </w:r>
      <w:r>
        <w:t xml:space="preserve"> </w:t>
      </w:r>
      <w:r>
        <w:t>https://www.biblegateway.com/passage/?search=Genesis+1%3A27&amp;version=RVA</w:t>
      </w:r>
      <w:r>
        <w:br/>
      </w:r>
      <w:r>
        <w:rPr>
          <w:b/>
        </w:rPr>
        <w:t>Tal como está en la fuente:</w:t>
      </w:r>
      <w:r>
        <w:t xml:space="preserve"> Y crió Dios al hombre á su imagen, á imagen de Dios lo crió; varón y hembra los crió.</w:t>
      </w:r>
      <w:r>
        <w:t>. Y: «Varón y hembra los crió; y los bendijo, y llamó el nombre de ellos Adam»</w:t>
      </w:r>
      <w:r>
        <w:t xml:space="preserve"> (Gn 5:2)</w:t>
      </w:r>
      <w:r>
        <w:br/>
      </w:r>
      <w:r>
        <w:rPr>
          <w:b/>
        </w:rPr>
        <w:t>leída en su fuente · Gn 5:2</w:t>
      </w:r>
      <w:r>
        <w:br/>
      </w:r>
      <w:r>
        <w:rPr>
          <w:b/>
        </w:rPr>
        <w:t>Original donde está:</w:t>
      </w:r>
      <w:r>
        <w:t xml:space="preserve"> Genesis_RVA.txt</w:t>
      </w:r>
      <w:r>
        <w:br/>
      </w:r>
      <w:r>
        <w:t>El pasaje literal no está en el archivo de pasajes con este comienzo; la auditoría lo halló en ese original.</w:t>
      </w:r>
      <w:r>
        <w:t>: el nombre de la humanidad es el de la pareja entera.</w:t>
      </w:r>
    </w:p>
    <w:p>
      <w:pPr>
        <w:pStyle w:val="ListBullet"/>
      </w:pPr>
      <w:r>
        <w:rPr>
          <w:b/>
        </w:rPr>
        <w:t>La India (Upanishad):</w:t>
      </w:r>
      <w:r>
        <w:t xml:space="preserve"> el Ser «era tan grande como un hombre y una mujer juntos. Entonces hizo que ese Sí mismo suyo se partiera en dos, y de ahí surgieron el marido y la mujer»</w:t>
      </w:r>
      <w:r>
        <w:t xml:space="preserve"> [original: «He was so large as man and wife together. He then made this his Self to fall in two (pat), and thence arose husband (pati) and wife (patnî)», en la traducción de Max Müller]</w:t>
      </w:r>
      <w:r>
        <w:t xml:space="preserve"> (Brihadaranyaka Upanishad I, 4, 3)</w:t>
      </w:r>
      <w:r>
        <w:br/>
      </w:r>
      <w:r>
        <w:rPr>
          <w:b/>
        </w:rPr>
        <w:t>leída en su fuente · Brihadaranyaka Upanishad I, 4, 3</w:t>
      </w:r>
      <w:r>
        <w:br/>
      </w:r>
      <w:r>
        <w:rPr>
          <w:b/>
        </w:rPr>
        <w:t>Archivo leído:</w:t>
      </w:r>
      <w:r>
        <w:t xml:space="preserve"> mundaka_muller_sbe15_1884_archive_djvu.txt (c9h\mundaka_muller_sbe15_1884_archive_djvu.txt) · contraste del archivo de pasajes: ✔</w:t>
      </w:r>
      <w:r>
        <w:br/>
      </w:r>
      <w:r>
        <w:rPr>
          <w:b/>
        </w:rPr>
        <w:t>Lugar:</w:t>
      </w:r>
      <w:r>
        <w:t xml:space="preserve"> Brihadaranyaka Upanishad I, 4, 3</w:t>
      </w:r>
      <w:r>
        <w:br/>
      </w:r>
      <w:r>
        <w:rPr>
          <w:b/>
        </w:rPr>
        <w:t>Tal como está en la fuente:</w:t>
      </w:r>
      <w:r>
        <w:t xml:space="preserve"> He was so large as man and wife together. He then made this his Self to fall in two (pat), and thence arose husband (pati) and wife (patnî)</w:t>
      </w:r>
      <w:r>
        <w:t>.</w:t>
      </w:r>
    </w:p>
    <w:p>
      <w:pPr>
        <w:pStyle w:val="ListBullet"/>
      </w:pPr>
      <w:r>
        <w:rPr>
          <w:b/>
        </w:rPr>
        <w:t>El islam:</w:t>
      </w:r>
      <w:r>
        <w:t xml:space="preserve"> «¡Hombres! ¡Temed a vuestro Señor, Que os ha creado de una sola persona, de la que ha creado a su cónyuge!»</w:t>
      </w:r>
      <w:r>
        <w:t xml:space="preserve"> [original: «ٱلَّذِى خَلَقَكُم مِّن نَّفْسٍۢ وَٰحِدَةٍۢ وَخَلَقَ مِنْهَا زَوْجَهَا»]</w:t>
      </w:r>
      <w:r>
        <w:t xml:space="preserve"> (Corán 4:1, traducción de Julio Cortés)</w:t>
      </w:r>
      <w:r>
        <w:br/>
      </w:r>
      <w:r>
        <w:rPr>
          <w:b/>
        </w:rPr>
        <w:t>leída en su fuente · Corán 4:1,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w:t>
      </w:r>
    </w:p>
    <w:p>
      <w:r>
        <w:rPr>
          <w:b/>
        </w:rPr>
        <w:t>Lo que dicen después, en el mismo libro o en el mismo relato:</w:t>
      </w:r>
    </w:p>
    <w:p>
      <w:pPr>
        <w:pStyle w:val="ListBullet"/>
      </w:pPr>
      <w:r>
        <w:rPr>
          <w:b/>
        </w:rPr>
        <w:t>La Biblia:</w:t>
      </w:r>
      <w:r>
        <w:t xml:space="preserve"> «Y de la costilla que Jehová Dios tomó del hombre, hizo una mujer»</w:t>
      </w:r>
      <w:r>
        <w:t xml:space="preserve"> (Gn 2:22)</w:t>
      </w:r>
      <w:r>
        <w:br/>
      </w:r>
      <w:r>
        <w:rPr>
          <w:b/>
        </w:rPr>
        <w:t>leída en su fuente · Gn 2:22</w:t>
      </w:r>
      <w:r>
        <w:br/>
      </w:r>
      <w:r>
        <w:rPr>
          <w:b/>
        </w:rPr>
        <w:t>Archivo leído:</w:t>
      </w:r>
      <w:r>
        <w:t xml:space="preserve"> 42_Gn_2_21-22_RVA.html (flecos3\42_Gn_2_21-22_RVA.html) · contraste del archivo de pasajes: ✔</w:t>
      </w:r>
      <w:r>
        <w:br/>
      </w:r>
      <w:r>
        <w:rPr>
          <w:b/>
        </w:rPr>
        <w:t>Dirección:</w:t>
      </w:r>
      <w:r>
        <w:t xml:space="preserve"> </w:t>
      </w:r>
      <w:r>
        <w:t>https://www.biblegateway.com/passage/?search=Genesis+2%3A21-22&amp;version=RVA</w:t>
      </w:r>
      <w:r>
        <w:br/>
      </w:r>
      <w:r>
        <w:rPr>
          <w:b/>
        </w:rPr>
        <w:t>Tal como está en la fuente:</w:t>
      </w:r>
      <w:r>
        <w:t xml:space="preserve"> Y de la costilla que Jehová Dios tomó del hombre, hizo una mujer, y trájola al hombre.</w:t>
      </w:r>
      <w:r>
        <w:t>; «ésta será llamada Varona, porque del varón fué tomada»</w:t>
      </w:r>
      <w:r>
        <w:t xml:space="preserve"> (Gn 2:23)</w:t>
      </w:r>
      <w:r>
        <w:br/>
      </w:r>
      <w:r>
        <w:rPr>
          <w:b/>
        </w:rPr>
        <w:t>leída en su fuente · Gn 2:23</w:t>
      </w:r>
      <w:r>
        <w:br/>
      </w:r>
      <w:r>
        <w:rPr>
          <w:b/>
        </w:rPr>
        <w:t>Archivo leído:</w:t>
      </w:r>
      <w:r>
        <w:t xml:space="preserve"> spaRV1909_texto_corrido.txt (biblia_rv1909\spaRV1909_texto_corrido.txt) · contraste del archivo de pasajes: ✔</w:t>
      </w:r>
      <w:r>
        <w:br/>
      </w:r>
      <w:r>
        <w:rPr>
          <w:b/>
        </w:rPr>
        <w:t>Lugar:</w:t>
      </w:r>
      <w:r>
        <w:t xml:space="preserve"> Gn 2:23</w:t>
      </w:r>
      <w:r>
        <w:br/>
      </w:r>
      <w:r>
        <w:rPr>
          <w:b/>
        </w:rPr>
        <w:t>Tal como está en la fuente:</w:t>
      </w:r>
      <w:r>
        <w:t xml:space="preserve"> ésta será llamada Varona, porque del varón fué tomada</w:t>
      </w:r>
      <w:r>
        <w:t>. Y, tras la caída, a la mujer: «á tu marido será tu deseo, y él se enseñoreará de ti»</w:t>
      </w:r>
      <w:r>
        <w:t xml:space="preserve"> (Gn 3:16)</w:t>
      </w:r>
      <w:r>
        <w:br/>
      </w:r>
      <w:r>
        <w:rPr>
          <w:b/>
        </w:rPr>
        <w:t>leída en su fuente · Gn 3:16</w:t>
      </w:r>
      <w:r>
        <w:br/>
      </w:r>
      <w:r>
        <w:rPr>
          <w:b/>
        </w:rPr>
        <w:t>Archivo leído:</w:t>
      </w:r>
      <w:r>
        <w:t xml:space="preserve"> spaRV1909_texto_corrido.txt (biblia_rv1909\spaRV1909_texto_corrido.txt) · contraste del archivo de pasajes: ✔</w:t>
      </w:r>
      <w:r>
        <w:br/>
      </w:r>
      <w:r>
        <w:rPr>
          <w:b/>
        </w:rPr>
        <w:t>Lugar:</w:t>
      </w:r>
      <w:r>
        <w:t xml:space="preserve"> Gn 3:16</w:t>
      </w:r>
      <w:r>
        <w:br/>
      </w:r>
      <w:r>
        <w:rPr>
          <w:b/>
        </w:rPr>
        <w:t>Tal como está en la fuente:</w:t>
      </w:r>
      <w:r>
        <w:t xml:space="preserve"> á tu marido será tu deseo, y él se enseñoreará de ti</w:t>
      </w:r>
      <w:r>
        <w:t>: el dominio aparece como consecuencia, no como orden de la creación.</w:t>
      </w:r>
    </w:p>
    <w:p>
      <w:pPr>
        <w:pStyle w:val="ListBullet"/>
      </w:pPr>
      <w:r>
        <w:rPr>
          <w:b/>
        </w:rPr>
        <w:t>El islam:</w:t>
      </w:r>
      <w:r>
        <w:t xml:space="preserve"> en la misma sura 4: «Los hombres tienen autoridad sobre las mujeres en virtud de la preferencia que Alá ha dado a unos más que a otros»</w:t>
      </w:r>
      <w:r>
        <w:t xml:space="preserve"> [original: «ٱلرِّجَالُ قَوَّٰمُونَ عَلَى ٱلنِّسَآءِ بِمَا فَضَّلَ ٱللَّهُ بَعْضَهُمْ عَلَىٰ بَعْضٍۢ»]</w:t>
      </w:r>
      <w:r>
        <w:t xml:space="preserve"> (Corán 4:34, traducción de Julio Cortés)</w:t>
      </w:r>
      <w:r>
        <w:br/>
      </w:r>
      <w:r>
        <w:rPr>
          <w:b/>
        </w:rPr>
        <w:t>leída en su fuente · Corán 4:34,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 El verso sigue: «¡Amonestad a aquéllas de quienes temáis que se rebelen, dejadlas solas en el lecho, pegadles!».</w:t>
      </w:r>
    </w:p>
    <w:p>
      <w:r>
        <w:rPr>
          <w:b/>
        </w:rPr>
        <w:t>Y además:</w:t>
      </w:r>
    </w:p>
    <w:p>
      <w:pPr>
        <w:pStyle w:val="ListBullet"/>
      </w:pPr>
      <w:r>
        <w:rPr>
          <w:b/>
        </w:rPr>
        <w:t>El judaísmo rabínico:</w:t>
      </w:r>
      <w:r>
        <w:t xml:space="preserve"> «Cuando el Santo, bendito sea, creó a Adán, el primer hombre, lo creó andrógino»</w:t>
      </w:r>
      <w:r>
        <w:t xml:space="preserve"> [original: «When the Holy One blessed be He created Adam the first man, He created him androgynous», en la traducción de Sefaria]</w:t>
      </w:r>
      <w:r>
        <w:t xml:space="preserve"> (Génesis Rabbah 8:1)</w:t>
      </w:r>
      <w:r>
        <w:br/>
      </w:r>
      <w:r>
        <w:rPr>
          <w:b/>
        </w:rPr>
        <w:t>leída en su fuente · Génesis Rabbah 8:1</w:t>
      </w:r>
      <w:r>
        <w:br/>
      </w:r>
      <w:r>
        <w:rPr>
          <w:b/>
        </w:rPr>
        <w:t>Archivo leído:</w:t>
      </w:r>
      <w:r>
        <w:t xml:space="preserve"> Bereshit_Rabbah.8.json (cierre_mujer_varon_9oct\sefaria\Bereshit_Rabbah.8.json) · contraste del archivo de pasajes: ✔</w:t>
      </w:r>
      <w:r>
        <w:br/>
      </w:r>
      <w:r>
        <w:rPr>
          <w:b/>
        </w:rPr>
        <w:t>Lugar:</w:t>
      </w:r>
      <w:r>
        <w:t xml:space="preserve"> Génesis Rabbah 8:1</w:t>
      </w:r>
      <w:r>
        <w:br/>
      </w:r>
      <w:r>
        <w:rPr>
          <w:b/>
        </w:rPr>
        <w:t>Tal como está en la fuente:</w:t>
      </w:r>
      <w:r>
        <w:t xml:space="preserve"> When the Holy One blessed be He created Adam the first man, He created him androgynous</w:t>
      </w:r>
      <w:r>
        <w:t>. Después lo serró en dos y le hizo dos espaldas.</w:t>
      </w:r>
    </w:p>
    <w:p>
      <w:pPr>
        <w:pStyle w:val="ListBullet"/>
      </w:pPr>
      <w:r>
        <w:rPr>
          <w:b/>
        </w:rPr>
        <w:t>La India (Manu):</w:t>
      </w:r>
      <w:r>
        <w:t xml:space="preserve"> «Dividiendo su propio cuerpo, el Señor se hizo mitad varón y mitad mujer»</w:t>
      </w:r>
      <w:r>
        <w:t xml:space="preserve"> [original: «dvidhā kṛtvātmano deham ardhena puruṣo 'bhavat ardhena nārī»]</w:t>
      </w:r>
      <w:r>
        <w:t xml:space="preserve"> (Leyes de Manu 1.32)</w:t>
      </w:r>
      <w:r>
        <w:br/>
      </w:r>
      <w:r>
        <w:rPr>
          <w:b/>
        </w:rPr>
        <w:t>leída en su fuente · Leyes de Manu 1.32</w:t>
      </w:r>
      <w:r>
        <w:br/>
      </w:r>
      <w:r>
        <w:rPr>
          <w:b/>
        </w:rPr>
        <w:t>Archivo leído:</w:t>
      </w:r>
      <w:r>
        <w:t xml:space="preserve"> gretil_manu.htm (ant\india\gretil_manu.htm) · contraste del archivo de pasajes: ✔</w:t>
      </w:r>
      <w:r>
        <w:br/>
      </w:r>
      <w:r>
        <w:rPr>
          <w:b/>
        </w:rPr>
        <w:t>Lugar:</w:t>
      </w:r>
      <w:r>
        <w:t xml:space="preserve"> Leyes de Manu 1.32</w:t>
      </w:r>
      <w:r>
        <w:br/>
      </w:r>
      <w:r>
        <w:rPr>
          <w:b/>
        </w:rPr>
        <w:t>Tal como está en la fuente:</w:t>
      </w:r>
      <w:r>
        <w:t xml:space="preserve"> dvidhā kṛtvātmano deham ardhena puruṣo 'bhavat ardhena nārī</w:t>
      </w:r>
      <w:r>
        <w:t>.</w:t>
      </w:r>
    </w:p>
    <w:p>
      <w:pPr>
        <w:pStyle w:val="ListBullet"/>
      </w:pPr>
      <w:r>
        <w:rPr>
          <w:b/>
        </w:rPr>
        <w:t>Grecia:</w:t>
      </w:r>
      <w:r>
        <w:t xml:space="preserve"> en el Banquete de Platón, Aristófanes (un discurso cómico) cuenta que «los sexos no eran dos como ahora, sino originalmente tres: había el hombre, la mujer y la unión de ambos»</w:t>
      </w:r>
      <w:r>
        <w:t xml:space="preserve"> [original: «The sexes were not two as they are now, but originally three in number; there was man, woman, and the union of the two», en la traducción de Jowett]</w:t>
      </w:r>
      <w:r>
        <w:t xml:space="preserve"> (Platón, Banquete 189d-191d)</w:t>
      </w:r>
      <w:r>
        <w:br/>
      </w:r>
      <w:r>
        <w:rPr>
          <w:b/>
        </w:rPr>
        <w:t>leída en su fuente · Platón, Banquete 189d-191d</w:t>
      </w:r>
      <w:r>
        <w:br/>
      </w:r>
      <w:r>
        <w:rPr>
          <w:b/>
        </w:rPr>
        <w:t>Archivo leído:</w:t>
      </w:r>
      <w:r>
        <w:t xml:space="preserve"> pg1600.txt (cierre_mujer_varon_9oct\platon_banquete\pg1600.txt) · contraste del archivo de pasajes: ✔</w:t>
      </w:r>
      <w:r>
        <w:br/>
      </w:r>
      <w:r>
        <w:rPr>
          <w:b/>
        </w:rPr>
        <w:t>Lugar:</w:t>
      </w:r>
      <w:r>
        <w:t xml:space="preserve"> Platón, Banquete 189d-191d</w:t>
      </w:r>
      <w:r>
        <w:br/>
      </w:r>
      <w:r>
        <w:rPr>
          <w:b/>
        </w:rPr>
        <w:t>Tal como está en la fuente:</w:t>
      </w:r>
      <w:r>
        <w:t xml:space="preserve"> The sexes were not two as they are now, but originally three in number; there was man, woman, and the union of the two</w:t>
      </w:r>
      <w:r>
        <w:t>.</w:t>
      </w:r>
    </w:p>
    <w:p>
      <w:pPr>
        <w:pStyle w:val="ListBullet"/>
      </w:pPr>
      <w:r>
        <w:rPr>
          <w:b/>
        </w:rPr>
        <w:t>Pablo:</w:t>
      </w:r>
      <w:r>
        <w:t xml:space="preserve"> «el varón es la cabeza de la mujer»</w:t>
      </w:r>
      <w:r>
        <w:t xml:space="preserve"> (1 Co 11:3)</w:t>
      </w:r>
      <w:r>
        <w:br/>
      </w:r>
      <w:r>
        <w:rPr>
          <w:b/>
        </w:rPr>
        <w:t>leída en su fuente · 1 Co 11:3</w:t>
      </w:r>
      <w:r>
        <w:br/>
      </w:r>
      <w:r>
        <w:rPr>
          <w:b/>
        </w:rPr>
        <w:t>Archivo leído:</w:t>
      </w:r>
      <w:r>
        <w:t xml:space="preserve"> spaRV1909_texto_corrido.txt (biblia_rv1909\spaRV1909_texto_corrido.txt) · contraste del archivo de pasajes: ✔</w:t>
      </w:r>
      <w:r>
        <w:br/>
      </w:r>
      <w:r>
        <w:rPr>
          <w:b/>
        </w:rPr>
        <w:t>Lugar:</w:t>
      </w:r>
      <w:r>
        <w:t xml:space="preserve"> 1 Co 11:3</w:t>
      </w:r>
      <w:r>
        <w:br/>
      </w:r>
      <w:r>
        <w:rPr>
          <w:b/>
        </w:rPr>
        <w:t>Tal como está en la fuente:</w:t>
      </w:r>
      <w:r>
        <w:t xml:space="preserve"> el varón es la cabeza de la mujer</w:t>
      </w:r>
      <w:r>
        <w:t>; «el varón no es de la mujer, sino la mujer del varón»</w:t>
      </w:r>
      <w:r>
        <w:t xml:space="preserve"> (1 Co 11:8)</w:t>
      </w:r>
      <w:r>
        <w:br/>
      </w:r>
      <w:r>
        <w:rPr>
          <w:b/>
        </w:rPr>
        <w:t>leída en su fuente · 1 Co 11:8</w:t>
      </w:r>
      <w:r>
        <w:br/>
      </w:r>
      <w:r>
        <w:rPr>
          <w:b/>
        </w:rPr>
        <w:t>Archivo leído:</w:t>
      </w:r>
      <w:r>
        <w:t xml:space="preserve"> spaRV1909_texto_corrido.txt (biblia_rv1909\spaRV1909_texto_corrido.txt) · contraste del archivo de pasajes: ✔</w:t>
      </w:r>
      <w:r>
        <w:br/>
      </w:r>
      <w:r>
        <w:rPr>
          <w:b/>
        </w:rPr>
        <w:t>Lugar:</w:t>
      </w:r>
      <w:r>
        <w:t xml:space="preserve"> 1 Co 11:8</w:t>
      </w:r>
      <w:r>
        <w:br/>
      </w:r>
      <w:r>
        <w:rPr>
          <w:b/>
        </w:rPr>
        <w:t>Tal como está en la fuente:</w:t>
      </w:r>
      <w:r>
        <w:t xml:space="preserve"> el varón no es de la mujer, sino la mujer del varón</w:t>
      </w:r>
      <w:r>
        <w:t>. Y en el mismo pasaje: «ni el varón sin la mujer, ni la mujer sin el varón, en el Señor»</w:t>
      </w:r>
      <w:r>
        <w:t xml:space="preserve"> (1 Co 11:11)</w:t>
      </w:r>
      <w:r>
        <w:br/>
      </w:r>
      <w:r>
        <w:rPr>
          <w:b/>
        </w:rPr>
        <w:t>leída en su fuente · 1 Co 11:11</w:t>
      </w:r>
      <w:r>
        <w:br/>
      </w:r>
      <w:r>
        <w:rPr>
          <w:b/>
        </w:rPr>
        <w:t>Archivo leído:</w:t>
      </w:r>
      <w:r>
        <w:t xml:space="preserve"> spaRV1909_texto_corrido.txt (biblia_rv1909\spaRV1909_texto_corrido.txt) · contraste del archivo de pasajes: ✔</w:t>
      </w:r>
      <w:r>
        <w:br/>
      </w:r>
      <w:r>
        <w:rPr>
          <w:b/>
        </w:rPr>
        <w:t>Lugar:</w:t>
      </w:r>
      <w:r>
        <w:t xml:space="preserve"> 1 Co 11:11</w:t>
      </w:r>
      <w:r>
        <w:br/>
      </w:r>
      <w:r>
        <w:rPr>
          <w:b/>
        </w:rPr>
        <w:t>Tal como está en la fuente:</w:t>
      </w:r>
      <w:r>
        <w:t xml:space="preserve"> ni el varón sin la mujer, ni la mujer sin el varón, en el Señor</w:t>
      </w:r>
      <w:r>
        <w:t>.</w:t>
      </w:r>
    </w:p>
    <w:p>
      <w:pPr>
        <w:pStyle w:val="ListBullet"/>
      </w:pPr>
      <w:r>
        <w:rPr>
          <w:b/>
        </w:rPr>
        <w:t>Manu:</w:t>
      </w:r>
      <w:r>
        <w:t xml:space="preserve"> la misma obra que parte a Dios en dos mitades manda: «En la niñez estará bajo el poder del padre, en la juventud del marido; muerto el marido, de los hijos: la mujer no ha de tener independencia»</w:t>
      </w:r>
      <w:r>
        <w:t xml:space="preserve"> [original: «bālye pitur vaśe tiṣṭhet pāṇigrāhasya yauvane putrāṇāṃ bhartari prete na bhajet strī svatantratām»]</w:t>
      </w:r>
      <w:r>
        <w:t xml:space="preserve"> (Leyes de Manu 5.148)</w:t>
      </w:r>
      <w:r>
        <w:br/>
      </w:r>
      <w:r>
        <w:rPr>
          <w:b/>
        </w:rPr>
        <w:t>leída en su fuente · Leyes de Manu 5.148</w:t>
      </w:r>
      <w:r>
        <w:br/>
      </w:r>
      <w:r>
        <w:rPr>
          <w:b/>
        </w:rPr>
        <w:t>Archivo leído:</w:t>
      </w:r>
      <w:r>
        <w:t xml:space="preserve"> gretil_manu.htm (ant\india\gretil_manu.htm) · contraste del archivo de pasajes: ✔</w:t>
      </w:r>
      <w:r>
        <w:br/>
      </w:r>
      <w:r>
        <w:rPr>
          <w:b/>
        </w:rPr>
        <w:t>Lugar:</w:t>
      </w:r>
      <w:r>
        <w:t xml:space="preserve"> Leyes de Manu 5.148</w:t>
      </w:r>
      <w:r>
        <w:br/>
      </w:r>
      <w:r>
        <w:rPr>
          <w:b/>
        </w:rPr>
        <w:t>Tal como está en la fuente:</w:t>
      </w:r>
      <w:r>
        <w:t xml:space="preserve"> bālye pitur vaśe tiṣṭhet pāṇigrāhasya yauvane putrāṇāṃ bhartari prete na bhajet strī svatantratām</w:t>
      </w:r>
      <w:r>
        <w:t>.</w:t>
      </w:r>
    </w:p>
    <w:p>
      <w:pPr>
        <w:pStyle w:val="ListBullet"/>
      </w:pPr>
      <w:r>
        <w:rPr>
          <w:b/>
        </w:rPr>
        <w:t>Grecia:</w:t>
      </w:r>
      <w:r>
        <w:t xml:space="preserve"> Hesíodo cuenta que Hefesto modeló la primera mujer como castigo: «Enseguida hizo un mal para los hombres como precio del fuego»</w:t>
      </w:r>
      <w:r>
        <w:t xml:space="preserve"> [original: «Forthwith he made an evil thing for men as the price of fire», en la traducción de Evelyn-White]</w:t>
      </w:r>
      <w:r>
        <w:t xml:space="preserve"> (Hesíodo, Teogonía 570-612)</w:t>
      </w:r>
      <w:r>
        <w:br/>
      </w:r>
      <w:r>
        <w:rPr>
          <w:b/>
        </w:rPr>
        <w:t>leída en su fuente · Hesíodo, Teogonía 570-612</w:t>
      </w:r>
      <w:r>
        <w:br/>
      </w:r>
      <w:r>
        <w:rPr>
          <w:b/>
        </w:rPr>
        <w:t>Archivo leído:</w:t>
      </w:r>
      <w:r>
        <w:t xml:space="preserve"> hes.txt (ant\hes.txt) · contraste del archivo de pasajes: ✔</w:t>
      </w:r>
      <w:r>
        <w:br/>
      </w:r>
      <w:r>
        <w:rPr>
          <w:b/>
        </w:rPr>
        <w:t>Lugar:</w:t>
      </w:r>
      <w:r>
        <w:t xml:space="preserve"> Hesíodo, Teogonía 570-612</w:t>
      </w:r>
      <w:r>
        <w:br/>
      </w:r>
      <w:r>
        <w:rPr>
          <w:b/>
        </w:rPr>
        <w:t>Tal como está en la fuente:</w:t>
      </w:r>
      <w:r>
        <w:t xml:space="preserve"> Forthwith he made an evil thing for men as the price of fire</w:t>
      </w:r>
      <w:r>
        <w:t>, y que de ella viene «la raza de las mujeres»</w:t>
      </w:r>
      <w:r>
        <w:t xml:space="preserve"> [original: «For from her is the race of women and female kind»]</w:t>
      </w:r>
      <w:r>
        <w:t>.</w:t>
      </w:r>
    </w:p>
    <w:p>
      <w:pPr>
        <w:pStyle w:val="ListBullet"/>
      </w:pPr>
      <w:r>
        <w:rPr>
          <w:b/>
        </w:rPr>
        <w:t>Persia:</w:t>
      </w:r>
      <w:r>
        <w:t xml:space="preserve"> la primera pareja crece de la tierra como una sola planta, unida por los hombros y la cintura, «de modo que no estaba claro cuál era el varón y cuál la hembra»</w:t>
      </w:r>
      <w:r>
        <w:t xml:space="preserve"> [original: «it was not clear which is the male and which the female», en la traducción de West]</w:t>
      </w:r>
      <w:r>
        <w:t xml:space="preserve"> (Bundahishn 15:3)</w:t>
      </w:r>
      <w:r>
        <w:br/>
      </w:r>
      <w:r>
        <w:rPr>
          <w:b/>
        </w:rPr>
        <w:t>leída en su fuente · Bundahishn 15:3</w:t>
      </w:r>
      <w:r>
        <w:br/>
      </w:r>
      <w:r>
        <w:rPr>
          <w:b/>
        </w:rPr>
        <w:t>Archivo leído:</w:t>
      </w:r>
      <w:r>
        <w:t xml:space="preserve"> bundahis.html (cierre_mujer_varon_9oct\bundahishn_west\bundahis.html) · contraste del archivo de pasajes: ✔</w:t>
      </w:r>
      <w:r>
        <w:br/>
      </w:r>
      <w:r>
        <w:rPr>
          <w:b/>
        </w:rPr>
        <w:t>Lugar:</w:t>
      </w:r>
      <w:r>
        <w:t xml:space="preserve"> Bundahishn 15:3</w:t>
      </w:r>
      <w:r>
        <w:br/>
      </w:r>
      <w:r>
        <w:rPr>
          <w:b/>
        </w:rPr>
        <w:t>Tal como está en la fuente:</w:t>
      </w:r>
      <w:r>
        <w:t xml:space="preserve"> it was not clear which is the male and which the female</w:t>
      </w:r>
      <w:r>
        <w:t>. Pero en el relato del origen del mal, la que despierta al Espíritu maligno es una mujer demoníaca, Jeh (Bundahishn 3:4-8).</w:t>
      </w:r>
    </w:p>
    <w:p>
      <w:pPr>
        <w:pStyle w:val="ListBullet"/>
      </w:pPr>
      <w:r>
        <w:rPr>
          <w:b/>
        </w:rPr>
        <w:t>El Norte de Europa:</w:t>
      </w:r>
      <w:r>
        <w:t xml:space="preserve"> Ask y Embla, la primera pareja, se encuentran juntos, «vacíos de fuerza», y reciben los mismos cuatro dones</w:t>
      </w:r>
      <w:r>
        <w:t xml:space="preserve"> [original: «Ask and Embla, empty of might», en la traducción de Bellows]</w:t>
      </w:r>
      <w:r>
        <w:t xml:space="preserve"> (Edda, Völuspá 17-18)</w:t>
      </w:r>
      <w:r>
        <w:t>. La estrofa no dice cuál es el varón; lo añade Snorri en el siglo XIII.</w:t>
      </w:r>
    </w:p>
    <w:p>
      <w:pPr>
        <w:pStyle w:val="ListBullet"/>
      </w:pPr>
      <w:r>
        <w:rPr>
          <w:b/>
        </w:rPr>
        <w:t>Mesopotamia:</w:t>
      </w:r>
      <w:r>
        <w:t xml:space="preserve"> la diosa pellizca catorce trozos de la misma arcilla, siete a cada lado: «siete muchachos formados, siete muchachas formadas»</w:t>
      </w:r>
      <w:r>
        <w:t xml:space="preserve"> [original: «seven formed boys. [10] Seven formed girls», en la traducción de Clay (1922; con errores reconocidos; fuente secundaria)]</w:t>
      </w:r>
      <w:r>
        <w:t xml:space="preserve"> (Atrahasis, columna IV)</w:t>
      </w:r>
      <w:r>
        <w:br/>
      </w:r>
      <w:r>
        <w:rPr>
          <w:b/>
        </w:rPr>
        <w:t>pasaje guardado · Atrahasis, columna IV</w:t>
      </w:r>
      <w:r>
        <w:br/>
      </w:r>
      <w:r>
        <w:rPr>
          <w:b/>
        </w:rPr>
        <w:t>Archivo leído:</w:t>
      </w:r>
      <w:r>
        <w:t xml:space="preserve"> atrahasis_clay.html (cierre_mujer_varon_9oct\atrahasis_clay_colavito\atrahasis_clay.html) · contraste del archivo de pasajes: parcial</w:t>
      </w:r>
      <w:r>
        <w:br/>
      </w:r>
      <w:r>
        <w:rPr>
          <w:b/>
        </w:rPr>
        <w:t>Lugar:</w:t>
      </w:r>
      <w:r>
        <w:t xml:space="preserve"> Atrahasis, columna IV</w:t>
      </w:r>
      <w:r>
        <w:br/>
      </w:r>
      <w:r>
        <w:rPr>
          <w:b/>
        </w:rPr>
        <w:t>Tal como está en la fuente:</w:t>
      </w:r>
      <w:r>
        <w:t xml:space="preserve"> seven formed boys. [10] Seven formed girls</w:t>
      </w:r>
      <w:r>
        <w:t>.</w:t>
      </w:r>
    </w:p>
    <w:p>
      <w:pPr>
        <w:pStyle w:val="ListBullet"/>
      </w:pPr>
      <w:r>
        <w:rPr>
          <w:b/>
        </w:rPr>
        <w:t>Pablo:</w:t>
      </w:r>
      <w:r>
        <w:t xml:space="preserve"> «no hay varón, ni hembra: porque todos vosotros sois uno en Cristo Jesús»</w:t>
      </w:r>
      <w:r>
        <w:t xml:space="preserve"> (Gál 3:28)</w:t>
      </w:r>
      <w:r>
        <w:br/>
      </w:r>
      <w:r>
        <w:rPr>
          <w:b/>
        </w:rPr>
        <w:t>leída en su fuente · Gál 3:28</w:t>
      </w:r>
      <w:r>
        <w:br/>
      </w:r>
      <w:r>
        <w:rPr>
          <w:b/>
        </w:rPr>
        <w:t>Archivo leído:</w:t>
      </w:r>
      <w:r>
        <w:t xml:space="preserve"> spaRV1909_texto_corrido.txt (biblia_rv1909\spaRV1909_texto_corrido.txt) · contraste del archivo de pasajes: ✔</w:t>
      </w:r>
      <w:r>
        <w:br/>
      </w:r>
      <w:r>
        <w:rPr>
          <w:b/>
        </w:rPr>
        <w:t>Lugar:</w:t>
      </w:r>
      <w:r>
        <w:t xml:space="preserve"> Gál 3:28</w:t>
      </w:r>
      <w:r>
        <w:br/>
      </w:r>
      <w:r>
        <w:rPr>
          <w:b/>
        </w:rPr>
        <w:t>Tal como está en la fuente:</w:t>
      </w:r>
      <w:r>
        <w:t xml:space="preserve"> no hay varón, ni hembra: porque todos vosotros sois uno en Cristo Jesús</w:t>
      </w:r>
      <w:r>
        <w:t>.</w:t>
      </w:r>
    </w:p>
    <w:p>
      <w:pPr>
        <w:pStyle w:val="ListBullet"/>
      </w:pPr>
      <w:r>
        <w:rPr>
          <w:b/>
        </w:rPr>
        <w:t>China:</w:t>
      </w:r>
      <w:r>
        <w:t xml:space="preserve"> «El Tao produjo el Uno; el Uno produjo el Dos; el Dos produjo el Tres»</w:t>
      </w:r>
      <w:r>
        <w:t xml:space="preserve"> [original: «The Tâo produced One; One produced Two; Two produced Three», en la traducción de Legge]</w:t>
      </w:r>
      <w:r>
        <w:t xml:space="preserve"> (Daodejing 42)</w:t>
      </w:r>
      <w:r>
        <w:br/>
      </w:r>
      <w:r>
        <w:rPr>
          <w:b/>
        </w:rPr>
        <w:t>leída en su fuente · Daodejing 42</w:t>
      </w:r>
      <w:r>
        <w:br/>
      </w:r>
      <w:r>
        <w:rPr>
          <w:b/>
        </w:rPr>
        <w:t>Archivo leído:</w:t>
      </w:r>
      <w:r>
        <w:t xml:space="preserve"> laozi_legge_gutenberg_216.txt (c9h\laozi_legge_gutenberg_216.txt) · contraste del archivo de pasajes: ✔</w:t>
      </w:r>
      <w:r>
        <w:br/>
      </w:r>
      <w:r>
        <w:rPr>
          <w:b/>
        </w:rPr>
        <w:t>Lugar:</w:t>
      </w:r>
      <w:r>
        <w:t xml:space="preserve"> Daodejing 42</w:t>
      </w:r>
      <w:r>
        <w:br/>
      </w:r>
      <w:r>
        <w:rPr>
          <w:b/>
        </w:rPr>
        <w:t>Tal como está en la fuente:</w:t>
      </w:r>
      <w:r>
        <w:t xml:space="preserve"> The Tâo produced One; One produced Two; Two produced Three</w:t>
      </w:r>
      <w:r>
        <w:t>. No habla de varón ni de mujer; es la imagen del Uno que se desdobla.</w:t>
      </w:r>
    </w:p>
    <w:p>
      <w:pPr>
        <w:pStyle w:val="ListBullet"/>
      </w:pPr>
      <w:r>
        <w:rPr>
          <w:b/>
        </w:rPr>
        <w:t>Japón:</w:t>
      </w:r>
      <w:r>
        <w:t xml:space="preserve"> al encontrarse la pareja divina, la diosa habló primero; el dios protestó: «Soy un hombre y por derecho debería haber hablado primero», y repitieron el encuentro</w:t>
      </w:r>
      <w:r>
        <w:t xml:space="preserve"> [original: «I am a man, and by right should have spoken first», en la traducción de Aston]</w:t>
      </w:r>
      <w:r>
        <w:t xml:space="preserve"> (Nihongi, libro I)</w:t>
      </w:r>
      <w:r>
        <w:t>.</w:t>
      </w:r>
    </w:p>
    <w:p>
      <w:pPr>
        <w:pStyle w:val="ListBullet"/>
      </w:pPr>
      <w:r>
        <w:rPr>
          <w:b/>
        </w:rPr>
        <w:t>Los iroqueses:</w:t>
      </w:r>
      <w:r>
        <w:t xml:space="preserve"> al revés, la primera humana es la Mujer del Cielo, que precede a todo varón y da a luz una hija</w:t>
      </w:r>
      <w:r>
        <w:t xml:space="preserve"> [original: «Sky woman. Falls through hole made by uprooted sky-tree and brings a promised child with her», en la edición de Parker]</w:t>
      </w:r>
      <w:r>
        <w:t xml:space="preserve"> (Parker, Seneca Myths and Folk Tales, 1923)</w:t>
      </w:r>
      <w:r>
        <w:t>.</w:t>
      </w:r>
    </w:p>
    <w:p>
      <w:r>
        <w:rPr>
          <w:b/>
        </w:rPr>
        <w:t>Los 78 pasajes, uno por uno.</w:t>
      </w:r>
      <w:r>
        <w:t xml:space="preserve"> Aquí está cada pasaje que leyó la obra, agrupado por tradición y con su clasificación. Los 21 que ya se ven arriba, en «Lectura», «Con fuentes» y «Completo», llevan solo su ficha; los otros 57, además, el pasaje entero con su original. Cada ficha dice la tradición y la obra, la fecha aproximada con su nivel (A, si la fecha consta en un archivo leído; C, estimación académica corriente que no se ha comprobado), el lugar y una de tres etiquetas: </w:t>
      </w:r>
      <w:r>
        <w:rPr>
          <w:b/>
        </w:rPr>
        <w:t>concuerda</w:t>
      </w:r>
      <w:r>
        <w:t xml:space="preserve"> (dice un origen común o una unidad de varón y hembra), </w:t>
      </w:r>
      <w:r>
        <w:rPr>
          <w:b/>
        </w:rPr>
        <w:t>contrapunto</w:t>
      </w:r>
      <w:r>
        <w:t xml:space="preserve"> (pone a la mujer por debajo del varón, o por delante) o </w:t>
      </w:r>
      <w:r>
        <w:rPr>
          <w:b/>
        </w:rPr>
        <w:t>neutro</w:t>
      </w:r>
      <w:r>
        <w:t xml:space="preserve"> (no dice nada de eso). Las etiquetas son una lectura de la obra y no un recuento: la lista incluyó los contrapuntos a propósito. Esto no es toda la información que existe, sino la que hemos considerado más relevante; si no, el trabajo sería infinito.</w:t>
      </w:r>
    </w:p>
    <w:p>
      <w:r>
        <w:rPr>
          <w:b/>
        </w:rPr>
        <w:t>La Biblia (Génesis).</w:t>
      </w:r>
    </w:p>
    <w:p>
      <w:pPr>
        <w:pStyle w:val="ListBullet"/>
      </w:pPr>
      <w:r>
        <w:rPr>
          <w:b/>
        </w:rPr>
        <w:t>Génesis 1 (tradición sacerdotal «P»)</w:t>
      </w:r>
      <w:r>
        <w:t xml:space="preserve"> (hacia los siglos VI-V a. C.; fecha de nivel C (hipótesis documentaria, no comprobada en archivo)). Gn 1:26-28. Su pasaje se ve arriba. </w:t>
      </w:r>
      <w:r>
        <w:rPr>
          <w:b/>
        </w:rPr>
        <w:t>Concuerda.</w:t>
      </w:r>
      <w:r>
        <w:t xml:space="preserve"> «al hombre» (singular) lo crea «á su imagen» y a renglón seguido «varón y hembra los crió»: los dos llevan la imagen de Dios y reciben juntos la bendición y el dominio; no hay orden de aparición ni jerarquía.</w:t>
      </w:r>
    </w:p>
    <w:p>
      <w:pPr>
        <w:pStyle w:val="ListBullet"/>
      </w:pPr>
      <w:r>
        <w:rPr>
          <w:b/>
        </w:rPr>
        <w:t>Génesis 5:1-2 (tradición sacerdotal «P», libro de las generaciones)</w:t>
      </w:r>
      <w:r>
        <w:t xml:space="preserve"> (hacia los siglos VI-V a. C.; fecha de nivel C). Gn 5:1-2. Su pasaje se ve arriba. </w:t>
      </w:r>
      <w:r>
        <w:rPr>
          <w:b/>
        </w:rPr>
        <w:t>Concuerda.</w:t>
      </w:r>
      <w:r>
        <w:t xml:space="preserve"> «Varón y hembra los crió… y llamó el nombre de ellos Adam»: el nombre «Adam» (hombre/humanidad) designa a la pareja entera; ninguno de los dos recibe el nombre por separado.</w:t>
      </w:r>
    </w:p>
    <w:p>
      <w:pPr>
        <w:pStyle w:val="ListBullet"/>
      </w:pPr>
      <w:r>
        <w:rPr>
          <w:b/>
        </w:rPr>
        <w:t>Génesis 2 (tradición yavista «J»): el hombre solo</w:t>
      </w:r>
      <w:r>
        <w:t xml:space="preserve"> (hacia los siglos X-VI a. C.; fecha de nivel C (hipótesis documentaria; su orden respecto a P es discutido hoy)). Gn 2:7 y 2:18. «Formó, pues, Jehová Dios al hombre del polvo de la tierra, y alentó en su nariz soplo de vida; y fué el hombre en alma viviente.»</w:t>
      </w:r>
      <w:r>
        <w:t xml:space="preserve"> (Gn 2:7)</w:t>
      </w:r>
      <w:r>
        <w:br/>
      </w:r>
      <w:r>
        <w:rPr>
          <w:b/>
        </w:rPr>
        <w:t>leída en su fuente · Gn 2:7</w:t>
      </w:r>
      <w:r>
        <w:br/>
      </w:r>
      <w:r>
        <w:rPr>
          <w:b/>
        </w:rPr>
        <w:t>Archivo leído:</w:t>
      </w:r>
      <w:r>
        <w:t xml:space="preserve"> 42_Gn_2_7_RVA.html (flecos3\42_Gn_2_7_RVA.html) · contraste del archivo de pasajes: ✔</w:t>
      </w:r>
      <w:r>
        <w:br/>
      </w:r>
      <w:r>
        <w:rPr>
          <w:b/>
        </w:rPr>
        <w:t>Dirección:</w:t>
      </w:r>
      <w:r>
        <w:t xml:space="preserve"> </w:t>
      </w:r>
      <w:r>
        <w:t>https://www.biblegateway.com/passage/?search=Genesis+2%3A7&amp;version=RVA</w:t>
      </w:r>
      <w:r>
        <w:br/>
      </w:r>
      <w:r>
        <w:rPr>
          <w:b/>
        </w:rPr>
        <w:t>Tal como está en la fuente:</w:t>
      </w:r>
      <w:r>
        <w:t xml:space="preserve"> Formó, pues, Jehová Dios al hombre del polvo de la tierra, y alentó en su nariz soplo de vida; y fué el hombre en alma viviente.</w:t>
      </w:r>
      <w:r>
        <w:t xml:space="preserve"> […] «Y dijo Jehová Dios: No es bueno que el hombre esté solo; haréle ayuda idónea para él.»</w:t>
      </w:r>
      <w:r>
        <w:t xml:space="preserve"> (Gn 2:18)</w:t>
      </w:r>
      <w:r>
        <w:br/>
      </w:r>
      <w:r>
        <w:rPr>
          <w:b/>
        </w:rPr>
        <w:t>leída en su fuente · Gn 2:18</w:t>
      </w:r>
      <w:r>
        <w:br/>
      </w:r>
      <w:r>
        <w:rPr>
          <w:b/>
        </w:rPr>
        <w:t>Original donde está:</w:t>
      </w:r>
      <w:r>
        <w:t xml:space="preserve"> Genesis_RVA.txt</w:t>
      </w:r>
      <w:r>
        <w:br/>
      </w:r>
      <w:r>
        <w:t>El pasaje literal no está en el archivo de pasajes con este comienzo; la auditoría lo halló en ese original.</w:t>
      </w:r>
      <w:r>
        <w:t xml:space="preserve">. </w:t>
      </w:r>
      <w:r>
        <w:rPr>
          <w:b/>
        </w:rPr>
        <w:t>Neutro.</w:t>
      </w:r>
      <w:r>
        <w:t xml:space="preserve"> En este relato el primer ser es «el hombre» (Adam) formado solo del polvo; la mujer aún no existe. «No es bueno que el hombre esté solo» sugiere incompletud, pero «ayuda idónea» no dice si es igual o subordinada (el texto no lo aclara).</w:t>
      </w:r>
    </w:p>
    <w:p>
      <w:pPr>
        <w:pStyle w:val="ListBullet"/>
      </w:pPr>
      <w:r>
        <w:rPr>
          <w:b/>
        </w:rPr>
        <w:t>Génesis 2 (tradición yavista «J»): la mujer sale del hombre</w:t>
      </w:r>
      <w:r>
        <w:t xml:space="preserve"> (hacia los siglos X-VI a. C.; fecha de nivel C). Gn 2:21-23. Su pasaje se ve arriba. </w:t>
      </w:r>
      <w:r>
        <w:rPr>
          <w:b/>
        </w:rPr>
        <w:t>Contrapunto.</w:t>
      </w:r>
      <w:r>
        <w:t xml:space="preserve"> La mujer es posterior y derivada («de la costilla… hizo una mujer»; «del varón fué tomada»). Con un matiz que concuerda: «hueso de mis huesos, y carne de mi carne» la hace de la misma sustancia.</w:t>
      </w:r>
    </w:p>
    <w:p>
      <w:pPr>
        <w:pStyle w:val="ListBullet"/>
      </w:pPr>
      <w:r>
        <w:rPr>
          <w:b/>
        </w:rPr>
        <w:t>Génesis 2 (tradición yavista «J»): la unión</w:t>
      </w:r>
      <w:r>
        <w:t xml:space="preserve"> (hacia los siglos X-VI a. C.; fecha de nivel C). Gn 2:24. «Por tanto, dejará el hombre á su padre y á su madre, y allegarse ha á su mujer, y serán una sola carne.»</w:t>
      </w:r>
      <w:r>
        <w:t xml:space="preserve"> [original: «עַל־כֵּן֙ יַֽעֲזָב־אִ֔ישׁ אֶת־אָבִ֖יו וְאֶת־אִמּ֑וֹ וְדָבַ֣ק בְּאִשְׁתּ֔וֹ וְהָי֖וּ לְבָשָׂ֥ר אֶחָֽד׃»]</w:t>
      </w:r>
      <w:r>
        <w:t xml:space="preserve"> (Gn 2:24)</w:t>
      </w:r>
      <w:r>
        <w:br/>
      </w:r>
      <w:r>
        <w:rPr>
          <w:b/>
        </w:rPr>
        <w:t>leída en su fuente · Gn 2:24</w:t>
      </w:r>
      <w:r>
        <w:br/>
      </w:r>
      <w:r>
        <w:rPr>
          <w:b/>
        </w:rPr>
        <w:t>Original donde está:</w:t>
      </w:r>
      <w:r>
        <w:t xml:space="preserve"> Bereshit_Rabbah.18.json.txt</w:t>
      </w:r>
      <w:r>
        <w:br/>
      </w:r>
      <w:r>
        <w:t>El pasaje literal no está en el archivo de pasajes con este comienzo; la auditoría lo halló en ese original.</w:t>
      </w:r>
      <w:r>
        <w:t xml:space="preserve">. </w:t>
      </w:r>
      <w:r>
        <w:rPr>
          <w:b/>
        </w:rPr>
        <w:t>Concuerda.</w:t>
      </w:r>
      <w:r>
        <w:t xml:space="preserve"> «Serán una sola carne»: la pareja vuelve a ser una unidad (lo que fue separado se reúne).</w:t>
      </w:r>
    </w:p>
    <w:p>
      <w:pPr>
        <w:pStyle w:val="ListBullet"/>
      </w:pPr>
      <w:r>
        <w:rPr>
          <w:b/>
        </w:rPr>
        <w:t>Génesis 3 (tradición yavista «J»): sentencia a la mujer</w:t>
      </w:r>
      <w:r>
        <w:t xml:space="preserve"> (hacia los siglos X-VI a. C.; fecha de nivel C). Gn 3:16. Su pasaje se ve arriba. </w:t>
      </w:r>
      <w:r>
        <w:rPr>
          <w:b/>
        </w:rPr>
        <w:t>Contrapunto.</w:t>
      </w:r>
      <w:r>
        <w:t xml:space="preserve"> El dominio del marido sobre la mujer («él se enseñoreará de ti») se presenta como consecuencia de la caída, no como orden de la creación: no figura en Gn 1:27 ni en Gn 2:24.</w:t>
      </w:r>
    </w:p>
    <w:p>
      <w:r>
        <w:rPr>
          <w:b/>
        </w:rPr>
        <w:t>El judaísmo rabínico.</w:t>
      </w:r>
    </w:p>
    <w:p>
      <w:pPr>
        <w:pStyle w:val="ListBullet"/>
      </w:pPr>
      <w:r>
        <w:rPr>
          <w:b/>
        </w:rPr>
        <w:t>Génesis Rabbah 8:1 (midrás sobre Gn 1:26)</w:t>
      </w:r>
      <w:r>
        <w:t xml:space="preserve"> (Palestina, hacia el siglo V d. C. (redacción; dichos de rabinos de los siglos III-IV); fecha de nivel C). Gén. Rabbah 8:1. Su pasaje se ve arriba. </w:t>
      </w:r>
      <w:r>
        <w:rPr>
          <w:b/>
        </w:rPr>
        <w:t>Concuerda.</w:t>
      </w:r>
      <w:r>
        <w:t xml:space="preserve"> Adán nace andrógino, con dos rostros, y luego se parte en dos: un solo ser que se separa. Es la lectura rabínica de Gn 5:2.</w:t>
      </w:r>
    </w:p>
    <w:p>
      <w:pPr>
        <w:pStyle w:val="ListBullet"/>
      </w:pPr>
      <w:r>
        <w:rPr>
          <w:b/>
        </w:rPr>
        <w:t>Génesis Rabbah 17:2 (midrás sobre Gn 2:18)</w:t>
      </w:r>
      <w:r>
        <w:t xml:space="preserve"> (Palestina, hacia el siglo V d. C.; fecha de nivel C). Gén. Rabbah 17:2. «Rabí Hiyyá bar Gamdá dijo: ni siquiera es un hombre completo, pues está escrito: “los bendijo, y llamó el nombre de ellos Hombre, el día que fueron creados” (Gn 5:2): cuando los dos están juntos se llaman “Hombre”»</w:t>
      </w:r>
      <w:r>
        <w:t xml:space="preserve"> [original: «Rabbi Ḥiyya bar Gamda said: He is not even a complete man, as it is stated: “He blessed them, and He called their name Man, on the day they were created” (Genesis 5:2) – when both of them are together they are called “Man.”», en la traducción de Sefaria]</w:t>
      </w:r>
      <w:r>
        <w:t xml:space="preserve"> (Génesis Rabbah 17:2)</w:t>
      </w:r>
      <w:r>
        <w:br/>
      </w:r>
      <w:r>
        <w:rPr>
          <w:b/>
        </w:rPr>
        <w:t>leída en su fuente · Génesis Rabbah 17:2</w:t>
      </w:r>
      <w:r>
        <w:br/>
      </w:r>
      <w:r>
        <w:rPr>
          <w:b/>
        </w:rPr>
        <w:t>Original donde está:</w:t>
      </w:r>
      <w:r>
        <w:t xml:space="preserve"> Bereshit_Rabbah.17.json.txt</w:t>
      </w:r>
      <w:r>
        <w:br/>
      </w:r>
      <w:r>
        <w:t>El pasaje literal no está en el archivo de pasajes con este comienzo; la auditoría lo halló en ese original.</w:t>
      </w:r>
      <w:r>
        <w:t xml:space="preserve">. </w:t>
      </w:r>
      <w:r>
        <w:rPr>
          <w:b/>
        </w:rPr>
        <w:t>Concuerda.</w:t>
      </w:r>
      <w:r>
        <w:t xml:space="preserve"> Ninguno de los dos es «hombre» sin el otro: complementariedad expresa, apoyada en Gn 5:2.</w:t>
      </w:r>
    </w:p>
    <w:p>
      <w:pPr>
        <w:pStyle w:val="ListBullet"/>
      </w:pPr>
      <w:r>
        <w:rPr>
          <w:b/>
        </w:rPr>
        <w:t>Génesis Rabbah 18:2 (midrás sobre Gn 2:22)</w:t>
      </w:r>
      <w:r>
        <w:t xml:space="preserve"> (Palestina, hacia el siglo V d. C.; fecha de nivel C). Gén. Rabbah 18:2. «Meditó de dónde crearla. Dijo: No la crearé de la cabeza de Adán, para que no levante la cabeza [con soberbia]; ni del ojo, para que no sea demasiado curiosa; ni del oído, para que no sea escuchona; ni de la boca, para que no sea charlatana; ni del corazón, para que no sea envidiosa; ni de la mano, para que no lo toque todo; ni del pie, para que no ande de un lado a otro»</w:t>
      </w:r>
      <w:r>
        <w:t xml:space="preserve"> [original: «He contemplated [hitbonen] from where to create her. He said: I will not create her from [Adam’s] head, so she should not hold her head high [in arrogance]; nor from the eye, so she should not be too curious; nor from the ear, so she should not be an eavesdropper; nor from the mouth, so she should not be a chatterer; nor from the heart, so she should not be envious; nor from the hand, so she should not be one who touches everything; nor from the foot, so she should not walk off.», en la traducción de Sefaria]</w:t>
      </w:r>
      <w:r>
        <w:t xml:space="preserve"> (Génesis Rabbah 18:2)</w:t>
      </w:r>
      <w:r>
        <w:br/>
      </w:r>
      <w:r>
        <w:rPr>
          <w:b/>
        </w:rPr>
        <w:t>leída en su fuente · Génesis Rabbah 18:2</w:t>
      </w:r>
      <w:r>
        <w:br/>
      </w:r>
      <w:r>
        <w:rPr>
          <w:b/>
        </w:rPr>
        <w:t>Original donde está:</w:t>
      </w:r>
      <w:r>
        <w:t xml:space="preserve"> Bereshit_Rabbah.18.json.txt</w:t>
      </w:r>
      <w:r>
        <w:br/>
      </w:r>
      <w:r>
        <w:t>El pasaje literal no está en el archivo de pasajes con este comienzo; la auditoría lo halló en ese original.</w:t>
      </w:r>
      <w:r>
        <w:t xml:space="preserve"> […] «Y sin embargo, [lo que ocurrió fue que] “desechasteis todo mi consejo” (Pr 1:25). No la creé de la cabeza, y sin embargo levanta la cabeza, como está dicho: “andan con el cuello erguido” (Is 3:16). Ni del ojo, y sin embargo es demasiado curiosa, como está dicho: “y andaban con ojos curiosos” (Is 3:16). Ni del oído, y sin embargo es escuchona, como está dicho: “Sara escuchaba a la entrada de la tienda” (Gn 18:10). Ni del corazón, y sin embargo es envidiosa, como está dicho: “Raquel tuvo celos de su hermana” (Gn 30:1). Ni de la mano, y sin embargo lo toca todo, como está dicho: “Raquel robó los ídolos de la casa” (Gn 31:19). Ni del pie, y sin embargo anda de un lado a otro, como está dicho: “Dina salió [a ver a las hijas de la tierra]” (Gn 34:1)»</w:t>
      </w:r>
      <w:r>
        <w:t xml:space="preserve"> [original: «Nevertheless, [what happened was,] “You neglected all my counsel” (Proverbs 1:25). I did not create her from the head, yet she holds her head high, as it is stated: “They walk with outstretched necks” (Isaiah 3:16). Nor from the eye, yet she is excessively curious, as it is stated: “And they went with curious eyes” (Isaiah 3:16). Nor from the ear, yet she is an eavesdropper, as it is stated: “Sarah was listening at the entrance of the tent” (Genesis 18:10). Nor from the heart, yet she is envious, as it is stated: “Rachel was jealous of her sister” (Genesis 30:1). Nor from the hand, yet she touches everything, as it is stated: “Rachel stole the household idols” (Genesis 31:19). Nor from the foot, yet she walks off, as it is stated: “Dina went out [to see the daughters of the land]” (Genesis 34:1).», en la traducción de Sefaria]</w:t>
      </w:r>
      <w:r>
        <w:t xml:space="preserve"> (Génesis Rabbah 18:2)</w:t>
      </w:r>
      <w:r>
        <w:br/>
      </w:r>
      <w:r>
        <w:rPr>
          <w:b/>
        </w:rPr>
        <w:t>leída en su fuente · Génesis Rabbah 18:2</w:t>
      </w:r>
      <w:r>
        <w:br/>
      </w:r>
      <w:r>
        <w:rPr>
          <w:b/>
        </w:rPr>
        <w:t>Original donde está:</w:t>
      </w:r>
      <w:r>
        <w:t xml:space="preserve"> Bereshit_Rabbah.18.json.txt</w:t>
      </w:r>
      <w:r>
        <w:br/>
      </w:r>
      <w:r>
        <w:t>El pasaje literal no está en el archivo de pasajes con este comienzo; la auditoría lo halló en ese original.</w:t>
      </w:r>
      <w:r>
        <w:t xml:space="preserve">. </w:t>
      </w:r>
      <w:r>
        <w:rPr>
          <w:b/>
        </w:rPr>
        <w:t>Contrapunto.</w:t>
      </w:r>
      <w:r>
        <w:t xml:space="preserve"> Atribuye a la mujer defectos de carácter (soberbia, curiosidad, cotilleo, envidia) que ni siquiera la manera cuidadosa de crearla evita; es una capa rabínica posterior al texto bíblico.</w:t>
      </w:r>
    </w:p>
    <w:p>
      <w:pPr>
        <w:pStyle w:val="ListBullet"/>
      </w:pPr>
      <w:r>
        <w:rPr>
          <w:b/>
        </w:rPr>
        <w:t>Talmud de Babilonia, Eruvín 18a (y, casi igual, Berajot 61a)</w:t>
      </w:r>
      <w:r>
        <w:t xml:space="preserve"> (Babilonia, redacción hacia los siglos V-VI d. C.; dicho de R. Yirmeyá ben Elazar (siglo III); fecha de nivel C). Eruvín 18a; Berajot 61a. «Rabí Yirmeyá ben Elazar dijo también: Adán fue creado al principio con dos rostros, uno masculino y otro femenino. Como está dicho: “Detrás y delante me formaste, y pusiste sobre mí tu mano” (Sal 139:5)»</w:t>
      </w:r>
      <w:r>
        <w:t xml:space="preserve"> [original: «Rabbi Yirmeya ben Elazar also said: Adam was first created with two [deyo] faces, one male and the other female. As it is stated: “You have formed me behind and before, and laid Your hand upon me” (Psalms 139:5).», en la traducción de Sefaria]</w:t>
      </w:r>
      <w:r>
        <w:t xml:space="preserve"> (Talmud de Babilonia, Eruvín 18a)</w:t>
      </w:r>
      <w:r>
        <w:br/>
      </w:r>
      <w:r>
        <w:rPr>
          <w:b/>
        </w:rPr>
        <w:t>leída en su fuente · Talmud de Babilonia, Eruvín 18a</w:t>
      </w:r>
      <w:r>
        <w:br/>
      </w:r>
      <w:r>
        <w:rPr>
          <w:b/>
        </w:rPr>
        <w:t>Original donde está:</w:t>
      </w:r>
      <w:r>
        <w:t xml:space="preserve"> Eruvin.18a.json.txt</w:t>
      </w:r>
      <w:r>
        <w:br/>
      </w:r>
      <w:r>
        <w:t>El pasaje literal no está en el archivo de pasajes con este comienzo; la auditoría lo halló en ese original.</w:t>
      </w:r>
      <w:r>
        <w:t xml:space="preserve"> […] «Rabí Yirmeyá ben Elazar dijo: el Santo, bendito sea, creó dos rostros [du partzufin] en Adán, el primer hombre; fue creado varón y hembra en un solo cuerpo, como está dicho: “Detrás y delante me formaste” (Sal 139:5)»</w:t>
      </w:r>
      <w:r>
        <w:t xml:space="preserve"> [original: «Rabbi Yirmeya ben Elazar said: The Holy One, Blessed be He, created two faces [du partzufin] on Adam the first man; he was created both male and female in a single body, as it is stated: “You have formed me [tzartani] behind and before” (Psalms 139:5)», en la traducción de Sefaria]</w:t>
      </w:r>
      <w:r>
        <w:t xml:space="preserve"> (Talmud de Babilonia, Berajot 61a)</w:t>
      </w:r>
      <w:r>
        <w:br/>
      </w:r>
      <w:r>
        <w:rPr>
          <w:b/>
        </w:rPr>
        <w:t>leída en su fuente · Talmud de Babilonia, Berajot 61a</w:t>
      </w:r>
      <w:r>
        <w:br/>
      </w:r>
      <w:r>
        <w:rPr>
          <w:b/>
        </w:rPr>
        <w:t>Original donde está:</w:t>
      </w:r>
      <w:r>
        <w:t xml:space="preserve"> Berakhot.61a.json.txt</w:t>
      </w:r>
      <w:r>
        <w:br/>
      </w:r>
      <w:r>
        <w:t>El pasaje literal no está en el archivo de pasajes con este comienzo; la auditoría lo halló en ese original.</w:t>
      </w:r>
      <w:r>
        <w:t xml:space="preserve">. </w:t>
      </w:r>
      <w:r>
        <w:rPr>
          <w:b/>
        </w:rPr>
        <w:t>Concuerda.</w:t>
      </w:r>
      <w:r>
        <w:t xml:space="preserve"> Segunda fuente talmúdica de la misma idea: Adán con dos rostros (varón y hembra) en un solo cuerpo; Rav y Shmuel discuten si Eva salió de ese rostro o de una «cola», pero ambos parten de Adán dual.</w:t>
      </w:r>
    </w:p>
    <w:p>
      <w:r>
        <w:rPr>
          <w:b/>
        </w:rPr>
        <w:t>El judaísmo helenístico (Filón).</w:t>
      </w:r>
    </w:p>
    <w:p>
      <w:pPr>
        <w:pStyle w:val="ListBullet"/>
      </w:pPr>
      <w:r>
        <w:rPr>
          <w:b/>
        </w:rPr>
        <w:t>Sobre la creación del mundo (De opificio mundi), trad. C. D. Yonge</w:t>
      </w:r>
      <w:r>
        <w:t xml:space="preserve"> (Alejandría, hacia 20 a. C.-50 d. C.; fecha de nivel C). De opif. 134. «(134) Después dice Moisés que “Dios hizo al hombre, tomando barro de la tierra, y sopló en su rostro aliento de vida”. Con esta expresión muestra con toda claridad que hay una gran diferencia entre el hombre ahora engendrado y el primer hombre, hecho conforme a la imagen de Dios. Pues el hombre ahora formado es perceptible por los sentidos, participa de cualidades, consta de cuerpo y alma, varón o mujer, mortal por naturaleza. Pero el hombre hecho conforme a la imagen de Dios era una idea, o un género, o un sello, perceptible solo por el intelecto, incorpóreo, ni varón ni mujer, imperecedero por naturaleza»</w:t>
      </w:r>
      <w:r>
        <w:t xml:space="preserve"> [original: «XLVI. (134) After this, Moses says that "God made man, having taken clay from the earth, and he breathed into his face the breath of life." And by this expression he shows most clearly that there is a vast difference between man as generated now, and the first man who was made according to the image of God. For man as formed now is perceptible to the external senses, partaking of qualities, consisting of body and soul, man or woman, by nature mortal. But man, made according to the image of God, was an idea, or a genus, or a seal, perceptible only by the intellect, incorporeal, neither male nor female, imperishable by nature.», en la traducción de Yonge]</w:t>
      </w:r>
      <w:r>
        <w:t xml:space="preserve"> (Filón, De opificio mundi 134)</w:t>
      </w:r>
      <w:r>
        <w:br/>
      </w:r>
      <w:r>
        <w:rPr>
          <w:b/>
        </w:rPr>
        <w:t>leída en su fuente · Filón, De opificio mundi 134</w:t>
      </w:r>
      <w:r>
        <w:br/>
      </w:r>
      <w:r>
        <w:rPr>
          <w:b/>
        </w:rPr>
        <w:t>Original donde está:</w:t>
      </w:r>
      <w:r>
        <w:t xml:space="preserve"> yonge_book1.html.txt</w:t>
      </w:r>
      <w:r>
        <w:br/>
      </w:r>
      <w:r>
        <w:t>El pasaje literal no está en el archivo de pasajes con este comienzo; la auditoría lo halló en ese original.</w:t>
      </w:r>
      <w:r>
        <w:t xml:space="preserve">. </w:t>
      </w:r>
      <w:r>
        <w:rPr>
          <w:b/>
        </w:rPr>
        <w:t>Concuerda.</w:t>
      </w:r>
      <w:r>
        <w:t xml:space="preserve"> El «hombre a imagen de Dios» (Gn 1:27) es, para Filón, «ni varón ni mujer»: sin sexo, anterior a la división. El sexo pertenece al hombre «formado» después. (Hay que leerlo con el pasaje siguiente.)</w:t>
      </w:r>
    </w:p>
    <w:p>
      <w:pPr>
        <w:pStyle w:val="ListBullet"/>
      </w:pPr>
      <w:r>
        <w:rPr>
          <w:b/>
        </w:rPr>
        <w:t>Sobre la creación del mundo (De opificio mundi), trad. C. D. Yonge</w:t>
      </w:r>
      <w:r>
        <w:t xml:space="preserve"> (Alejandría, hacia 20 a. C.-50 d. C.; fecha de nivel C). De opif. 151-152. «(151) Pero como nada en la creación dura para siempre, sino que todas las cosas mortales están sujetas a cambios y alteraciones inevitables, era inevitable que el primer hombre sufriese también algún desastre. Y el comienzo de su vida, expuesto a reproche, fue su mujer. Pues mientras estuvo solo, se parecía en su creación al mundo y a Dios, y representaba en su alma los rasgos de la naturaleza de cada uno, no todos, sino los que una constitución mortal podía admitir. Pero cuando fue creada también la mujer, el hombre, percibiendo una figura estrechamente unida a la suya y una formación afín, se alegró al verla, se acercó a ella y la abrazó. (152) Y ella, igualmente, al contemplar una criatura muy semejante a ella, se alegró también y le respondió con el debido recato. Y engendrado el amor, que, por así decir, unía dos porciones separadas de un mismo animal en un solo cuerpo,»</w:t>
      </w:r>
      <w:r>
        <w:t xml:space="preserve"> [original: «LIII. (151) But since nothing in creation lasts for ever, but all mortal things are liable to inevitable changes and alterations, it was unavoidable that the first man should also undergo some disaster. And the beginning of his life being liable to reproach, was his wife. For, as long as he was single, he resembled, as to his creation, both the world and God; and he represented in his soul the characteristics of the nature of each, I do not mean all of them, but such as a mortal constitution was capable of admitting. But when woman also was created, man perceiving a closely connected figure and a kindred formation to his own, rejoiced at the sight, and approached her and embraced her. (152) And she, in like manner, beholding a creature greatly resembling herself, rejoiced also, and addressed him in reply with due modesty. And love being engendered, and, as it were, uniting two separate portions of one animal into one body,», en la traducción de Yonge]</w:t>
      </w:r>
      <w:r>
        <w:t xml:space="preserve"> (Filón, De opificio mundi 151-152)</w:t>
      </w:r>
      <w:r>
        <w:br/>
      </w:r>
      <w:r>
        <w:rPr>
          <w:b/>
        </w:rPr>
        <w:t>leída en su fuente · Filón, De opificio mundi 151-152</w:t>
      </w:r>
      <w:r>
        <w:br/>
      </w:r>
      <w:r>
        <w:rPr>
          <w:b/>
        </w:rPr>
        <w:t>Original donde está:</w:t>
      </w:r>
      <w:r>
        <w:t xml:space="preserve"> yonge_book1.html.txt</w:t>
      </w:r>
      <w:r>
        <w:br/>
      </w:r>
      <w:r>
        <w:t>El pasaje literal no está en el archivo de pasajes con este comienzo; la auditoría lo halló en ese original.</w:t>
      </w:r>
      <w:r>
        <w:t xml:space="preserve"> […] «Y este deseo causó también placer a sus cuerpos, que es el comienzo de las iniquidades y transgresiones, y por él los hombres cambiaron su existencia antes inmortal y feliz por una mortal y llena de desgracias»</w:t>
      </w:r>
      <w:r>
        <w:t xml:space="preserve"> [original: «And this desire caused likewise pleasure to their bodies, which is the beginning of iniquities and transgressions, and it is owing to this that men have exchanged their previously immortal and happy existence for one which is mortal and full of misfortune.», en la traducción de Yonge]</w:t>
      </w:r>
      <w:r>
        <w:t xml:space="preserve"> (Filón, De opificio mundi 151-152)</w:t>
      </w:r>
      <w:r>
        <w:br/>
      </w:r>
      <w:r>
        <w:rPr>
          <w:b/>
        </w:rPr>
        <w:t>leída en su fuente · Filón, De opificio mundi 151-152</w:t>
      </w:r>
      <w:r>
        <w:br/>
      </w:r>
      <w:r>
        <w:rPr>
          <w:b/>
        </w:rPr>
        <w:t>Original donde está:</w:t>
      </w:r>
      <w:r>
        <w:t xml:space="preserve"> yonge_book1.html.txt</w:t>
      </w:r>
      <w:r>
        <w:br/>
      </w:r>
      <w:r>
        <w:t>El pasaje literal no está en el archivo de pasajes con este comienzo; la auditoría lo halló en ese original.</w:t>
      </w:r>
      <w:r>
        <w:t xml:space="preserve">. </w:t>
      </w:r>
      <w:r>
        <w:rPr>
          <w:b/>
        </w:rPr>
        <w:t>Contrapunto.</w:t>
      </w:r>
      <w:r>
        <w:t xml:space="preserve"> La mujer es «el comienzo» de la caída («su vida expuesto a reproche… su mujer») y el placer es origen del mal. Con un matiz que concuerda: el amor las «unía como dos porciones de un mismo animal».</w:t>
      </w:r>
    </w:p>
    <w:p>
      <w:r>
        <w:rPr>
          <w:b/>
        </w:rPr>
        <w:t>El judaísmo del Segundo Templo.</w:t>
      </w:r>
    </w:p>
    <w:p>
      <w:pPr>
        <w:pStyle w:val="ListBullet"/>
      </w:pPr>
      <w:r>
        <w:rPr>
          <w:b/>
        </w:rPr>
        <w:t>Libro de los Jubileos (Charles, 1902)</w:t>
      </w:r>
      <w:r>
        <w:t xml:space="preserve"> (Palestina, siglo II a. C.; fecha de nivel A según la introducción del archivo). Jubileos 3:8-9. «[…] para el varón siete días y para la hembra el doble de siete. 9. Y cuando Adán hubo cumplido cuarenta días en la tierra donde había sido creado, lo introdujimos en el jardín del Edén para que lo labrase y guardase, pero a su mujer la introdujeron el día ochenta»</w:t>
      </w:r>
      <w:r>
        <w:t xml:space="preserve"> [original: «for a male seven days, and for a female twice seven days. 9. And after Adam had completed forty days in the land where he had been created, we brought him into the garden of Eden to till and keep it, but his wife they brought in on the eightieth day», en la traducción de Charles]</w:t>
      </w:r>
      <w:r>
        <w:t xml:space="preserve"> (Jubileos 3:8-9)</w:t>
      </w:r>
      <w:r>
        <w:br/>
      </w:r>
      <w:r>
        <w:rPr>
          <w:b/>
        </w:rPr>
        <w:t>leída en su fuente · Jubileos 3:8-9</w:t>
      </w:r>
      <w:r>
        <w:br/>
      </w:r>
      <w:r>
        <w:rPr>
          <w:b/>
        </w:rPr>
        <w:t>Original donde está:</w:t>
      </w:r>
      <w:r>
        <w:t xml:space="preserve"> jubileos_charles_1902.txt</w:t>
      </w:r>
      <w:r>
        <w:br/>
      </w:r>
      <w:r>
        <w:t>El pasaje literal no está en el archivo de pasajes con este comienzo; la auditoría lo halló en ese original.</w:t>
      </w:r>
      <w:r>
        <w:t>. Prueba de la fecha, en el propio archivo: «nuestro libro fue escrito entre 135 [a. C.] y el año de la ruptura de Hircano con los fariseos»</w:t>
      </w:r>
      <w:r>
        <w:t xml:space="preserve"> [original: «our book was written between 135 and the year of Hyrcanus’ breach with the Pharisees»]</w:t>
      </w:r>
      <w:r>
        <w:t xml:space="preserve">. </w:t>
      </w:r>
      <w:r>
        <w:rPr>
          <w:b/>
        </w:rPr>
        <w:t>Contrapunto.</w:t>
      </w:r>
      <w:r>
        <w:t xml:space="preserve"> La mujer entra en el jardín el doble de tarde que el varón, y de ahí sale la doble impureza de la parturienta (Lv 12): una capa tardía que fija la desigualdad ritual en el relato de la creación. (texto escaneado con las notas de Charles intercaladas; la frase citada va seguida.)</w:t>
      </w:r>
    </w:p>
    <w:p>
      <w:pPr>
        <w:pStyle w:val="ListBullet"/>
      </w:pPr>
      <w:r>
        <w:rPr>
          <w:b/>
        </w:rPr>
        <w:t>Sirácida (Eclesiástico) 25:33 de la Vulgata = 25:24 del griego, trad. Douay-Rheims</w:t>
      </w:r>
      <w:r>
        <w:t xml:space="preserve"> (Jerusalén, hacia 180 a. C. (original hebreo); traducción griega hacia 130 a. C.; fecha de nivel C). Sir 25:33 (Vulgata). «33 De la mujer vino el comienzo del pecado, y por ella morimos todos»</w:t>
      </w:r>
      <w:r>
        <w:t xml:space="preserve"> [original: «33 From the woman came the beginning of sin, and by her we all die.», en la traducción Douay-Rheims]</w:t>
      </w:r>
      <w:r>
        <w:t xml:space="preserve"> (Sirácida 25:33 (Vulgata))</w:t>
      </w:r>
      <w:r>
        <w:br/>
      </w:r>
      <w:r>
        <w:rPr>
          <w:b/>
        </w:rPr>
        <w:t>leída en su fuente · Sirácida 25:33 (Vulgata)</w:t>
      </w:r>
      <w:r>
        <w:br/>
      </w:r>
      <w:r>
        <w:rPr>
          <w:b/>
        </w:rPr>
        <w:t>Archivo leído:</w:t>
      </w:r>
      <w:r>
        <w:t xml:space="preserve"> Sir25_DRA.html (cierre_mujer_varon_9oct\biblia_siracida\Sir25_DRA.html) · contraste del archivo de pasajes: ✔</w:t>
      </w:r>
      <w:r>
        <w:br/>
      </w:r>
      <w:r>
        <w:rPr>
          <w:b/>
        </w:rPr>
        <w:t>Lugar:</w:t>
      </w:r>
      <w:r>
        <w:t xml:space="preserve"> Sirácida 25:33 (Vulgata)</w:t>
      </w:r>
      <w:r>
        <w:br/>
      </w:r>
      <w:r>
        <w:rPr>
          <w:b/>
        </w:rPr>
        <w:t>Tal como está en la fuente:</w:t>
      </w:r>
      <w:r>
        <w:t xml:space="preserve"> 33 From the woman came the beginning of sin, and by her we all die.</w:t>
      </w:r>
      <w:r>
        <w:t xml:space="preserve">. </w:t>
      </w:r>
      <w:r>
        <w:rPr>
          <w:b/>
        </w:rPr>
        <w:t>Contrapunto.</w:t>
      </w:r>
      <w:r>
        <w:t xml:space="preserve"> Atribuye a la mujer el origen del pecado y de la muerte; es la lectura que más pesa en la tradición posterior (cf. 1 Ti 2:14 y Tertuliano).</w:t>
      </w:r>
    </w:p>
    <w:p>
      <w:r>
        <w:rPr>
          <w:b/>
        </w:rPr>
        <w:t>El Nuevo Testamento.</w:t>
      </w:r>
    </w:p>
    <w:p>
      <w:pPr>
        <w:pStyle w:val="ListBullet"/>
      </w:pPr>
      <w:r>
        <w:rPr>
          <w:b/>
        </w:rPr>
        <w:t>Evangelio de Mateo 19</w:t>
      </w:r>
      <w:r>
        <w:t xml:space="preserve"> (hacia 80-90 d. C.; fecha de nivel C). Mt 19:4-6. «Y él respondiendo, les dijo: ¿No habéis leído que el que [los] hizo al principio, macho y hembra los hizo, Y dijo: Por tanto, el hombre dejará padre y madre, y se unirá á su mujer, y serán dos en una carne? Así que, no son ya más dos, sino una carne: por tanto, lo que Dios juntó, no [lo] aparte el hombre.»</w:t>
      </w:r>
      <w:r>
        <w:t xml:space="preserve"> (Mt 19:4-6)</w:t>
      </w:r>
      <w:r>
        <w:br/>
      </w:r>
      <w:r>
        <w:rPr>
          <w:b/>
        </w:rPr>
        <w:t>leída en su fuente · Mt 19:4-6</w:t>
      </w:r>
      <w:r>
        <w:br/>
      </w:r>
      <w:r>
        <w:rPr>
          <w:b/>
        </w:rPr>
        <w:t>Original donde está:</w:t>
      </w:r>
      <w:r>
        <w:t xml:space="preserve"> spaRV1909_texto_corrido.txt</w:t>
      </w:r>
      <w:r>
        <w:br/>
      </w:r>
      <w:r>
        <w:t>El pasaje literal no está en el archivo de pasajes con este comienzo; la auditoría lo halló en ese original.</w:t>
      </w:r>
      <w:r>
        <w:t xml:space="preserve">. </w:t>
      </w:r>
      <w:r>
        <w:rPr>
          <w:b/>
        </w:rPr>
        <w:t>Concuerda.</w:t>
      </w:r>
      <w:r>
        <w:t xml:space="preserve"> Jesús vuelve a «al principio»: «macho y hembra los hizo» y «serán dos en una carne»; apela a Gn 1:27 y 2:24 contra la lectura jerárquica del repudio.</w:t>
      </w:r>
    </w:p>
    <w:p>
      <w:pPr>
        <w:pStyle w:val="ListBullet"/>
      </w:pPr>
      <w:r>
        <w:rPr>
          <w:b/>
        </w:rPr>
        <w:t>Carta a los Gálatas 3</w:t>
      </w:r>
      <w:r>
        <w:t xml:space="preserve"> (hacia 50 d. C.; fecha de nivel C). Gál 3:27-28. Su pasaje se ve arriba. </w:t>
      </w:r>
      <w:r>
        <w:rPr>
          <w:b/>
        </w:rPr>
        <w:t>Concuerda.</w:t>
      </w:r>
      <w:r>
        <w:t xml:space="preserve"> «No hay varón, ni hembra… todos vosotros sois uno»: (con la misma pareja de palabras de Gn 1:27, «varón y hembra») declara abolida la división de los sexos en Cristo.</w:t>
      </w:r>
    </w:p>
    <w:p>
      <w:pPr>
        <w:pStyle w:val="ListBullet"/>
      </w:pPr>
      <w:r>
        <w:rPr>
          <w:b/>
        </w:rPr>
        <w:t>1.ª Carta a los Corintios 11 (jerarquía)</w:t>
      </w:r>
      <w:r>
        <w:t xml:space="preserve"> (hacia 54-55 d. C.; fecha de nivel C). 1 Co 11:3, 7-9. Su pasaje se ve arriba. </w:t>
      </w:r>
      <w:r>
        <w:rPr>
          <w:b/>
        </w:rPr>
        <w:t>Contrapunto.</w:t>
      </w:r>
      <w:r>
        <w:t xml:space="preserve"> Orden de cabezas (Dios-Cristo-varón-mujer) y la mujer «gloria del varón»; «el varón no es de la mujer, sino la mujer del varón»: lee Gn 2 con la mujer derivada y creada «por causa del varón».</w:t>
      </w:r>
    </w:p>
    <w:p>
      <w:pPr>
        <w:pStyle w:val="ListBullet"/>
      </w:pPr>
      <w:r>
        <w:rPr>
          <w:b/>
        </w:rPr>
        <w:t>1.ª Carta a los Corintios 11 (reciprocidad)</w:t>
      </w:r>
      <w:r>
        <w:t xml:space="preserve"> (hacia 54-55 d. C.; fecha de nivel C). 1 Co 11:11-12. Su pasaje se ve arriba. </w:t>
      </w:r>
      <w:r>
        <w:rPr>
          <w:b/>
        </w:rPr>
        <w:t>Concuerda.</w:t>
      </w:r>
      <w:r>
        <w:t xml:space="preserve"> Corrige lo anterior en el mismo pasaje: «ni el varón sin la mujer, ni la mujer sin el varón, en el Señor»; «como la mujer es del varón, así también el varón es por la mujer». Reciprocidad expresa.</w:t>
      </w:r>
    </w:p>
    <w:p>
      <w:pPr>
        <w:pStyle w:val="ListBullet"/>
      </w:pPr>
      <w:r>
        <w:rPr>
          <w:b/>
        </w:rPr>
        <w:t>1.ª Carta a Timoteo 2 (carta pastoral)</w:t>
      </w:r>
      <w:r>
        <w:t xml:space="preserve"> (finales del siglo I o principios del II d. C. (atribución paulina discutida); fecha de nivel C). 1 Ti 2:11-14. «La mujer aprenda en silencio, con toda sujeción. Porque no permito á la mujer enseñar, ni tomar autoridad sobre el hombre, sino estar en silencio. Porque Adam fué formado el primero, después Eva; Y Adam no fué engañado, sino la mujer, siendo seducida, vino á ser [envuelta] en transgresión:»</w:t>
      </w:r>
      <w:r>
        <w:t xml:space="preserve"> (1 Tim 2:11-14)</w:t>
      </w:r>
      <w:r>
        <w:br/>
      </w:r>
      <w:r>
        <w:rPr>
          <w:b/>
        </w:rPr>
        <w:t>leída en su fuente · 1 Tim 2:11-14</w:t>
      </w:r>
      <w:r>
        <w:br/>
      </w:r>
      <w:r>
        <w:rPr>
          <w:b/>
        </w:rPr>
        <w:t>Original donde está:</w:t>
      </w:r>
      <w:r>
        <w:t xml:space="preserve"> spaRV1909_texto_corrido.txt</w:t>
      </w:r>
      <w:r>
        <w:br/>
      </w:r>
      <w:r>
        <w:t>El pasaje literal no está en el archivo de pasajes con este comienzo; la auditoría lo halló en ese original.</w:t>
      </w:r>
      <w:r>
        <w:t xml:space="preserve">. </w:t>
      </w:r>
      <w:r>
        <w:rPr>
          <w:b/>
        </w:rPr>
        <w:t>Contrapunto.</w:t>
      </w:r>
      <w:r>
        <w:t xml:space="preserve"> Funda el silencio y la sujeción de la mujer en el orden de creación («Adam fué formado el primero, después Eva») y en la caída («la mujer, siendo seducida»).</w:t>
      </w:r>
    </w:p>
    <w:p>
      <w:pPr>
        <w:pStyle w:val="ListBullet"/>
      </w:pPr>
      <w:r>
        <w:rPr>
          <w:b/>
        </w:rPr>
        <w:t>Carta a los Efesios 5</w:t>
      </w:r>
      <w:r>
        <w:t xml:space="preserve"> (hacia 60-90 d. C. (atribución paulina discutida); fecha de nivel C). Ef 5:22-25, 28. «Las casadas estén sujetas á sus propios maridos, como al Señor. Porque el marido es cabeza de la mujer, así como Cristo es cabeza de la iglesia; y él es el que da la salud al cuerpo. Así que, como la iglesia está sujeta á Cristo, así también las casadas [lo estén] á sus maridos en todo. Maridos, amad á vuestras mujeres, así como Cristo amó á la iglesia, y se entregó á sí mismo por ella,»</w:t>
      </w:r>
      <w:r>
        <w:t xml:space="preserve"> (Ef 5:22-25)</w:t>
      </w:r>
      <w:r>
        <w:br/>
      </w:r>
      <w:r>
        <w:rPr>
          <w:b/>
        </w:rPr>
        <w:t>leída en su fuente · Ef 5:22-25</w:t>
      </w:r>
      <w:r>
        <w:br/>
      </w:r>
      <w:r>
        <w:rPr>
          <w:b/>
        </w:rPr>
        <w:t>Original donde está:</w:t>
      </w:r>
      <w:r>
        <w:t xml:space="preserve"> spaRV1909_texto_corrido.txt</w:t>
      </w:r>
      <w:r>
        <w:br/>
      </w:r>
      <w:r>
        <w:t>El pasaje literal no está en el archivo de pasajes con este comienzo; la auditoría lo halló en ese original.</w:t>
      </w:r>
      <w:r>
        <w:t xml:space="preserve"> […] «Así también los maridos deben amar á sus mujeres como á sus mismos cuerpos. El que ama á su mujer, á sí mismo se ama.»</w:t>
      </w:r>
      <w:r>
        <w:t xml:space="preserve"> (Ef 5:28)</w:t>
      </w:r>
      <w:r>
        <w:br/>
      </w:r>
      <w:r>
        <w:rPr>
          <w:b/>
        </w:rPr>
        <w:t>leída en su fuente · Ef 5:28</w:t>
      </w:r>
      <w:r>
        <w:br/>
      </w:r>
      <w:r>
        <w:rPr>
          <w:b/>
        </w:rPr>
        <w:t>Original donde está:</w:t>
      </w:r>
      <w:r>
        <w:t xml:space="preserve"> extracto_NT_y_Gn_RV1909.txt</w:t>
      </w:r>
      <w:r>
        <w:br/>
      </w:r>
      <w:r>
        <w:t>El pasaje literal no está en el archivo de pasajes con este comienzo; la auditoría lo halló en ese original.</w:t>
      </w:r>
      <w:r>
        <w:t xml:space="preserve">. </w:t>
      </w:r>
      <w:r>
        <w:rPr>
          <w:b/>
        </w:rPr>
        <w:t>Contrapunto.</w:t>
      </w:r>
      <w:r>
        <w:t xml:space="preserve"> «El marido es cabeza de la mujer» y las casadas «sujetas… en todo»; con atenuantes del propio texto: el v. 21 («sujetados los unos á los otros») y el amor del marido «como á sus mismos cuerpos».</w:t>
      </w:r>
    </w:p>
    <w:p>
      <w:r>
        <w:rPr>
          <w:b/>
        </w:rPr>
        <w:t>La gnosis cristiana.</w:t>
      </w:r>
    </w:p>
    <w:p>
      <w:pPr>
        <w:pStyle w:val="ListBullet"/>
      </w:pPr>
      <w:r>
        <w:rPr>
          <w:b/>
        </w:rPr>
        <w:t>Evangelio de Tomás (logion 22, trad. Lambdin; Nag Hammadi II,2)</w:t>
      </w:r>
      <w:r>
        <w:t xml:space="preserve"> (texto copto del siglo IV d. C.; original griego hacia 100-140 d. C.; fecha de nivel C). Tomás, logion 22. «Jesús vio a unos niños de pecho. Dijo a sus discípulos: “Estos niños de pecho son como los que entran en el Reino”. Le dijeron: “¿Entraremos entonces en el Reino siendo niños?”. Jesús les dijo: “Cuando hagáis de los dos uno, y hagáis lo de dentro como lo de fuera y lo de fuera como lo de dentro, y lo de arriba como lo de abajo, y cuando hagáis del varón y de la mujer una sola y misma cosa, de modo que el varón no sea varón ni la mujer mujer; y cuando pongáis ojos en lugar de un ojo, y una mano en lugar de una mano, y un pie en lugar de un pie, y una imagen en lugar de una imagen; entonces entraréis en el Reino”»</w:t>
      </w:r>
      <w:r>
        <w:t xml:space="preserve"> [original: «Jesus saw infants being suckled. He said to his disciples, "These infants being suckled are like those who enter the kingdom." They said to him, "Shall we then, as children, enter the kingdom?" Jesus said to them, "When you make the two one, and when you make the inside like the outside and the outside like the inside, and the above like the below, and when you make the male and the female one and the same, so that the male not be male nor the female female; and when you fashion eyes in the place of an eye, and a hand in place of a hand, and a foot in place of a foot, and a likeness in place of a likeness; then will you enter the kingdom."», en la traducción de Lambdin]</w:t>
      </w:r>
      <w:r>
        <w:t xml:space="preserve"> (Evangelio de Tomás, logion 22)</w:t>
      </w:r>
      <w:r>
        <w:br/>
      </w:r>
      <w:r>
        <w:rPr>
          <w:b/>
        </w:rPr>
        <w:t>leída en su fuente · Evangelio de Tomás, logion 22</w:t>
      </w:r>
      <w:r>
        <w:br/>
      </w:r>
      <w:r>
        <w:rPr>
          <w:b/>
        </w:rPr>
        <w:t>Original donde está:</w:t>
      </w:r>
      <w:r>
        <w:t xml:space="preserve"> evangelio_tomas_lambdin_gnosis.html.txt</w:t>
      </w:r>
      <w:r>
        <w:br/>
      </w:r>
      <w:r>
        <w:t>El pasaje literal no está en el archivo de pasajes con este comienzo; la auditoría lo halló en ese original.</w:t>
      </w:r>
      <w:r>
        <w:t xml:space="preserve">. </w:t>
      </w:r>
      <w:r>
        <w:rPr>
          <w:b/>
        </w:rPr>
        <w:t>Concuerda.</w:t>
      </w:r>
      <w:r>
        <w:t xml:space="preserve"> La salvación consiste en «hacer del varón y de la mujer una sola cosa»: recuperar la unidad previa a la división de los sexos.</w:t>
      </w:r>
    </w:p>
    <w:p>
      <w:pPr>
        <w:pStyle w:val="ListBullet"/>
      </w:pPr>
      <w:r>
        <w:rPr>
          <w:b/>
        </w:rPr>
        <w:t>Evangelio de Felipe (trad. Barnstone y Meyer; Nag Hammadi II,3)</w:t>
      </w:r>
      <w:r>
        <w:t xml:space="preserve"> (texto copto del siglo IV d. C.; original griego, siglo III d. C.; fecha de nivel C). Felipe, «Eva en Adán». «EVA EN ADÁN. Cuando Eva estaba en Adán no había muerte. Cuando fue separada de él, vino la muerte. Si él entra en lo que era y la toma plenamente en sí, la muerte desaparecerá»</w:t>
      </w:r>
      <w:r>
        <w:t xml:space="preserve"> [original: «EVE IN ADAM When Eve was in Adam there was no death. When she was cut from him, death came into being. If he enters what he was and takes her in him fully, death will disappear.», en la traducción de Barnstone y Meyer]</w:t>
      </w:r>
      <w:r>
        <w:t xml:space="preserve"> (Evangelio de Felipe)</w:t>
      </w:r>
      <w:r>
        <w:br/>
      </w:r>
      <w:r>
        <w:rPr>
          <w:b/>
        </w:rPr>
        <w:t>leída en su fuente · Evangelio de Felipe</w:t>
      </w:r>
      <w:r>
        <w:br/>
      </w:r>
      <w:r>
        <w:rPr>
          <w:b/>
        </w:rPr>
        <w:t>Archivo leído:</w:t>
      </w:r>
      <w:r>
        <w:t xml:space="preserve"> evangelio_felipe_gnosis.html (cierre_mujer_varon_9oct\gnosticos\evangelio_felipe_gnosis.html) · contraste del archivo de pasajes: ✔</w:t>
      </w:r>
      <w:r>
        <w:br/>
      </w:r>
      <w:r>
        <w:rPr>
          <w:b/>
        </w:rPr>
        <w:t>Lugar:</w:t>
      </w:r>
      <w:r>
        <w:t xml:space="preserve"> Evangelio de Felipe</w:t>
      </w:r>
      <w:r>
        <w:br/>
      </w:r>
      <w:r>
        <w:rPr>
          <w:b/>
        </w:rPr>
        <w:t>Tal como está en la fuente:</w:t>
      </w:r>
      <w:r>
        <w:t xml:space="preserve"> EVE IN ADAM When Eve was in Adam there was no death. When she was cut from him, death came into being. If he enters what he was and takes her in him fully, death will disappear.</w:t>
      </w:r>
      <w:r>
        <w:t xml:space="preserve"> […] «Cristo vino a reparar la escisión, que existía desde el principio, y a unir a los dos y dar vida a los que habían muerto por la separación. Ahora la mujer y el varón son uno en la cámara nupcial, y los así unidos no volverán a separarse»</w:t>
      </w:r>
      <w:r>
        <w:t xml:space="preserve"> [original: «Christ came to repair the split, there from the beginning, and join the two and give them life who had died because of separation. Now the woman and man are one in the chamber with the bed, and those so joined will not come apart again.», en la traducción de Barnstone y Meyer]</w:t>
      </w:r>
      <w:r>
        <w:t xml:space="preserve"> (Evangelio de Felipe)</w:t>
      </w:r>
      <w:r>
        <w:br/>
      </w:r>
      <w:r>
        <w:rPr>
          <w:b/>
        </w:rPr>
        <w:t>leída en su fuente · Evangelio de Felipe</w:t>
      </w:r>
      <w:r>
        <w:br/>
      </w:r>
      <w:r>
        <w:rPr>
          <w:b/>
        </w:rPr>
        <w:t>Original donde está:</w:t>
      </w:r>
      <w:r>
        <w:t xml:space="preserve"> evangelio_felipe_gnosis.html.txt</w:t>
      </w:r>
      <w:r>
        <w:br/>
      </w:r>
      <w:r>
        <w:t>El pasaje literal no está en el archivo de pasajes con este comienzo; la auditoría lo halló en ese original.</w:t>
      </w:r>
      <w:r>
        <w:t xml:space="preserve">. </w:t>
      </w:r>
      <w:r>
        <w:rPr>
          <w:b/>
        </w:rPr>
        <w:t>Concuerda.</w:t>
      </w:r>
      <w:r>
        <w:t xml:space="preserve"> La división de Adán y Eva es la causa de la muerte, y la salvación es volver a unirlos: es el relato del «uno que se parte» con su remedio.</w:t>
      </w:r>
    </w:p>
    <w:p>
      <w:pPr>
        <w:pStyle w:val="ListBullet"/>
      </w:pPr>
      <w:r>
        <w:rPr>
          <w:b/>
        </w:rPr>
        <w:t>Hipóstasis de los arcontes (La realidad de los gobernantes; Nag Hammadi II,4)</w:t>
      </w:r>
      <w:r>
        <w:t xml:space="preserve"> (texto copto del siglo IV d. C.; original griego, siglo III d. C.; fecha de nivel C). Hipóstasis, «Adán y Eva». «Abrieron su costado, que era como una mujer viva. Y le construyeron el costado con carne en lugar de ella, y Adán quedó solo con alma. La mujer del espíritu vino a él y le habló: “Levántate, Adán”. Y cuando la vio dijo: “Eres tú quien me ha dado vida. Te llamarás ‘madre de los vivientes’. Pues ella es mi madre. Ella es la médica, y la mujer, y ha dado a luz”»</w:t>
      </w:r>
      <w:r>
        <w:t xml:space="preserve"> [original: «They opened his side, which was like a living woman. And they built up his side with some flesh in place of her, and Adam came to be only with soul. The woman of spirit came to him and spoke with him, saying, “Rise, Adam.” And when he saw her, he said, “It is you who have given me life. You will be called ‘mother of the living.’ For she is my mother. She is the physician, and the woman, and she has given birth.”»]</w:t>
      </w:r>
      <w:r>
        <w:t xml:space="preserve"> (Hipóstasis de los arcontes (Nag Hammadi II,4))</w:t>
      </w:r>
      <w:r>
        <w:br/>
      </w:r>
      <w:r>
        <w:rPr>
          <w:b/>
        </w:rPr>
        <w:t>leída en su fuente · Hipóstasis de los arcontes (Nag Hammadi II,4)</w:t>
      </w:r>
      <w:r>
        <w:br/>
      </w:r>
      <w:r>
        <w:rPr>
          <w:b/>
        </w:rPr>
        <w:t>Original donde está:</w:t>
      </w:r>
      <w:r>
        <w:t xml:space="preserve"> hipostasis_arcontes_gnosis.html.txt</w:t>
      </w:r>
      <w:r>
        <w:br/>
      </w:r>
      <w:r>
        <w:t>El pasaje literal no está en el archivo de pasajes con este comienzo; la auditoría lo halló en ese original.</w:t>
      </w:r>
      <w:r>
        <w:t xml:space="preserve">. </w:t>
      </w:r>
      <w:r>
        <w:rPr>
          <w:b/>
        </w:rPr>
        <w:t>Contrapunto.</w:t>
      </w:r>
      <w:r>
        <w:t xml:space="preserve"> Contrapunto de signo inverso: la mujer espiritual precede al varón, le da la vida y lo despierta («Eres tú quien me ha dado vida»); sin ella Adán es solo alma. Pone a la mujer por delante, no al lado.</w:t>
      </w:r>
    </w:p>
    <w:p>
      <w:pPr>
        <w:pStyle w:val="ListBullet"/>
      </w:pPr>
      <w:r>
        <w:rPr>
          <w:b/>
        </w:rPr>
        <w:t>Sobre el origen del mundo (Nag Hammadi II,5; trad. Bethge y Layton)</w:t>
      </w:r>
      <w:r>
        <w:t xml:space="preserve"> (texto copto del siglo IV d. C.; original, siglo III d. C.; fecha de nivel C). Origen del mundo, «el instructor». «Sofía dejó caer una gota de luz, que fluyó sobre el agua y al instante apareció un ser humano, andrógino. Aquella gota la moldeó primero como un cuerpo femenino. Después, usando ese cuerpo, la moldeó a semejanza de la madre, que había aparecido. Y lo terminó en doce meses. Se produjo un ser humano andrógino, al que los griegos llaman Hermafrodito; y cuya madre los hebreos llaman Eva de la Vida (Zoe), es decir, la instructora femenina de la vida»</w:t>
      </w:r>
      <w:r>
        <w:t xml:space="preserve"> [original: «Sophia let fall a droplet of light, it flowed onto the water, and immediately a human being appeared, being androgynous. That droplet she molded first as a female body. Afterwards, using the body she molded it in the likeness of the mother, which had appeared. And he finished it in twelve months. An androgynous human being was produced, whom the Greeks call Hermaphrodites; and whose mother the Hebrews call Eve of Life (Zoe), namely, the female instructor of life.», en la traducción de Bethge y Layton]</w:t>
      </w:r>
      <w:r>
        <w:t xml:space="preserve"> (Sobre el origen del mundo (Nag Hammadi II,5))</w:t>
      </w:r>
      <w:r>
        <w:br/>
      </w:r>
      <w:r>
        <w:rPr>
          <w:b/>
        </w:rPr>
        <w:t>leída en su fuente · Sobre el origen del mundo (Nag Hammadi II,5)</w:t>
      </w:r>
      <w:r>
        <w:br/>
      </w:r>
      <w:r>
        <w:rPr>
          <w:b/>
        </w:rPr>
        <w:t>Original donde está:</w:t>
      </w:r>
      <w:r>
        <w:t xml:space="preserve"> origen_del_mundo_gnosis.html.txt</w:t>
      </w:r>
      <w:r>
        <w:br/>
      </w:r>
      <w:r>
        <w:t>El pasaje literal no está en el archivo de pasajes con este comienzo; la auditoría lo halló en ese original.</w:t>
      </w:r>
      <w:r>
        <w:t xml:space="preserve">. </w:t>
      </w:r>
      <w:r>
        <w:rPr>
          <w:b/>
        </w:rPr>
        <w:t>Concuerda.</w:t>
      </w:r>
      <w:r>
        <w:t xml:space="preserve"> El primer ser humano es andrógino («Hermafrodito») y su figura es «Eva de la Vida», la instructora; lo femenino no es secundario sino principio de vida y de enseñanza.</w:t>
      </w:r>
    </w:p>
    <w:p>
      <w:pPr>
        <w:pStyle w:val="ListBullet"/>
      </w:pPr>
      <w:r>
        <w:rPr>
          <w:b/>
        </w:rPr>
        <w:t>Apócrifo (Libro secreto) de Juan, NHC II,1 (trad. F. Wisse; Nag Hammadi Library)</w:t>
      </w:r>
      <w:r>
        <w:t xml:space="preserve"> (texto copto del siglo IV d. C.; original griego anterior al 185 d. C. (fecha de nivel A, con la prueba del archivo que se cita)). Apócrifo de Juan, la Epínoia y la mujer. «Entonces la Epínoia de la luz se ocultó en él (Adán). Y el arconte principal quiso sacarla de su costilla. Pero la Epínoia de la luz no puede ser atrapada. Aunque la oscuridad la persiguió, no la alcanzó. Y sacó de sí una parte de su poder. E hizo otra criatura, con forma de mujer, según el parecido de la Epínoia que se le había aparecido. Y puso la parte que había tomado del poder del hombre en la criatura femenina, y no como dijo Moisés, “su costilla”. Y él (Adán) vio a la mujer a su lado. Y en ese momento apareció la Epínoia luminosa y levantó el velo que había sobre su mente. Y se despejó de la embriaguez de la oscuridad. Y reconoció su contraimagen, y dijo: “Esta es de verdad hueso de mis huesos y carne de mi carne”»</w:t>
      </w:r>
      <w:r>
        <w:t xml:space="preserve"> [original: «Then the Epinoia of the light hid herself in him (Adam). And the chief archon wanted to bring her out of his rib. But the Epinoia of the light cannot be grasped. Although darkness pursued her, it did not catch her. And he brought a part of his power out of him. And he made another creature, in the form of a woman, according to the likeness of the Epinoia which had appeared to him. And he brought the part which he had taken from the power of the man into the female creature, and not as Moses said, 'his rib-bone.' "And he (Adam) saw the woman beside him. And in that moment the luminous Epinoia appeared, and she lifted the veil which lay over his mind. And he became sober from the drunkenness of darkness. And he recognized his counter-image, and he said, 'This is indeed bone of my bones and flesh of my flesh.'», en la traducción de Wisse]</w:t>
      </w:r>
      <w:r>
        <w:t xml:space="preserve"> (Apócrifo de Juan (Nag Hammadi II,1))</w:t>
      </w:r>
      <w:r>
        <w:br/>
      </w:r>
      <w:r>
        <w:rPr>
          <w:b/>
        </w:rPr>
        <w:t>leída en su fuente · Apócrifo de Juan (Nag Hammadi II,1)</w:t>
      </w:r>
      <w:r>
        <w:br/>
      </w:r>
      <w:r>
        <w:rPr>
          <w:b/>
        </w:rPr>
        <w:t>Original donde está:</w:t>
      </w:r>
      <w:r>
        <w:t xml:space="preserve"> apocrifo_juan_wisse_gnosis.html.txt</w:t>
      </w:r>
      <w:r>
        <w:br/>
      </w:r>
      <w:r>
        <w:t>El pasaje literal no está en el archivo de pasajes con este comienzo; la auditoría lo halló en ese original.</w:t>
      </w:r>
      <w:r>
        <w:t>. Prueba de la fecha, en el propio archivo: «es seguro que las principales enseñanzas del tratado existían antes del año 185 d. C.»</w:t>
      </w:r>
      <w:r>
        <w:t xml:space="preserve"> [original: «it is certain that the main teachings of the tractate existed before 185 C.E.»]</w:t>
      </w:r>
      <w:r>
        <w:t xml:space="preserve"> (la fecha de la obra de Ireneo). </w:t>
      </w:r>
      <w:r>
        <w:rPr>
          <w:b/>
        </w:rPr>
        <w:t>Concuerda.</w:t>
      </w:r>
      <w:r>
        <w:t xml:space="preserve"> La mujer se hace «de una parte del poder del hombre» (misma sustancia) y no de una costilla («no como dijo Moisés»); es la «contraimagen» de Adán y la Epínoia luminosa que lo despierta. Corrige expresamente a Gn 2 en sentido de igualdad de sustancia (aunque la creadora de la mujer es el arconte, no la divinidad suprema).</w:t>
      </w:r>
    </w:p>
    <w:p>
      <w:r>
        <w:rPr>
          <w:b/>
        </w:rPr>
        <w:t>Los Padres de la Iglesia.</w:t>
      </w:r>
    </w:p>
    <w:p>
      <w:pPr>
        <w:pStyle w:val="ListBullet"/>
      </w:pPr>
      <w:r>
        <w:rPr>
          <w:b/>
        </w:rPr>
        <w:t>Ireneo de Lyon, Contra las herejías III, 22, 4 (trad. Roberts y Rambaut)</w:t>
      </w:r>
      <w:r>
        <w:t xml:space="preserve"> (Lyon, hacia 180 d. C.; fecha de nivel C). Ireneo, Adv. haer. III, 22, 4. «Pero Eva fue desobediente; pues no obedeció cuando aún era virgen»</w:t>
      </w:r>
      <w:r>
        <w:t xml:space="preserve"> [original: «But Eve was disobedient; for she did not obey when as yet she was a virgin», en la traducción de Roberts y Rambaut]</w:t>
      </w:r>
      <w:r>
        <w:t xml:space="preserve"> (Ireneo, Contra las herejías III, 22, 4)</w:t>
      </w:r>
      <w:r>
        <w:br/>
      </w:r>
      <w:r>
        <w:rPr>
          <w:b/>
        </w:rPr>
        <w:t>leída en su fuente · Ireneo, Contra las herejías III, 22, 4</w:t>
      </w:r>
      <w:r>
        <w:br/>
      </w:r>
      <w:r>
        <w:rPr>
          <w:b/>
        </w:rPr>
        <w:t>Archivo leído:</w:t>
      </w:r>
      <w:r>
        <w:t xml:space="preserve"> irineo_0103322.htm (cierre_mujer_varon_9oct\irineo\irineo_0103322.htm) · contraste del archivo de pasajes: ✔</w:t>
      </w:r>
      <w:r>
        <w:br/>
      </w:r>
      <w:r>
        <w:rPr>
          <w:b/>
        </w:rPr>
        <w:t>Lugar:</w:t>
      </w:r>
      <w:r>
        <w:t xml:space="preserve"> Ireneo, Contra las herejías III, 22, 4</w:t>
      </w:r>
      <w:r>
        <w:br/>
      </w:r>
      <w:r>
        <w:rPr>
          <w:b/>
        </w:rPr>
        <w:t>Tal como está en la fuente:</w:t>
      </w:r>
      <w:r>
        <w:t xml:space="preserve"> But Eve was disobedient; for she did not obey when as yet she was a virgin</w:t>
      </w:r>
      <w:r>
        <w:t xml:space="preserve"> […] «habiéndose hecho desobediente, fue hecha causa de muerte, tanto para sí misma como para todo el género humano»</w:t>
      </w:r>
      <w:r>
        <w:t xml:space="preserve"> [original: «having become disobedient, was made the cause of death, both to herself and to the entire human race», en la traducción de Roberts y Rambaut]</w:t>
      </w:r>
      <w:r>
        <w:t xml:space="preserve"> (Ireneo, Contra las herejías III, 22, 4)</w:t>
      </w:r>
      <w:r>
        <w:br/>
      </w:r>
      <w:r>
        <w:rPr>
          <w:b/>
        </w:rPr>
        <w:t>leída en su fuente · Ireneo, Contra las herejías III, 22, 4</w:t>
      </w:r>
      <w:r>
        <w:br/>
      </w:r>
      <w:r>
        <w:rPr>
          <w:b/>
        </w:rPr>
        <w:t>Archivo leído:</w:t>
      </w:r>
      <w:r>
        <w:t xml:space="preserve"> irineo_0103322.htm (cierre_mujer_varon_9oct\irineo\irineo_0103322.htm) · contraste del archivo de pasajes: ✔</w:t>
      </w:r>
      <w:r>
        <w:br/>
      </w:r>
      <w:r>
        <w:rPr>
          <w:b/>
        </w:rPr>
        <w:t>Lugar:</w:t>
      </w:r>
      <w:r>
        <w:t xml:space="preserve"> Ireneo, Contra las herejías III, 22, 4</w:t>
      </w:r>
      <w:r>
        <w:br/>
      </w:r>
      <w:r>
        <w:rPr>
          <w:b/>
        </w:rPr>
        <w:t>Tal como está en la fuente:</w:t>
      </w:r>
      <w:r>
        <w:t xml:space="preserve"> having become disobedient, was made the cause of death, both to herself and to the entire human race</w:t>
      </w:r>
      <w:r>
        <w:t xml:space="preserve">. </w:t>
      </w:r>
      <w:r>
        <w:rPr>
          <w:b/>
        </w:rPr>
        <w:t>Contrapunto.</w:t>
      </w:r>
      <w:r>
        <w:t xml:space="preserve"> Eva es «causa de muerte… para todo el género humano», frente a María, «causa de salvación»: la mujer como causa de la caída (con el contrapeso de María).</w:t>
      </w:r>
    </w:p>
    <w:p>
      <w:pPr>
        <w:pStyle w:val="ListBullet"/>
      </w:pPr>
      <w:r>
        <w:rPr>
          <w:b/>
        </w:rPr>
        <w:t>Tertuliano, De cultu feminarum I, 1 (trad. ANF)</w:t>
      </w:r>
      <w:r>
        <w:t xml:space="preserve"> (Cartago, hacia 200 d. C.; fecha de nivel C). Tertuliano, De cultu fem. I, 1. «¿Y no sabéis que cada una de vosotras es una Eva? La sentencia de Dios sobre este vuestro sexo sigue vigente en esta edad: la culpa debe seguir vigente también. Vosotras sois la puerta del diablo; vosotras, las que abristeis el sello de aquel árbol (prohibido); vosotras, las primeras desertoras de la ley divina; vosotras, las que persuadisteis a aquel a quien el diablo no se atrevió a atacar. Destruisteis con tanta facilidad la imagen de Dios, el hombre. Por vuestro merecimiento, es decir, la muerte, tuvo que morir hasta el Hijo de Dios»</w:t>
      </w:r>
      <w:r>
        <w:t xml:space="preserve"> [original: «And do you not know that you are (each) an Eve? The sentence of God on this sex of yours lives in this age: the guilt must of necessity live too. You are the devil's gateway: you are the unsealer of that (forbidden) tree: you are the first deserter of the divine law : you are she who persuaded him whom the devil was not valiant enough to attack. You destroyed so easily God's image, man. On account of your desert — that is, death — even the Son of God had to die.», en la traducción de la serie Ante-Nicene Fathers]</w:t>
      </w:r>
      <w:r>
        <w:t xml:space="preserve"> (Tertuliano, De cultu feminarum (Sobre el adorno de las mujeres) I, 1)</w:t>
      </w:r>
      <w:r>
        <w:br/>
      </w:r>
      <w:r>
        <w:rPr>
          <w:b/>
        </w:rPr>
        <w:t>leída en su fuente · Tertuliano, De cultu feminarum (Sobre el adorno de las mujeres) I, 1</w:t>
      </w:r>
      <w:r>
        <w:br/>
      </w:r>
      <w:r>
        <w:rPr>
          <w:b/>
        </w:rPr>
        <w:t>Original donde está:</w:t>
      </w:r>
      <w:r>
        <w:t xml:space="preserve"> tert_cultu_en.html.txt</w:t>
      </w:r>
      <w:r>
        <w:br/>
      </w:r>
      <w:r>
        <w:t>El pasaje literal no está en el archivo de pasajes con este comienzo; la auditoría lo halló en ese original.</w:t>
      </w:r>
      <w:r>
        <w:t xml:space="preserve">. </w:t>
      </w:r>
      <w:r>
        <w:rPr>
          <w:b/>
        </w:rPr>
        <w:t>Contrapunto.</w:t>
      </w:r>
      <w:r>
        <w:t xml:space="preserve"> La mujer es culpable colectiva («cada una de vosotras es una Eva»), «puerta del diablo» y causa de la muerte de Cristo; uno de los pasajes más duros del conjunto.</w:t>
      </w:r>
    </w:p>
    <w:p>
      <w:r>
        <w:rPr>
          <w:b/>
        </w:rPr>
        <w:t>La escolástica.</w:t>
      </w:r>
    </w:p>
    <w:p>
      <w:pPr>
        <w:pStyle w:val="ListBullet"/>
      </w:pPr>
      <w:r>
        <w:rPr>
          <w:b/>
        </w:rPr>
        <w:t>Tomás de Aquino, Suma teológica I, q. 92, a. 1 (texto latino de la edición Leonina)</w:t>
      </w:r>
      <w:r>
        <w:t xml:space="preserve"> (París, hacia 1266-1268; fecha de nivel C). STh I, q. 92, a. 1, arg. 1 y ad 1. «Parece que la mujer no debió ser producida en la primera producción de las cosas. Dice, en efecto, el Filósofo, en el libro De la generación de los animales, que la hembra es un macho fallido [mas occasionatus]. Pero nada fallido y deficiente debió estar en la primera institución de las cosas. Luego en aquella primera institución no debía producirse a la mujer»</w:t>
      </w:r>
      <w:r>
        <w:t xml:space="preserve"> [original: «Videtur quod mulier non debuit produci in prima rerum productione. Dicit enim philosophus, in libro de Generat. Animal., quod femina est mas occasionatus . Sed nihil occasionatum et deficiens debuit esse in prima rerum institutione. Ergo in illa prima rerum institutione mulier producenda non fuit.»]</w:t>
      </w:r>
      <w:r>
        <w:t xml:space="preserve"> (Tomás de Aquino, Suma teológica I, q. 92, a. 1)</w:t>
      </w:r>
      <w:r>
        <w:br/>
      </w:r>
      <w:r>
        <w:rPr>
          <w:b/>
        </w:rPr>
        <w:t>leída en su fuente · Tomás de Aquino, Suma teológica I, q. 92, a. 1</w:t>
      </w:r>
      <w:r>
        <w:br/>
      </w:r>
      <w:r>
        <w:rPr>
          <w:b/>
        </w:rPr>
        <w:t>Original donde está:</w:t>
      </w:r>
      <w:r>
        <w:t xml:space="preserve"> sth1090_prima_pars_q90_a_q102_latin.html.txt</w:t>
      </w:r>
      <w:r>
        <w:br/>
      </w:r>
      <w:r>
        <w:t>El pasaje literal no está en el archivo de pasajes con este comienzo; la auditoría lo halló en ese original.</w:t>
      </w:r>
      <w:r>
        <w:t xml:space="preserve"> (es la objeción, no la respuesta) […] «A lo primero hay que decir que, con respecto a la naturaleza particular, la hembra es algo deficiente y fallido; pues la virtud activa que hay en la semilla del macho tiende a producir algo semejante a sí, perfecto, según el sexo masculino; pero que se engendre una hembra se debe a la debilidad de la virtud activa, o a alguna indisposición de la materia, o a alguna alteración desde fuera, por ejemplo, los vientos del sur, que son húmedos»</w:t>
      </w:r>
      <w:r>
        <w:t xml:space="preserve"> [original: «Ad primum ergo dicendum quod per respectum ad naturam particularem, femina est aliquid deficiens et occasionatum. Quia virtus activa quae est in semine maris, intendit producere sibi simile perfectum, secundum masculinum sexum, sed quod femina generetur, hoc est propter virtutis activae debilitatem, vel propter aliquam materiae indispositionem, vel etiam propter aliquam transmutationem ab extrinseco, puta a ventis Australibus, qui sunt humidi,»]</w:t>
      </w:r>
      <w:r>
        <w:t xml:space="preserve"> (Tomás de Aquino, Suma teológica I, q. 92, a. 1)</w:t>
      </w:r>
      <w:r>
        <w:br/>
      </w:r>
      <w:r>
        <w:rPr>
          <w:b/>
        </w:rPr>
        <w:t>leída en su fuente · Tomás de Aquino, Suma teológica I, q. 92, a. 1</w:t>
      </w:r>
      <w:r>
        <w:br/>
      </w:r>
      <w:r>
        <w:rPr>
          <w:b/>
        </w:rPr>
        <w:t>Original donde está:</w:t>
      </w:r>
      <w:r>
        <w:t xml:space="preserve"> sth1090_prima_pars_q90_a_q102_latin.html.txt</w:t>
      </w:r>
      <w:r>
        <w:br/>
      </w:r>
      <w:r>
        <w:t>El pasaje literal no está en el archivo de pasajes con este comienzo; la auditoría lo halló en ese original.</w:t>
      </w:r>
      <w:r>
        <w:t xml:space="preserve"> […] «Pero por comparación con la naturaleza universal, la hembra no es algo fallido, sino que está ordenada por intención de la naturaleza a la obra de la generación. Ahora bien, la intención de la naturaleza universal depende de Dios, que es el autor universal de la naturaleza. Y por eso, al instituir la naturaleza, produjo no solo al macho, sino también a la hembra»</w:t>
      </w:r>
      <w:r>
        <w:t xml:space="preserve"> [original: «Sed per comparationem ad naturam universalem, femina non est aliquid occasionatum, sed est de intentione naturae ad opus generationis ordinata. Intentio autem naturae universalis dependet ex Deo, qui est universalis auctor naturae. Et ideo instituendo naturam, non solum marem, sed etiam feminam produxit.»]</w:t>
      </w:r>
      <w:r>
        <w:t xml:space="preserve"> (Tomás de Aquino, Suma teológica I, q. 92, a. 1)</w:t>
      </w:r>
      <w:r>
        <w:br/>
      </w:r>
      <w:r>
        <w:rPr>
          <w:b/>
        </w:rPr>
        <w:t>leída en su fuente · Tomás de Aquino, Suma teológica I, q. 92, a. 1</w:t>
      </w:r>
      <w:r>
        <w:br/>
      </w:r>
      <w:r>
        <w:rPr>
          <w:b/>
        </w:rPr>
        <w:t>Original donde está:</w:t>
      </w:r>
      <w:r>
        <w:t xml:space="preserve"> sth1090_prima_pars_q90_a_q102_latin.html.txt</w:t>
      </w:r>
      <w:r>
        <w:br/>
      </w:r>
      <w:r>
        <w:t>El pasaje literal no está en el archivo de pasajes con este comienzo; la auditoría lo halló en ese original.</w:t>
      </w:r>
      <w:r>
        <w:t xml:space="preserve"> […] «Y por eso, justo después de formar a la mujer, se dice en Gn 2: serán dos en una carne»</w:t>
      </w:r>
      <w:r>
        <w:t xml:space="preserve"> [original: «Et ideo statim post formationem mulieris, dicitur Gen. II, erunt duo in carne una»]</w:t>
      </w:r>
      <w:r>
        <w:t xml:space="preserve"> (Tomás de Aquino, Suma teológica I, q. 92, a. 1)</w:t>
      </w:r>
      <w:r>
        <w:br/>
      </w:r>
      <w:r>
        <w:rPr>
          <w:b/>
        </w:rPr>
        <w:t>leída en su fuente · Tomás de Aquino, Suma teológica I, q. 92, a. 1</w:t>
      </w:r>
      <w:r>
        <w:br/>
      </w:r>
      <w:r>
        <w:rPr>
          <w:b/>
        </w:rPr>
        <w:t>Archivo leído:</w:t>
      </w:r>
      <w:r>
        <w:t xml:space="preserve"> sth1090_prima_pars_q90_a_q102_latin.html (cierre_mujer_varon_9oct\aquino_suma\sth1090_prima_pars_q90_a_q102_latin.html) · contraste del archivo de pasajes: ✔</w:t>
      </w:r>
      <w:r>
        <w:br/>
      </w:r>
      <w:r>
        <w:rPr>
          <w:b/>
        </w:rPr>
        <w:t>Lugar:</w:t>
      </w:r>
      <w:r>
        <w:t xml:space="preserve"> Tomás de Aquino, Suma teológica I, q. 92, a. 1</w:t>
      </w:r>
      <w:r>
        <w:br/>
      </w:r>
      <w:r>
        <w:rPr>
          <w:b/>
        </w:rPr>
        <w:t>Tal como está en la fuente:</w:t>
      </w:r>
      <w:r>
        <w:t xml:space="preserve"> Et ideo statim post formationem mulieris, dicitur Gen. II, erunt duo in carne una</w:t>
      </w:r>
      <w:r>
        <w:t xml:space="preserve">. </w:t>
      </w:r>
      <w:r>
        <w:rPr>
          <w:b/>
        </w:rPr>
        <w:t>Contrapunto.</w:t>
      </w:r>
      <w:r>
        <w:t xml:space="preserve"> Recibe de Aristóteles la hembra como «fallida» (y la matiza: solo «con respecto a la naturaleza particular»; respecto a la naturaleza universal, la mujer es «obra de la naturaleza» y producida por intención de Dios). Es la forma en que la teología escolástica recoge a Aristóteles.</w:t>
      </w:r>
    </w:p>
    <w:p>
      <w:r>
        <w:rPr>
          <w:b/>
        </w:rPr>
        <w:t>El islam.</w:t>
      </w:r>
    </w:p>
    <w:p>
      <w:pPr>
        <w:pStyle w:val="ListBullet"/>
      </w:pPr>
      <w:r>
        <w:rPr>
          <w:b/>
        </w:rPr>
        <w:t>Corán, sura 4</w:t>
      </w:r>
      <w:r>
        <w:t xml:space="preserve"> (revelado 610-632 d. C.; texto fijado hacia 650 d. C. según la tradición islámica; fecha de nivel C). Corán 4:1. Su pasaje se ve arriba. </w:t>
      </w:r>
      <w:r>
        <w:rPr>
          <w:b/>
        </w:rPr>
        <w:t>Concuerda.</w:t>
      </w:r>
      <w:r>
        <w:t xml:space="preserve"> Los hombres y las mujeres vienen «de una sola persona, de la que ha creado a su cónyuge»: un solo origen (nafs wāḥida) del que sale la pareja, sin orden ni rango. El árabe usa «nafs» (femenino gramatical) para ese ser único.</w:t>
      </w:r>
    </w:p>
    <w:p>
      <w:pPr>
        <w:pStyle w:val="ListBullet"/>
      </w:pPr>
      <w:r>
        <w:rPr>
          <w:b/>
        </w:rPr>
        <w:t>Corán, sura 7</w:t>
      </w:r>
      <w:r>
        <w:t xml:space="preserve"> (revelado 610-632 d. C.; texto fijado hacia 650 d. C. según la tradición islámica; fecha de nivel C). Corán 7:189. «Él es Quien os ha creado de una sola persona, de la que ha sacado a su cónyuge para que encuentre quietud en ella. Cuando yació con ella, ésta llevó una carga ligera, con la que iba de acá para allá; pero cuando se sintió pesada, invocaron ambos a Alá, su Señor. “Si nos das un hijo bueno, seremos, ciertamente, de los agradecidos.”»</w:t>
      </w:r>
      <w:r>
        <w:t xml:space="preserve"> [original: «۞ هُوَ ٱلَّذِى خَلَقَكُم مِّن نَّفْسٍۢ وَٰحِدَةٍۢ وَجَعَلَ مِنْهَا زَوْجَهَا لِيَسْكُنَ إِلَيْهَا ۖ فَلَمَّا تَغَشَّىٰهَا حَمَلَتْ حَمْلًا خَفِيفًۭا فَمَرَّتْ بِهِۦ ۖ فَلَمَّآ أَثْقَلَت دَّعَوَا ٱللَّهَ رَبَّهُمَا لَئِنْ ءَاتَيْتَنَا صَٰلِحًۭا لَّنَكُونَنَّ مِنَ ٱلشَّٰكِرِينَ»]</w:t>
      </w:r>
      <w:r>
        <w:t xml:space="preserve"> (Corán 7:189, traducción de Julio Cortés)</w:t>
      </w:r>
      <w:r>
        <w:br/>
      </w:r>
      <w:r>
        <w:rPr>
          <w:b/>
        </w:rPr>
        <w:t>leída en su fuente · Corán 7:189,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 xml:space="preserve">. </w:t>
      </w:r>
      <w:r>
        <w:rPr>
          <w:b/>
        </w:rPr>
        <w:t>Concuerda.</w:t>
      </w:r>
      <w:r>
        <w:t xml:space="preserve"> Repite la fórmula del origen único («de una sola persona, de la que ha sacado a su cónyuge») y añade que el fin de la pareja es «que encuentre quietud en ella»: complementariedad mutua. No habla de costilla ni de orden.</w:t>
      </w:r>
    </w:p>
    <w:p>
      <w:pPr>
        <w:pStyle w:val="ListBullet"/>
      </w:pPr>
      <w:r>
        <w:rPr>
          <w:b/>
        </w:rPr>
        <w:t>Corán, sura 39</w:t>
      </w:r>
      <w:r>
        <w:t xml:space="preserve"> (revelado 610-632 d. C.; texto fijado hacia 650 d. C. según la tradición islámica; fecha de nivel C). Corán 39:6. «Os ha creado de una sola persona, de la que ha sacado a su cónyuge. Os ha dado, de los rebaños, cuatro parejas. Os ha creado en el seno de vuestras madres, creación tras creación, en triple oscuridad. Tal es Alá, vuestro Señor. Suyo es el domino. No hay más dios que Él. ¡Cómo, podéis pues, ser tan desviados!»</w:t>
      </w:r>
      <w:r>
        <w:t xml:space="preserve"> [original: «خَلَقَكُم مِّن نَّفْسٍۢ وَٰحِدَةٍۢ ثُمَّ جَعَلَ مِنْهَا زَوْجَهَا وَأَنزَلَ لَكُم مِّنَ ٱلْأَنْعَٰمِ ثَمَٰنِيَةَ أَزْوَٰجٍۢ ۚ يَخْلُقُكُمْ فِى بُطُونِ أُمَّهَٰتِكُمْ خَلْقًۭا مِّنۢ بَعْدِ خَلْقٍۢ فِى ظُلُمَٰتٍۢ ثَلَٰثٍۢ ۚ ذَٰلِكُمُ ٱللَّهُ رَبُّكُمْ لَهُ ٱلْمُلْكُ ۖ لَآ إِلَٰهَ إِلَّا هُوَ ۖ فَأَنَّىٰ تُصْرَفُونَ»]</w:t>
      </w:r>
      <w:r>
        <w:t xml:space="preserve"> (Corán 39:6, traducción de Julio Cortés)</w:t>
      </w:r>
      <w:r>
        <w:br/>
      </w:r>
      <w:r>
        <w:rPr>
          <w:b/>
        </w:rPr>
        <w:t>leída en su fuente · Corán 39:6,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 xml:space="preserve">. </w:t>
      </w:r>
      <w:r>
        <w:rPr>
          <w:b/>
        </w:rPr>
        <w:t>Concuerda.</w:t>
      </w:r>
      <w:r>
        <w:t xml:space="preserve"> Tercera aparición de la misma fórmula: «de una sola persona, de la que ha sacado a su cónyuge».</w:t>
      </w:r>
    </w:p>
    <w:p>
      <w:pPr>
        <w:pStyle w:val="ListBullet"/>
      </w:pPr>
      <w:r>
        <w:rPr>
          <w:b/>
        </w:rPr>
        <w:t>Corán, sura 49</w:t>
      </w:r>
      <w:r>
        <w:t xml:space="preserve"> (revelado 610-632 d. C.; texto fijado hacia 650 d. C. según la tradición islámica; fecha de nivel C). Corán 49:13. «¡Hombres! Os hemos creado de un varón y de una hembra y hemos hecho de vosotros pueblos y tribus, para que os conozcáis unos a otros. Para Alá, el más noble de entre vosotros es el que más Le teme. Alá es omnisciente, está bien informado.»</w:t>
      </w:r>
      <w:r>
        <w:t xml:space="preserve"> [original: «يَٰٓأَيُّهَا ٱلنَّاسُ إِنَّا خَلَقْنَٰكُم مِّن ذَكَرٍۢ وَأُنثَىٰ وَجَعَلْنَٰكُمْ شُعُوبًۭا وَقَبَآئِلَ لِتَعَارَفُوٓا۟ ۚ إِنَّ أَكْرَمَكُمْ عِندَ ٱللَّهِ أَتْقَىٰكُمْ ۚ إِنَّ ٱللَّهَ عَلِيمٌ خَبِيرٌۭ»]</w:t>
      </w:r>
      <w:r>
        <w:t xml:space="preserve"> (Corán 49:13, traducción de Julio Cortés)</w:t>
      </w:r>
      <w:r>
        <w:br/>
      </w:r>
      <w:r>
        <w:rPr>
          <w:b/>
        </w:rPr>
        <w:t>leída en su fuente · Corán 49:13,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 xml:space="preserve">. </w:t>
      </w:r>
      <w:r>
        <w:rPr>
          <w:b/>
        </w:rPr>
        <w:t>Concuerda.</w:t>
      </w:r>
      <w:r>
        <w:t xml:space="preserve"> «Os hemos creado de un varón y de una hembra»: ambos sexos como origen común de la humanidad; la única diferencia que cuenta es la piedad («el más noble… es el que más Le teme»).</w:t>
      </w:r>
    </w:p>
    <w:p>
      <w:pPr>
        <w:pStyle w:val="ListBullet"/>
      </w:pPr>
      <w:r>
        <w:rPr>
          <w:b/>
        </w:rPr>
        <w:t>Corán, sura 30</w:t>
      </w:r>
      <w:r>
        <w:t xml:space="preserve"> (revelado 610-632 d. C.; texto fijado hacia 650 d. C. según la tradición islámica; fecha de nivel C). Corán 30:21. «Y entre Sus signos está el haberos creado esposas nacidas entre vosotros, para que os sirvan de quietud, y el haber suscitado entre vosotros el afecto y la bondad. Ciertamente, hay en ellos signos para gente que reflexiona.»</w:t>
      </w:r>
      <w:r>
        <w:t xml:space="preserve"> [original: «وَمِنْ ءَايَٰتِهِۦٓ أَنْ خَلَقَ لَكُم مِّنْ أَنفُسِكُمْ أَزْوَٰجًۭا لِّتَسْكُنُوٓا۟ إِلَيْهَا وَجَعَلَ بَيْنَكُم مَّوَدَّةًۭ وَرَحْمَةً ۚ إِنَّ فِى ذَٰلِكَ لَءَايَٰتٍۢ لِّقَوْمٍۢ يَتَفَكَّرُونَ»]</w:t>
      </w:r>
      <w:r>
        <w:t xml:space="preserve"> (Corán 30:21, traducción de Julio Cortés)</w:t>
      </w:r>
      <w:r>
        <w:br/>
      </w:r>
      <w:r>
        <w:rPr>
          <w:b/>
        </w:rPr>
        <w:t>leída en su fuente · Corán 30:21, traducción de Julio Cortés</w:t>
      </w:r>
      <w:r>
        <w:br/>
      </w:r>
      <w:r>
        <w:rPr>
          <w:b/>
        </w:rPr>
        <w:t>Original donde está:</w:t>
      </w:r>
      <w:r>
        <w:t xml:space="preserve"> coran_arabe_uthmani_alquran_cloud.json.txt</w:t>
      </w:r>
      <w:r>
        <w:br/>
      </w:r>
      <w:r>
        <w:t>El pasaje literal no está en el archivo de pasajes con este comienzo; la auditoría lo halló en ese original.</w:t>
      </w:r>
      <w:r>
        <w:t xml:space="preserve">. </w:t>
      </w:r>
      <w:r>
        <w:rPr>
          <w:b/>
        </w:rPr>
        <w:t>Concuerda.</w:t>
      </w:r>
      <w:r>
        <w:t xml:space="preserve"> El matrimonio es un «signo» de Dios: esposas creadas «de vosotros mismos» (min anfusikum), «para que os sirvan de quietud», con «afecto y bondad» entre ambos. Complementariedad, no jerarquía.</w:t>
      </w:r>
    </w:p>
    <w:p>
      <w:pPr>
        <w:pStyle w:val="ListBullet"/>
      </w:pPr>
      <w:r>
        <w:rPr>
          <w:b/>
        </w:rPr>
        <w:t>Corán, sura 4</w:t>
      </w:r>
      <w:r>
        <w:t xml:space="preserve"> (revelado 610-632 d. C.; texto fijado hacia 650 d. C. según la tradición islámica; fecha de nivel C). Corán 4:34. Su pasaje se ve arriba. </w:t>
      </w:r>
      <w:r>
        <w:rPr>
          <w:b/>
        </w:rPr>
        <w:t>Contrapunto.</w:t>
      </w:r>
      <w:r>
        <w:t xml:space="preserve"> «Los hombres tienen autoridad sobre las mujeres» (qawwāmūna ʿalā l-nisāʾ) y se autoriza a «pegarles» si se rebelan: subordinación de la mujer en el mismo libro que dice «de una sola persona». No está en el relato de creación; es una norma de familia.</w:t>
      </w:r>
    </w:p>
    <w:p>
      <w:pPr>
        <w:pStyle w:val="ListBullet"/>
      </w:pPr>
      <w:r>
        <w:rPr>
          <w:b/>
        </w:rPr>
        <w:t>Corán, sura 2</w:t>
      </w:r>
      <w:r>
        <w:t xml:space="preserve"> (revelado 610-632 d. C.; texto fijado hacia 650 d. C. según la tradición islámica; fecha de nivel C). Corán 2:228. «Las repudiadas deberán esperar tres menstruaciones. No les es lícito ocultar lo que Alá ha creado en su seno si es que creen en Alá y en el último Día. Durante esta espera, sus esposo tienen pleno derecho a tomarlas de nuevo si desean la reconciliación. Ellas tienen derechos equivalentes a sus obligaciones, conforme al uso, pero los hombres están un grado por encima de ellas. Alá es poderoso, sabio.»</w:t>
      </w:r>
      <w:r>
        <w:t xml:space="preserve"> [original: «وَٱلْمُطَلَّقَٰتُ يَتَرَبَّصْنَ بِأَنفُسِهِنَّ ثَلَٰثَةَ قُرُوٓءٍۢ ۚ وَلَا يَحِلُّ لَهُنَّ أَن يَكْتُمْنَ مَا خَلَقَ ٱللَّهُ فِىٓ أَرْحَامِهِنَّ إِن كُنَّ يُؤْمِنَّ بِٱللَّهِ وَٱلْيَوْمِ ٱلْءَاخِرِ ۚ وَبُعُولَتُهُنَّ أَحَقُّ بِرَدِّهِنَّ فِى ذَٰلِكَ إِنْ أَرَادُوٓا۟ إِصْلَٰحًۭا ۚ وَلَهُنَّ مِثْلُ ٱلَّذِى عَلَيْهِنَّ بِٱلْمَعْرُوفِ ۚ وَلِلرِّجَالِ عَلَيْهِنَّ دَرَجَةٌۭ ۗ وَٱللَّهُ عَزِيزٌ حَكِيمٌ»]</w:t>
      </w:r>
      <w:r>
        <w:t xml:space="preserve"> (Corán 2:228, traducción de Julio Cortés)</w:t>
      </w:r>
      <w:r>
        <w:br/>
      </w:r>
      <w:r>
        <w:rPr>
          <w:b/>
        </w:rPr>
        <w:t>leída en su fuente · Corán 2:228, traducción de Julio Cortés</w:t>
      </w:r>
      <w:r>
        <w:br/>
      </w:r>
      <w:r>
        <w:rPr>
          <w:b/>
        </w:rPr>
        <w:t>Original donde está:</w:t>
      </w:r>
      <w:r>
        <w:t xml:space="preserve"> coran_arabe_uthmani_alquran_cloud.json.txt</w:t>
      </w:r>
      <w:r>
        <w:br/>
      </w:r>
      <w:r>
        <w:t>El pasaje literal no está en el archivo de pasajes con este comienzo; la auditoría lo halló en ese original.</w:t>
      </w:r>
      <w:r>
        <w:t xml:space="preserve">. </w:t>
      </w:r>
      <w:r>
        <w:rPr>
          <w:b/>
        </w:rPr>
        <w:t>Contrapunto.</w:t>
      </w:r>
      <w:r>
        <w:t xml:space="preserve"> Declara derechos recíprocos («derechos equivalentes a sus obligaciones») y a la vez que «los hombres están un grado por encima de ellas» (wa-li-l-rijāli ʿalayhinna daraja): jerarquía expresa dentro de un versículo de divorcio. Es la otra mitad de 4:34 y no trata de la creación.</w:t>
      </w:r>
    </w:p>
    <w:p>
      <w:pPr>
        <w:pStyle w:val="ListBullet"/>
      </w:pPr>
      <w:r>
        <w:rPr>
          <w:b/>
        </w:rPr>
        <w:t>Sahih al-Bujari, libros 60 y 67 (trad. inglesa del archivo hadith-api)</w:t>
      </w:r>
      <w:r>
        <w:t xml:space="preserve"> (recopilado hacia 846-870 d. C. (al-Bujari, m. 870); fecha de nivel C). Bujari 3331 y 5184. «Contado por Abu Huraira: el Mensajero de Alá dijo: “Tratad bien a las mujeres, pues la mujer fue creada de una costilla, y la parte más curvada de la costilla es la superior; si intentas enderezarla, se romperá, pero si la dejas como está, seguirá torcida. Así que tratad bien a las mujeres”»</w:t>
      </w:r>
      <w:r>
        <w:t xml:space="preserve"> [original: «Narrated Abu Huraira:Allah's Apostle said, "Treat women nicely, for a woman is created from a rib, and the most curved portion of the rib is its upper portion, so, if you should try to straighten it, it will break, but if you leave it as it is, it will remain crooked. So treat women nicely», en la traducción inglesa de la copia de datos hadith-api]</w:t>
      </w:r>
      <w:r>
        <w:t xml:space="preserve"> (Sahih al-Bujari 3331 (fuente secundaria))</w:t>
      </w:r>
      <w:r>
        <w:br/>
      </w:r>
      <w:r>
        <w:rPr>
          <w:b/>
        </w:rPr>
        <w:t>leída en su fuente · Sahih al-Bujari 3331 (fuente secundaria)</w:t>
      </w:r>
      <w:r>
        <w:br/>
      </w:r>
      <w:r>
        <w:rPr>
          <w:b/>
        </w:rPr>
        <w:t>Original donde está:</w:t>
      </w:r>
      <w:r>
        <w:t xml:space="preserve"> hadith_api_eng-bukhari.json</w:t>
      </w:r>
      <w:r>
        <w:br/>
      </w:r>
      <w:r>
        <w:t>El pasaje literal no está en el archivo de pasajes con este comienzo; la auditoría lo halló en ese original.</w:t>
      </w:r>
      <w:r>
        <w:t xml:space="preserve"> […] «Contado por Abu Huraira: el Mensajero de Alá dijo: “La mujer es como una costilla; si intentas enderezarla, se romperá. Así que si quieres sacar provecho de ella, hazlo mientras aún tenga algo de torcedura”»</w:t>
      </w:r>
      <w:r>
        <w:t xml:space="preserve"> [original: «Narrated Abu Huraira:Allah's Messenger (ﷺ) said, "The woman is like a rib; if you try to straighten her, she will break. So if you want to get benefit from her, do so while she still has some crookedness», en la traducción inglesa de la copia de datos hadith-api]</w:t>
      </w:r>
      <w:r>
        <w:t xml:space="preserve"> (Sahih al-Bujari 5184 (fuente secundaria))</w:t>
      </w:r>
      <w:r>
        <w:br/>
      </w:r>
      <w:r>
        <w:rPr>
          <w:b/>
        </w:rPr>
        <w:t>leída en su fuente · Sahih al-Bujari 5184 (fuente secundaria)</w:t>
      </w:r>
      <w:r>
        <w:br/>
      </w:r>
      <w:r>
        <w:rPr>
          <w:b/>
        </w:rPr>
        <w:t>Original donde está:</w:t>
      </w:r>
      <w:r>
        <w:t xml:space="preserve"> hadith_api_eng-bukhari.json</w:t>
      </w:r>
      <w:r>
        <w:br/>
      </w:r>
      <w:r>
        <w:t>El pasaje literal no está en el archivo de pasajes con este comienzo; la auditoría lo halló en ese original.</w:t>
      </w:r>
      <w:r>
        <w:t xml:space="preserve">. </w:t>
      </w:r>
      <w:r>
        <w:rPr>
          <w:b/>
        </w:rPr>
        <w:t>Contrapunto.</w:t>
      </w:r>
      <w:r>
        <w:t xml:space="preserve"> La mujer «fue creada de una costilla» y es «torcida» por naturaleza: es la versión islámica del relato de Gn 2 y no está en el Corán. Recomienda buen trato, pero parte de una naturaleza torcida. Es hadiz (dicho atribuido al Profeta), no revelación; nivel B por ser copia de datos.</w:t>
      </w:r>
    </w:p>
    <w:p>
      <w:pPr>
        <w:pStyle w:val="ListBullet"/>
      </w:pPr>
      <w:r>
        <w:rPr>
          <w:b/>
        </w:rPr>
        <w:t>Sahih al-Bujari, libro 60, hadiz 5 (trad. inglesa del archivo hadith-api)</w:t>
      </w:r>
      <w:r>
        <w:t xml:space="preserve"> (recopilado hacia 846-870 d. C.; fecha de nivel C). Bujari 3330. «Contado por Abu Huraira: el Profeta dijo: “De no ser por los israelitas, la carne no se pudriría, y de no ser por Eva, las esposas nunca traicionarían a sus maridos”»</w:t>
      </w:r>
      <w:r>
        <w:t xml:space="preserve"> [original: «Narrated Abu Huraira:The Prophet (ﷺ) said, "But for the Israelis, meat would not decay and but for Eve, wives would never betray their husbands», en la traducción inglesa de la copia de datos hadith-api]</w:t>
      </w:r>
      <w:r>
        <w:t xml:space="preserve"> (Sahih al-Bujari 3330 (fuente secundaria))</w:t>
      </w:r>
      <w:r>
        <w:br/>
      </w:r>
      <w:r>
        <w:rPr>
          <w:b/>
        </w:rPr>
        <w:t>leída en su fuente · Sahih al-Bujari 3330 (fuente secundaria)</w:t>
      </w:r>
      <w:r>
        <w:br/>
      </w:r>
      <w:r>
        <w:rPr>
          <w:b/>
        </w:rPr>
        <w:t>Archivo leído:</w:t>
      </w:r>
      <w:r>
        <w:t xml:space="preserve"> eng-bukhari.json (cierre_B3_B4_9oct\hadices_completos_hadith_api\eng-bukhari.json) · contraste del archivo de pasajes: ✔</w:t>
      </w:r>
      <w:r>
        <w:br/>
      </w:r>
      <w:r>
        <w:rPr>
          <w:b/>
        </w:rPr>
        <w:t>Lugar:</w:t>
      </w:r>
      <w:r>
        <w:t xml:space="preserve"> Sahih al-Bujari 3330 (fuente secundaria)</w:t>
      </w:r>
      <w:r>
        <w:br/>
      </w:r>
      <w:r>
        <w:rPr>
          <w:b/>
        </w:rPr>
        <w:t>Tal como está en la fuente:</w:t>
      </w:r>
      <w:r>
        <w:t xml:space="preserve"> "Narrated Abu Huraira:The Prophet (ﷺ) said, ""But for the Israelis, meat would not decay and but for Eve, wives would never betray their husbands"</w:t>
      </w:r>
      <w:r>
        <w:t xml:space="preserve">. </w:t>
      </w:r>
      <w:r>
        <w:rPr>
          <w:b/>
        </w:rPr>
        <w:t>Contrapunto.</w:t>
      </w:r>
      <w:r>
        <w:t xml:space="preserve"> Hace de Eva la causa de la infidelidad femenina («de no ser por Eva, las esposas nunca traicionarían…»); el Corán nunca culpa a Eva sola (cf. 7:20-22, donde Satanás les habla a los dos), y este hadiz sí. Nivel B por ser copia de datos.</w:t>
      </w:r>
    </w:p>
    <w:p>
      <w:r>
        <w:rPr>
          <w:b/>
        </w:rPr>
        <w:t>El hermetismo.</w:t>
      </w:r>
    </w:p>
    <w:p>
      <w:pPr>
        <w:pStyle w:val="ListBullet"/>
      </w:pPr>
      <w:r>
        <w:rPr>
          <w:b/>
        </w:rPr>
        <w:t>Poimandres §§15 y 18, trad. G. R. S. Mead (Thrice-Greatest Hermes, 1906)</w:t>
      </w:r>
      <w:r>
        <w:t xml:space="preserve"> (Egipto helenístico, hacia los siglos II-III d. C.; fecha de nivel C). Poimandres 15 y 18. «Aunque macho-hembra, como [hijo] de un Padre macho-hembra, y aunque sin sueño, hijo de un [Padre] sin sueño, es vencido [por el sueño]»</w:t>
      </w:r>
      <w:r>
        <w:t xml:space="preserve"> [original: «Though male-female, 2 as from a Father male-female, and though he’s sleepless from a sleepless [Sire], yet is he overcome [by sleep].», en la traducción de Mead]</w:t>
      </w:r>
      <w:r>
        <w:t xml:space="preserve"> (Corpus Hermeticum I, Poimandres 15)</w:t>
      </w:r>
      <w:r>
        <w:br/>
      </w:r>
      <w:r>
        <w:rPr>
          <w:b/>
        </w:rPr>
        <w:t>leída en su fuente · Corpus Hermeticum I, Poimandres 15</w:t>
      </w:r>
      <w:r>
        <w:br/>
      </w:r>
      <w:r>
        <w:rPr>
          <w:b/>
        </w:rPr>
        <w:t>Archivo leído:</w:t>
      </w:r>
      <w:r>
        <w:t xml:space="preserve"> th202.htm (cierre_mujer_varon_9oct\hermetica_mead\th202.htm) · contraste del archivo de pasajes: ✔</w:t>
      </w:r>
      <w:r>
        <w:br/>
      </w:r>
      <w:r>
        <w:rPr>
          <w:b/>
        </w:rPr>
        <w:t>Lugar:</w:t>
      </w:r>
      <w:r>
        <w:t xml:space="preserve"> Corpus Hermeticum I, Poimandres 15</w:t>
      </w:r>
      <w:r>
        <w:br/>
      </w:r>
      <w:r>
        <w:rPr>
          <w:b/>
        </w:rPr>
        <w:t>Tal como está en la fuente:</w:t>
      </w:r>
      <w:r>
        <w:t xml:space="preserve"> Though male-female, 2 as from a Father male-female, and though he’s sleepless from a sleepless [Sire], yet is he overcome [by sleep].</w:t>
      </w:r>
      <w:r>
        <w:t xml:space="preserve"> (se refiere al Hombre celeste, ya bajo la Armonía) […] «Terminado el periodo, el vínculo que los ataba a todos se aflojó por la Voluntad de Dios. Pues todos los animales, siendo macho-hembra, fueron separados a la vez que el hombre: unos se hicieron en parte machos y otros, de igual modo, [en parte] hembras»</w:t>
      </w:r>
      <w:r>
        <w:t xml:space="preserve"> [original: «The period being ended, the bond that bound them all was loosened by God’s Will. For all the animals being male-female, at the same time with man were loosed apart; some became partly male, some in like fashion [partly] female.», en la traducción de Mead]</w:t>
      </w:r>
      <w:r>
        <w:t xml:space="preserve"> (Corpus Hermeticum I, Poimandres 18)</w:t>
      </w:r>
      <w:r>
        <w:br/>
      </w:r>
      <w:r>
        <w:rPr>
          <w:b/>
        </w:rPr>
        <w:t>leída en su fuente · Corpus Hermeticum I, Poimandres 18</w:t>
      </w:r>
      <w:r>
        <w:br/>
      </w:r>
      <w:r>
        <w:rPr>
          <w:b/>
        </w:rPr>
        <w:t>Original donde está:</w:t>
      </w:r>
      <w:r>
        <w:t xml:space="preserve"> th202.htm.txt</w:t>
      </w:r>
      <w:r>
        <w:br/>
      </w:r>
      <w:r>
        <w:t>El pasaje literal no está en el archivo de pasajes con este comienzo; la auditoría lo halló en ese original.</w:t>
      </w:r>
      <w:r>
        <w:t xml:space="preserve">. </w:t>
      </w:r>
      <w:r>
        <w:rPr>
          <w:b/>
        </w:rPr>
        <w:t>Concuerda.</w:t>
      </w:r>
      <w:r>
        <w:t xml:space="preserve"> El Hombre primordial es «macho-hembra» y la separación de los sexos es un acto posterior de la voluntad divina (§18): un solo ser que se divide. Pero la unión de los sexos aparece luego ligada al amor que conduce a la muerte (§18-19: «la causa de la muerte es el amor»).</w:t>
      </w:r>
    </w:p>
    <w:p>
      <w:r>
        <w:rPr>
          <w:b/>
        </w:rPr>
        <w:t>La India.</w:t>
      </w:r>
    </w:p>
    <w:p>
      <w:pPr>
        <w:pStyle w:val="ListBullet"/>
      </w:pPr>
      <w:r>
        <w:rPr>
          <w:b/>
        </w:rPr>
        <w:t>Brihadaranyaka Upanishad I, 4, 1-3 (trad. Max Müller, SBE 15, 1884)</w:t>
      </w:r>
      <w:r>
        <w:t xml:space="preserve"> (hacia los siglos VIII-VII a. C.; fecha de nivel C). BU 1.4.1-3. Su pasaje se ve arriba. </w:t>
      </w:r>
      <w:r>
        <w:rPr>
          <w:b/>
        </w:rPr>
        <w:t>Concuerda.</w:t>
      </w:r>
      <w:r>
        <w:t xml:space="preserve"> Es el caso más claro de «un único ser que lleva integrado lo masculino y lo femenino y se separa»: un Ser «tan grande como un hombre y una mujer juntos» que se parte en dos; cada mitad «como la mitad de una concha». Matiz (§4): la mujer se oculta («¿cómo puede abrazarme después de haberme producido de sí mismo?») y se transforma en vaca, yegua…</w:t>
      </w:r>
    </w:p>
    <w:p>
      <w:pPr>
        <w:pStyle w:val="ListBullet"/>
      </w:pPr>
      <w:r>
        <w:rPr>
          <w:b/>
        </w:rPr>
        <w:t>Manusmṛti 1.32 (sánscrito de GRETIL; trad. G. Bühler, SBE 25, 1886)</w:t>
      </w:r>
      <w:r>
        <w:t xml:space="preserve"> (hacia el siglo II a. C.-II d. C.; fecha de nivel C). Manu 1.32. Su pasaje se ve arriba. </w:t>
      </w:r>
      <w:r>
        <w:rPr>
          <w:b/>
        </w:rPr>
        <w:t>Concuerda.</w:t>
      </w:r>
      <w:r>
        <w:t xml:space="preserve"> Segunda versión india de la misma idea: el creador se divide en «mitad varón y mitad mujer»; de la mitad femenina nace Virāj, el primer varón cósmico.</w:t>
      </w:r>
    </w:p>
    <w:p>
      <w:pPr>
        <w:pStyle w:val="ListBullet"/>
      </w:pPr>
      <w:r>
        <w:rPr>
          <w:b/>
        </w:rPr>
        <w:t>Manusmṛti 5.147-148 (trad. G. Bühler, SBE 25, 1886)</w:t>
      </w:r>
      <w:r>
        <w:t xml:space="preserve"> (hacia el siglo II a. C.-II d. C.; fecha de nivel C). Manu 5.147-148. Su pasaje se ve arriba. </w:t>
      </w:r>
      <w:r>
        <w:rPr>
          <w:b/>
        </w:rPr>
        <w:t>Contrapunto.</w:t>
      </w:r>
      <w:r>
        <w:t xml:space="preserve"> Tutela perpetua de la mujer (padre-marido-hijos). Es la misma obra que cuenta la división del Creador en dos mitades (Manu 1.32): la igualdad del origen no pasa a la ley. (La ficha siguiente, Manu 9.2-3, repite la idea.)</w:t>
      </w:r>
    </w:p>
    <w:p>
      <w:pPr>
        <w:pStyle w:val="ListBullet"/>
      </w:pPr>
      <w:r>
        <w:rPr>
          <w:b/>
        </w:rPr>
        <w:t>Manusmṛti 9.2-3 (sánscrito de GRETIL; trad. G. Bühler, SBE 25, 1886)</w:t>
      </w:r>
      <w:r>
        <w:t xml:space="preserve"> (hacia el siglo II a. C.-II d. C.; fecha de nivel C). Manu 9.2-3. «Los varones de su familia deben mantener a las mujeres sin independencia, día y noche; y si se apegan a los placeres de los sentidos, han de ser puestas bajo el propio dominio»</w:t>
      </w:r>
      <w:r>
        <w:t xml:space="preserve"> [original: «asvatantrāḥ striyaḥ kāryāḥ puruṣaiḥ svair divāniśam viṣayeṣu ca sajjantyaḥ saṃsthāpyā ātmano vaśe»]</w:t>
      </w:r>
      <w:r>
        <w:t xml:space="preserve"> (Leyes de Manu 9.2)</w:t>
      </w:r>
      <w:r>
        <w:br/>
      </w:r>
      <w:r>
        <w:rPr>
          <w:b/>
        </w:rPr>
        <w:t>leída en su fuente · Leyes de Manu 9.2</w:t>
      </w:r>
      <w:r>
        <w:br/>
      </w:r>
      <w:r>
        <w:rPr>
          <w:b/>
        </w:rPr>
        <w:t>Archivo leído:</w:t>
      </w:r>
      <w:r>
        <w:t xml:space="preserve"> gretil_manu.htm (ant\india\gretil_manu.htm) · contraste del archivo de pasajes: ✔</w:t>
      </w:r>
      <w:r>
        <w:br/>
      </w:r>
      <w:r>
        <w:rPr>
          <w:b/>
        </w:rPr>
        <w:t>Lugar:</w:t>
      </w:r>
      <w:r>
        <w:t xml:space="preserve"> Leyes de Manu 9.2</w:t>
      </w:r>
      <w:r>
        <w:br/>
      </w:r>
      <w:r>
        <w:rPr>
          <w:b/>
        </w:rPr>
        <w:t>Tal como está en la fuente:</w:t>
      </w:r>
      <w:r>
        <w:t xml:space="preserve"> asvatantrāḥ striyaḥ kāryāḥ puruṣaiḥ svair divāniśam viṣayeṣu ca sajjantyaḥ saṃsthāpyā ātmano vaśe</w:t>
      </w:r>
      <w:r>
        <w:t xml:space="preserve"> […] «El padre la protege en la niñez, el marido la protege en la juventud, los hijos la protegen en la vejez: la mujer no merece independencia»</w:t>
      </w:r>
      <w:r>
        <w:t xml:space="preserve"> [original: «pitā rakṣati kaumāre bhartā rakṣati yauvane rakṣanti sthavire putrā na strī svātantryam arhati»]</w:t>
      </w:r>
      <w:r>
        <w:t xml:space="preserve"> (Leyes de Manu 9.3)</w:t>
      </w:r>
      <w:r>
        <w:br/>
      </w:r>
      <w:r>
        <w:rPr>
          <w:b/>
        </w:rPr>
        <w:t>leída en su fuente · Leyes de Manu 9.3</w:t>
      </w:r>
      <w:r>
        <w:br/>
      </w:r>
      <w:r>
        <w:rPr>
          <w:b/>
        </w:rPr>
        <w:t>Archivo leído:</w:t>
      </w:r>
      <w:r>
        <w:t xml:space="preserve"> gretil_manu.htm (ant\india\gretil_manu.htm) · contraste del archivo de pasajes: ✔</w:t>
      </w:r>
      <w:r>
        <w:br/>
      </w:r>
      <w:r>
        <w:rPr>
          <w:b/>
        </w:rPr>
        <w:t>Lugar:</w:t>
      </w:r>
      <w:r>
        <w:t xml:space="preserve"> Leyes de Manu 9.3</w:t>
      </w:r>
      <w:r>
        <w:br/>
      </w:r>
      <w:r>
        <w:rPr>
          <w:b/>
        </w:rPr>
        <w:t>Tal como está en la fuente:</w:t>
      </w:r>
      <w:r>
        <w:t xml:space="preserve"> pitā rakṣati kaumāre bhartā rakṣati yauvane rakṣanti sthavire putrā na strī svātantryam arhati</w:t>
      </w:r>
      <w:r>
        <w:t xml:space="preserve"> […] «3. El padre la protege en la infancia, el marido la protege en la juventud y los hijos la protegen en la vejez; una mujer nunca es apta para la independencia»</w:t>
      </w:r>
      <w:r>
        <w:t xml:space="preserve"> [original: «3. Her father protects (her) in childhood, her husband protects (her) in youth, and her sons protect (her) in old age ; a woman is never fit for independence.», en la traducción de Bühler]</w:t>
      </w:r>
      <w:r>
        <w:t xml:space="preserve"> (Leyes de Manu 9.3)</w:t>
      </w:r>
      <w:r>
        <w:br/>
      </w:r>
      <w:r>
        <w:rPr>
          <w:b/>
        </w:rPr>
        <w:t>pasaje guardado · Leyes de Manu 9.3</w:t>
      </w:r>
      <w:r>
        <w:br/>
      </w:r>
      <w:r>
        <w:rPr>
          <w:b/>
        </w:rPr>
        <w:t>Archivo leído:</w:t>
      </w:r>
      <w:r>
        <w:t xml:space="preserve"> extracto_Manu_Buhler_SBE25.txt (cierre_mujer_varon_9oct\manu\extracto_Manu_Buhler_SBE25.txt) · contraste del archivo de pasajes: ✔</w:t>
      </w:r>
      <w:r>
        <w:br/>
      </w:r>
      <w:r>
        <w:rPr>
          <w:b/>
        </w:rPr>
        <w:t>Lugar:</w:t>
      </w:r>
      <w:r>
        <w:t xml:space="preserve"> Leyes de Manu 9.3</w:t>
      </w:r>
      <w:r>
        <w:br/>
      </w:r>
      <w:r>
        <w:rPr>
          <w:b/>
        </w:rPr>
        <w:t>Tal como está en la fuente:</w:t>
      </w:r>
      <w:r>
        <w:t xml:space="preserve"> 3. Her father protects (her) in childhood, her husband protects (her) in youth, and her sons protect (her) in old age ; a woman is never fit for independence.</w:t>
      </w:r>
      <w:r>
        <w:t xml:space="preserve"> (el v. 2 de la traducción de Bühler aparece partido por el cambio de página en el escaneo; por eso el v. 2 se cita del sánscrito). </w:t>
      </w:r>
      <w:r>
        <w:rPr>
          <w:b/>
        </w:rPr>
        <w:t>Contrapunto.</w:t>
      </w:r>
      <w:r>
        <w:t xml:space="preserve"> Repite la tutela perpetua («una mujer nunca es apta para la independencia»), esta vez dentro del derecho de familia (libro IX).</w:t>
      </w:r>
    </w:p>
    <w:p>
      <w:pPr>
        <w:pStyle w:val="ListBullet"/>
      </w:pPr>
      <w:r>
        <w:rPr>
          <w:b/>
        </w:rPr>
        <w:t>Rig Veda X, 10 (Yama y Yami; trad. R. T. H. Griffith, 1896)</w:t>
      </w:r>
      <w:r>
        <w:t xml:space="preserve"> (libro X del Rig Veda, hacia 1200-900 a. C.; fecha de nivel C). RV 10.10, 3-5 y 12. «3 Sí, esto lo desean de ti con anhelo los Inmortales: descendencia del único mortal existente. Une tu alma a la mía y toma a tu consorte como marido amante. 4 ¿Haremos ahora lo que nunca hicimos? Nosotros, que hablamos con rectitud, ¿hablaremos ahora con impureza? El Gandharva en las aguas, la Dama de las Aguas: tal es nuestro vínculo, tal nuestro parentesco más alto. 5 Aun en el seno materno el dios Tvaṣṭar, el Vivificador, que da forma a todo, el Creador, nos hizo consortes»</w:t>
      </w:r>
      <w:r>
        <w:t xml:space="preserve"> [original: «3 Yea, this the Immortals seek of thee with longing, progeny of the sole existing mortal. Then let thy soul and mine be knit together, and as a loving husband take thy consort. 4 Shall we do now what we ne’er did aforetime? we who spake righteously now talk impurely? Gandharva in the floods, the Dame of Waters-such is our bond, such our most lofty kinship. 5 Even in the womb God Tvaṣṭar, Vivifier, shaping all forms, Creator, made us consorts.», en la traducción de Griffith]</w:t>
      </w:r>
      <w:r>
        <w:t xml:space="preserve"> (Rig Veda 10.10, 3-5)</w:t>
      </w:r>
      <w:r>
        <w:br/>
      </w:r>
      <w:r>
        <w:rPr>
          <w:b/>
        </w:rPr>
        <w:t>leída en su fuente · Rig Veda 10.10, 3-5</w:t>
      </w:r>
      <w:r>
        <w:br/>
      </w:r>
      <w:r>
        <w:rPr>
          <w:b/>
        </w:rPr>
        <w:t>Original donde está:</w:t>
      </w:r>
      <w:r>
        <w:t xml:space="preserve"> rv10010_yama_yami_griffith.htm.txt</w:t>
      </w:r>
      <w:r>
        <w:br/>
      </w:r>
      <w:r>
        <w:t>El pasaje literal no está en el archivo de pasajes con este comienzo; la auditoría lo halló en ese original.</w:t>
      </w:r>
      <w:r>
        <w:t xml:space="preserve"> […] «12 No rodearé tu cuerpo con mis brazos: dicen que es pecado acercarse a una hermana. Conmigo no: prepara tus placeres con otro; tu hermano no busca esto de ti, hermosa»</w:t>
      </w:r>
      <w:r>
        <w:t xml:space="preserve"> [original: «12 I will not fold mine arms about thy body: they call it sin when one comes near his sister. Not me,—prepare thy pleasures with another: thy brother seeks not this from thee, O fair one.», en la traducción de Griffith]</w:t>
      </w:r>
      <w:r>
        <w:t xml:space="preserve"> (Rig Veda 10.10, 12)</w:t>
      </w:r>
      <w:r>
        <w:br/>
      </w:r>
      <w:r>
        <w:rPr>
          <w:b/>
        </w:rPr>
        <w:t>leída en su fuente · Rig Veda 10.10, 12</w:t>
      </w:r>
      <w:r>
        <w:br/>
      </w:r>
      <w:r>
        <w:rPr>
          <w:b/>
        </w:rPr>
        <w:t>Archivo leído:</w:t>
      </w:r>
      <w:r>
        <w:t xml:space="preserve"> rv10010_yama_yami_griffith.htm (cierre_mujer_varon_9oct\india_rigveda\rv10010_yama_yami_griffith.htm) · contraste del archivo de pasajes: ✔</w:t>
      </w:r>
      <w:r>
        <w:br/>
      </w:r>
      <w:r>
        <w:rPr>
          <w:b/>
        </w:rPr>
        <w:t>Lugar:</w:t>
      </w:r>
      <w:r>
        <w:t xml:space="preserve"> Rig Veda 10.10, 12</w:t>
      </w:r>
      <w:r>
        <w:br/>
      </w:r>
      <w:r>
        <w:rPr>
          <w:b/>
        </w:rPr>
        <w:t>Tal como está en la fuente:</w:t>
      </w:r>
      <w:r>
        <w:t xml:space="preserve"> 12 I will not fold mine arms about thy body: they call it sin when one comes near his sister. Not me,—prepare thy pleasures with another: thy brother seeks not this from thee, O fair one.</w:t>
      </w:r>
      <w:r>
        <w:t xml:space="preserve">. </w:t>
      </w:r>
      <w:r>
        <w:rPr>
          <w:b/>
        </w:rPr>
        <w:t>Neutro.</w:t>
      </w:r>
      <w:r>
        <w:t xml:space="preserve"> La primera pareja mortal son gemelos, hermano y hermana, hechos «consortes» por Tvaṣṭar desde el vientre materno (v. 5); pero la iniciativa es de ella y él la rechaza por incesto. No fija un orden de dignidad: es un himno de diálogo, no de creación. (La numeración «3 Yea… made us consorts» incluye los vv. 3-5 seguidos.)</w:t>
      </w:r>
    </w:p>
    <w:p>
      <w:pPr>
        <w:pStyle w:val="ListBullet"/>
      </w:pPr>
      <w:r>
        <w:rPr>
          <w:b/>
        </w:rPr>
        <w:t>Rig Veda X, 90 (Puruṣa-sūkta; trad. R. T. H. Griffith, 1896)</w:t>
      </w:r>
      <w:r>
        <w:t xml:space="preserve"> (libro X del Rig Veda, hacia 1200-900 a. C.; fecha de nivel C). RV 10.90, 5 y 11-12. «5. De él nació Virāj; de Virāj nació de nuevo Puruṣa. En cuanto nació, se extendió hacia oriente y occidente sobre la tierra»</w:t>
      </w:r>
      <w:r>
        <w:t xml:space="preserve"> [original: «5 From him Virāj was born; again Puruṣa from Virāj was born. As soon as he was born he spread eastward and westward o’er the earth.», en la traducción de Griffith]</w:t>
      </w:r>
      <w:r>
        <w:t xml:space="preserve"> (Rig Veda 10.90, 5)</w:t>
      </w:r>
      <w:r>
        <w:br/>
      </w:r>
      <w:r>
        <w:rPr>
          <w:b/>
        </w:rPr>
        <w:t>leída en su fuente · Rig Veda 10.90, 5</w:t>
      </w:r>
      <w:r>
        <w:br/>
      </w:r>
      <w:r>
        <w:rPr>
          <w:b/>
        </w:rPr>
        <w:t>Archivo leído:</w:t>
      </w:r>
      <w:r>
        <w:t xml:space="preserve"> rv10090.htm (cierre_mujer_varon_9oct\india_rigveda\rv10090.htm) · contraste del archivo de pasajes: ✔</w:t>
      </w:r>
      <w:r>
        <w:br/>
      </w:r>
      <w:r>
        <w:rPr>
          <w:b/>
        </w:rPr>
        <w:t>Lugar:</w:t>
      </w:r>
      <w:r>
        <w:t xml:space="preserve"> Rig Veda 10.90, 5</w:t>
      </w:r>
      <w:r>
        <w:br/>
      </w:r>
      <w:r>
        <w:rPr>
          <w:b/>
        </w:rPr>
        <w:t>Tal como está en la fuente:</w:t>
      </w:r>
      <w:r>
        <w:t xml:space="preserve"> 5 From him Virāj was born; again Puruṣa from Virāj was born. As soon as he was born he spread eastward and westward o’er the earth.</w:t>
      </w:r>
      <w:r>
        <w:t xml:space="preserve"> […] «11 Cuando dividieron a Puruṣa, ¿cuántas porciones hicieron? ¿Cómo llaman a su boca, a sus brazos? ¿Cómo llaman a sus muslos y a sus pies? 12 El brahmán fue su boca, de sus dos brazos se hizo el rājanya; sus muslos se hicieron el vaiśya, de sus pies se produjo el śūdra»</w:t>
      </w:r>
      <w:r>
        <w:t xml:space="preserve"> [original: «11 When they divided Puruṣa how many portions did they make? What do they call his mouth, his arms? What do they call his thighs and feet? 12 The Brahman was his mouth, of both his arms was the Rājanya made. His thighs became the Vaiśya, from his feet the Śūdra was produced.», en la traducción de Griffith]</w:t>
      </w:r>
      <w:r>
        <w:t xml:space="preserve"> (Rig Veda 10.90, 11-12)</w:t>
      </w:r>
      <w:r>
        <w:br/>
      </w:r>
      <w:r>
        <w:rPr>
          <w:b/>
        </w:rPr>
        <w:t>leída en su fuente · Rig Veda 10.90, 11-12</w:t>
      </w:r>
      <w:r>
        <w:br/>
      </w:r>
      <w:r>
        <w:rPr>
          <w:b/>
        </w:rPr>
        <w:t>Original donde está:</w:t>
      </w:r>
      <w:r>
        <w:t xml:space="preserve"> rv10090.htm.txt</w:t>
      </w:r>
      <w:r>
        <w:br/>
      </w:r>
      <w:r>
        <w:t>El pasaje literal no está en el archivo de pasajes con este comienzo; la auditoría lo halló en ese original.</w:t>
      </w:r>
      <w:r>
        <w:t xml:space="preserve">. </w:t>
      </w:r>
      <w:r>
        <w:rPr>
          <w:b/>
        </w:rPr>
        <w:t>Neutro.</w:t>
      </w:r>
      <w:r>
        <w:t xml:space="preserve"> Del Puruṣa «dividido» salen las clases y el cosmos, y solo hay un cruce entre Puruṣa y Virāj (v. 5; Manu 1.32 hace a Virāj hijo de la mitad femenina del Creador). No dice nada de varón y mujer: silencio.</w:t>
      </w:r>
    </w:p>
    <w:p>
      <w:r>
        <w:rPr>
          <w:b/>
        </w:rPr>
        <w:t>El budismo.</w:t>
      </w:r>
    </w:p>
    <w:p>
      <w:pPr>
        <w:pStyle w:val="ListBullet"/>
      </w:pPr>
      <w:r>
        <w:rPr>
          <w:b/>
        </w:rPr>
        <w:t>Aggañña Sutta (DN 27) §11, trad. B. Sujato (CC0) y texto pali de la edición Mahāsaṅgīti</w:t>
      </w:r>
      <w:r>
        <w:t xml:space="preserve"> (canon pali, fijado por escrito hacia el siglo I a. C. (Sri Lanka); fecha de nivel C). DN 27 §11.2. «No se distinguían la luna ni el sol; no se distinguían las estrellas ni las constelaciones; ni las noches ni los días, ni los meses ni las quincenas, ni las estaciones ni los años; no se distinguían la mujer y el varón: los seres se contaban simplemente como “seres”»</w:t>
      </w:r>
      <w:r>
        <w:t xml:space="preserve"> [original: «Na candimasūriyā paññāyanti, na nakkhattāni tārakarūpāni paññāyanti, na rattindivā paññāyanti, na māsaḍḍhamāsā paññāyanti, na utusaṁvaccharā paññāyanti, na itthipumā paññāyanti, sattā sattātveva saṅkhyaṁ gacchanti.», el texto pali de la edición Mahāsaṅgīti]</w:t>
      </w:r>
      <w:r>
        <w:t xml:space="preserve"> (Aggañña Sutta (DN 27) §11)</w:t>
      </w:r>
      <w:r>
        <w:br/>
      </w:r>
      <w:r>
        <w:rPr>
          <w:b/>
        </w:rPr>
        <w:t>leída en su fuente · Aggañña Sutta (DN 27) §11</w:t>
      </w:r>
      <w:r>
        <w:br/>
      </w:r>
      <w:r>
        <w:rPr>
          <w:b/>
        </w:rPr>
        <w:t>Original donde está:</w:t>
      </w:r>
      <w:r>
        <w:t xml:space="preserve"> dn27_pali.json.txt</w:t>
      </w:r>
      <w:r>
        <w:br/>
      </w:r>
      <w:r>
        <w:t>El pasaje literal no está en el archivo de pasajes con este comienzo; la auditoría lo halló en ese original.</w:t>
      </w:r>
      <w:r>
        <w:t xml:space="preserve"> […] «No se encontraban la luna ni el sol, ni estrellas ni constelaciones, ni día ni noche, ni meses ni quincenas, ni años ni estaciones, ni macho ni hembra. A los seres se los conocía simplemente como “seres”»</w:t>
      </w:r>
      <w:r>
        <w:t xml:space="preserve"> [original: «The moon and sun were not found, nor were stars and constellations, day and night, months and fortnights, years and seasons, or male and female. Beings were simply known as ‘beings’.», en la traducción de Sujato]</w:t>
      </w:r>
      <w:r>
        <w:t xml:space="preserve"> (Aggañña Sutta (DN 27) §11)</w:t>
      </w:r>
      <w:r>
        <w:br/>
      </w:r>
      <w:r>
        <w:rPr>
          <w:b/>
        </w:rPr>
        <w:t>leída en su fuente · Aggañña Sutta (DN 27) §11</w:t>
      </w:r>
      <w:r>
        <w:br/>
      </w:r>
      <w:r>
        <w:rPr>
          <w:b/>
        </w:rPr>
        <w:t>Archivo leído:</w:t>
      </w:r>
      <w:r>
        <w:t xml:space="preserve"> sc_dn27.json (ant\india\sc_dn27.json) · contraste del archivo de pasajes: ✔</w:t>
      </w:r>
      <w:r>
        <w:br/>
      </w:r>
      <w:r>
        <w:rPr>
          <w:b/>
        </w:rPr>
        <w:t>Lugar:</w:t>
      </w:r>
      <w:r>
        <w:t xml:space="preserve"> Aggañña Sutta (DN 27) §11</w:t>
      </w:r>
      <w:r>
        <w:br/>
      </w:r>
      <w:r>
        <w:rPr>
          <w:b/>
        </w:rPr>
        <w:t>Tal como está en la fuente:</w:t>
      </w:r>
      <w:r>
        <w:t xml:space="preserve"> The moon and sun were not found, nor were stars and constellations, day and night, months and fortnights, years and seasons, or male and female. Beings were simply known as ‘beings’.</w:t>
      </w:r>
      <w:r>
        <w:t xml:space="preserve">. </w:t>
      </w:r>
      <w:r>
        <w:rPr>
          <w:b/>
        </w:rPr>
        <w:t>Concuerda.</w:t>
      </w:r>
      <w:r>
        <w:t xml:space="preserve"> En el estado primordial no hay macho ni hembra («itthipumā»): los seres son simplemente «seres». Es el equivalente búdico del ser sin sexo anterior a la división.</w:t>
      </w:r>
    </w:p>
    <w:p>
      <w:pPr>
        <w:pStyle w:val="ListBullet"/>
      </w:pPr>
      <w:r>
        <w:rPr>
          <w:b/>
        </w:rPr>
        <w:t>Aggañña Sutta (DN 27) §16, trad. B. Sujato (CC0) y texto pali de la edición Mahāsaṅgīti</w:t>
      </w:r>
      <w:r>
        <w:t xml:space="preserve"> (canon pali, fijado por escrito hacia el siglo I a. C.; fecha de nivel C). DN 27 §16.7-10. «Cuanto más tiempo, Vāseṭṭha, aquellos seres se alimentaron de arroz no cultivado, comiendo de ello y sustentándose con ello durante largo tiempo, tanto más se endureció su cuerpo y se hizo patente la diferencia de aspecto; y a la mujer le apareció el rasgo femenino y al varón el masculino. La mujer miraba demasiado al hombre y el hombre a la mujer. De tanto mirarse les surgió la pasión y la fiebre invadió su cuerpo. Por causa de la fiebre se entregaron a la unión sexual»</w:t>
      </w:r>
      <w:r>
        <w:t xml:space="preserve"> [original: «Yathā yathā kho te, vāseṭṭha, sattā akaṭṭhapākaṁ sāliṁ paribhuñjantā tambhakkhā tadāhārā ciraṁ dīghamaddhānaṁ aṭṭhaṁsu tathā tathā tesaṁ sattānaṁ bhiyyoso mattāya kharattañceva kāyasmiṁ okkami, vaṇṇavevaṇṇatā ca paññāyittha, itthiyā ca itthiliṅgaṁ pāturahosi purisassa ca purisaliṅgaṁ.» «Itthī ca purisaṁ ativelaṁ upanijjhāyati puriso ca itthiṁ.» «Tesaṁ ativelaṁ aññamaññaṁ upanijjhāyataṁ sārāgo udapādi, pariḷāho kāyasmiṁ okkami.» «Te pariḷāhapaccayā methunaṁ dhammaṁ paṭiseviṁsu.», el texto pali de la edición Mahāsaṅgīti]</w:t>
      </w:r>
      <w:r>
        <w:t xml:space="preserve"> (Aggañña Sutta (DN 27) §16)</w:t>
      </w:r>
      <w:r>
        <w:br/>
      </w:r>
      <w:r>
        <w:rPr>
          <w:b/>
        </w:rPr>
        <w:t>leída en su fuente · Aggañña Sutta (DN 27) §16</w:t>
      </w:r>
      <w:r>
        <w:br/>
      </w:r>
      <w:r>
        <w:rPr>
          <w:b/>
        </w:rPr>
        <w:t>Original donde está:</w:t>
      </w:r>
      <w:r>
        <w:t xml:space="preserve"> dn27_pali.json.txt</w:t>
      </w:r>
      <w:r>
        <w:br/>
      </w:r>
      <w:r>
        <w:t>El pasaje literal no está en el archivo de pasajes con este comienzo; la auditoría lo halló en ese original.</w:t>
      </w:r>
      <w:r>
        <w:t xml:space="preserve"> […] «Pero mientras comieron ese arroz maduro no cultivado, sus cuerpos se hicieron más sólidos y se diferenciaron en aspecto. A las mujeres les aparecieron rasgos femeninos y a los hombres rasgos masculinos. Las mujeres pasaban demasiado tiempo mirando a los hombres, y los hombres a las mujeres. Se volvieron lujuriosos y sus cuerpos ardían de fiebre. Por esa fiebre tuvieron sexo entre sí»</w:t>
      </w:r>
      <w:r>
        <w:t xml:space="preserve"> [original: «But so long as they ate that ripe untilled rice, their bodies became more solid and they diverged in appearance. And female characteristics appeared on women, while male characteristics appeared on men.» «Women spent too much time gazing at men, and men at women.» «They became lustful, and their bodies burned with fever.» «Due to this fever they had sex with each other.», en la traducción de Sujato]</w:t>
      </w:r>
      <w:r>
        <w:t xml:space="preserve"> (Aggañña Sutta (DN 27) §16)</w:t>
      </w:r>
      <w:r>
        <w:br/>
      </w:r>
      <w:r>
        <w:rPr>
          <w:b/>
        </w:rPr>
        <w:t>leída en su fuente · Aggañña Sutta (DN 27) §16</w:t>
      </w:r>
      <w:r>
        <w:br/>
      </w:r>
      <w:r>
        <w:rPr>
          <w:b/>
        </w:rPr>
        <w:t>Original donde está:</w:t>
      </w:r>
      <w:r>
        <w:t xml:space="preserve"> dn27_sujato_en.json.txt</w:t>
      </w:r>
      <w:r>
        <w:br/>
      </w:r>
      <w:r>
        <w:t>El pasaje literal no está en el archivo de pasajes con este comienzo; la auditoría lo halló en ese original.</w:t>
      </w:r>
      <w:r>
        <w:t xml:space="preserve">. </w:t>
      </w:r>
      <w:r>
        <w:rPr>
          <w:b/>
        </w:rPr>
        <w:t>Contrapunto.</w:t>
      </w:r>
      <w:r>
        <w:t xml:space="preserve"> Los sexos nacen de una decadencia (el alimento más burdo), con lujuria y fiebre. No dice que la mujer valga menos, pero la diferencia sexual es consecuencia de la caída. Tampoco culpa a un solo sexo: «mujeres… hombres» se miran por igual.</w:t>
      </w:r>
    </w:p>
    <w:p>
      <w:r>
        <w:rPr>
          <w:b/>
        </w:rPr>
        <w:t>El zoroastrismo.</w:t>
      </w:r>
    </w:p>
    <w:p>
      <w:pPr>
        <w:pStyle w:val="ListBullet"/>
      </w:pPr>
      <w:r>
        <w:rPr>
          <w:b/>
        </w:rPr>
        <w:t>Bundahishn cap. 15 (Mashye y Mashyane)</w:t>
      </w:r>
      <w:r>
        <w:t xml:space="preserve"> (redacción final hacia fines del siglo IX d. C. (M. Boyce, citada en el propio archivo: fecha de nivel A para la redacción); la materia es más antigua). Bundahishn 15:2-3 y 5. Su pasaje se ve arriba. Prueba de la fecha, en el propio archivo: «La última redacción importante pertenece, más o menos, a fines del siglo IX»</w:t>
      </w:r>
      <w:r>
        <w:t xml:space="preserve"> [original: «The last important redaction belongs to about the end of the 9th century.»]</w:t>
      </w:r>
      <w:r>
        <w:t xml:space="preserve"> (M. Boyce, citada en el archivo). </w:t>
      </w:r>
      <w:r>
        <w:rPr>
          <w:b/>
        </w:rPr>
        <w:t>Concuerda.</w:t>
      </w:r>
      <w:r>
        <w:t xml:space="preserve"> La primera pareja humana crece de la tierra como una sola planta, unida por los hombros y la cintura, de modo que «no estaba claro cuál era el varón y cuál la hembra»; ambos reciben el mismo aliento y la misma orden de Ormazd («Vosotros sois hombre»).</w:t>
      </w:r>
    </w:p>
    <w:p>
      <w:pPr>
        <w:pStyle w:val="ListBullet"/>
      </w:pPr>
      <w:r>
        <w:rPr>
          <w:b/>
        </w:rPr>
        <w:t>Bundahishn cap. 15 (la primera mentira)</w:t>
      </w:r>
      <w:r>
        <w:t xml:space="preserve"> (redacción final hacia fines del siglo IX d. C. (M. Boyce, citada en el propio archivo: fecha de nivel A para la redacción); la materia es más antigua). Bundahishn 15:6-9 y 20. «6. Ormazd dijo a Mashye y Mashyane: “Vosotros sois hombre, sois el origen del mundo y habéis sido creados por mí perfectos en la devoción; cumplid devotamente el deber de la ley, pensad buenos pensamientos, decid buenas palabras, haced buenas obras y no adoréis a los demonios”. 7. Ambos pensaron primero esto: que uno debía agradar al otro, pues es un hombre para él; y la primera acción que hicieron fue que, al salir, se lavaron a fondo; y las primeras palabras que dijeron fueron que Ormazd creó el agua y la tierra, las plantas y los animales, las estrellas, la luna y el sol, y toda prosperidad cuyo origen y efecto proceden de la manifestación de la rectitud. 8. Y después el antagonismo se lanzó a sus mentes y sus mentes se corrompieron por completo, y exclamaron que el espíritu maligno creó el agua y la tierra, las plantas y los animales y las demás cosas dichas. 9. Aquella falsa palabra se dijo por voluntad de los demonios, y el espíritu maligno se apoderó de este primer goce de ellos; por esa falsa palabra ambos se hicieron malvados, y sus almas están en el infierno hasta la existencia futura»</w:t>
      </w:r>
      <w:r>
        <w:t xml:space="preserve"> [original: «6. Ohrmazd spoke to Mashye and Mashyane thus: 'You are man, you are the ancestry of the world, and you are created perfect in devotion by me; perform devotedly the duty of the law, think good thoughts, speak good words, do good deeds, and worship no demons!' 7. Both of them first thought this, that one of them should please the other, as he is a man for him; and the first deed done by them was this, when they went out they washed themselves thoroughly; and the first words spoken by them were these, that Ohrmazd created the water and earth, plants and animals, the stars, moon, and sun, and all prosperity whose origin and effect are from the manifestation of righteousness. 8. And, afterwards, antagonism rushed into their minds, and their minds were thoroughly corrupted, and they exclaimed that the evil spirit created the water and earth, plants and animals, and the other things as aforesaid. 9. That false speech was spoken through the will of the demons, and the evil spirit possessed himself of this first enjoyment from them; through that false speech they both became wicked, and their souls are in hell until the future existence.», en la traducción de West]</w:t>
      </w:r>
      <w:r>
        <w:t xml:space="preserve"> (Bundahishn 15:6-9)</w:t>
      </w:r>
      <w:r>
        <w:br/>
      </w:r>
      <w:r>
        <w:rPr>
          <w:b/>
        </w:rPr>
        <w:t>leída en su fuente · Bundahishn 15:6-9</w:t>
      </w:r>
      <w:r>
        <w:br/>
      </w:r>
      <w:r>
        <w:rPr>
          <w:b/>
        </w:rPr>
        <w:t>Original donde está:</w:t>
      </w:r>
      <w:r>
        <w:t xml:space="preserve"> bundahis.html.txt</w:t>
      </w:r>
      <w:r>
        <w:br/>
      </w:r>
      <w:r>
        <w:t>El pasaje literal no está en el archivo de pasajes con este comienzo; la auditoría lo halló en ese original.</w:t>
      </w:r>
      <w:r>
        <w:t xml:space="preserve"> […] «20. Y al cumplirse los cincuenta años surgió la fuente del deseo, primero en Mashye y luego en Mashyane, pues Mashye dijo a Mashyane: “Cuando veo tu vergüenza se levantan mis deseos”. Entonces Mashyane dijo: “¡Hermano Mashye! Cuando veo tu gran deseo yo también me agito”»</w:t>
      </w:r>
      <w:r>
        <w:t xml:space="preserve"> [original: «20. And on the completion of fifty years the source of desire arose, first in Mashye and then in Mashyane, for Mashye said to Mashyane thus: 'When I see thy shame my desires arise.' Then Mashyane spoke thus: 'Brother Mashye! when I see thy great desire I am also agitated.», en la traducción de West]</w:t>
      </w:r>
      <w:r>
        <w:t xml:space="preserve"> (Bundahishn 15:20)</w:t>
      </w:r>
      <w:r>
        <w:br/>
      </w:r>
      <w:r>
        <w:rPr>
          <w:b/>
        </w:rPr>
        <w:t>leída en su fuente · Bundahishn 15:20</w:t>
      </w:r>
      <w:r>
        <w:br/>
      </w:r>
      <w:r>
        <w:rPr>
          <w:b/>
        </w:rPr>
        <w:t>Original donde está:</w:t>
      </w:r>
      <w:r>
        <w:t xml:space="preserve"> bundahis.html.txt</w:t>
      </w:r>
      <w:r>
        <w:br/>
      </w:r>
      <w:r>
        <w:t>El pasaje literal no está en el archivo de pasajes con este comienzo; la auditoría lo halló en ese original.</w:t>
      </w:r>
      <w:r>
        <w:t>. Prueba de la fecha, en el propio archivo: «La última redacción importante pertenece, más o menos, a fines del siglo IX»</w:t>
      </w:r>
      <w:r>
        <w:t xml:space="preserve"> [original: «The last important redaction belongs to about the end of the 9th century.»]</w:t>
      </w:r>
      <w:r>
        <w:t xml:space="preserve"> (M. Boyce, citada en el archivo). </w:t>
      </w:r>
      <w:r>
        <w:rPr>
          <w:b/>
        </w:rPr>
        <w:t>Neutro.</w:t>
      </w:r>
      <w:r>
        <w:t xml:space="preserve"> La primera falta (una mentira) la cometen los dos juntos; el deseo aparece primero en el varón. Ni se culpa a la mujer sola ni se la subordina en este pasaje: contrasta con Gn 3, donde la mujer actúa primero y arrastra al varón.</w:t>
      </w:r>
    </w:p>
    <w:p>
      <w:pPr>
        <w:pStyle w:val="ListBullet"/>
      </w:pPr>
      <w:r>
        <w:rPr>
          <w:b/>
        </w:rPr>
        <w:t>Bundahishn cap. 3 (el ataque del Espíritu maligno: Jeh)</w:t>
      </w:r>
      <w:r>
        <w:t xml:space="preserve"> (redacción final hacia fines del siglo IX d. C. (M. Boyce, citada en el propio archivo: fecha de nivel A para la redacción); la materia es más antigua). Bundahishn 3:4-8. «4. Y ella gritó al espíritu maligno así: “¡Levántate, padre nuestro! Pues yo causaré en el mundo ese conflicto del que surgirán la aflicción y el daño de Ormazd y de los arcángeles”. 5. Y ella contó dos veces, una a una, sus propias malas obras, y no le agradó; y aquel espíritu maligno no se levantó de aquella confusión, por miedo al hombre justo. 6. Y de nuevo la malvada Jeh gritó así: “¡Levántate, padre nuestro! Pues en ese conflicto derramaré tanta vejación sobre el hombre justo y el buey laborioso que, por mis obras, no se querrá la vida, y destruiré sus almas vivas (nismo); vejaré el agua, vejaré las plantas, vejaré el fuego de Ormazd, haré que toda la creación de Ormazd sea vejada”. 7. Y contó de tal modo aquellas malas obras por segunda vez, que el espíritu maligno se deleitó y se levantó de aquella confusión; y besó a Jeh en la cabeza, y la impureza que llaman menstruación se hizo patente en Jeh. 8. Gritó a Jeh así: “¿Cuál es tu deseo? Para que yo te lo dé”. Y Jeh gritó al espíritu maligno así: “Un hombre es el deseo; dámelo”»</w:t>
      </w:r>
      <w:r>
        <w:t xml:space="preserve"> [original: «4. And she shouted to the evil spirit thus: 'Rise up, thou father of us! for I will cause that conflict in the world wherefrom the distress and injury of Ohrmazd and the archangels will arise,' 5. And she twice recounted severally her own evil deeds, and it pleased him not; and that wicked evil spirit rose not from that confusion, through fear of the righteous man. 6. And, again, the wicked Jeh shouted thus: 'Rise up, thou father of us! for in that conflict I will shed thus much vexation on the righteous man and the laboring ox that, through my deeds, life will not be wanted, and I will destroy their living souls (nismo); I will vex the water, I will vex the plants, I will vex the fire of Ohrmazd, I will make the whole creation of Ohrmazd vexed.' 7. And she so recounted those evil deeds a second time, that the evil spirit was delighted and started up from that confusion; and he kissed Jeh upon the head, and the pollution which they call menstruation became apparent in Jeh. 8. He shouted to Jeh thus: 'What is thy wish? so that I may give it thee.' And Jeh shouted to the evil spirit thus: 'A man is the wish, so give it to me.'», en la traducción de West]</w:t>
      </w:r>
      <w:r>
        <w:t xml:space="preserve"> (Bundahishn 3:4-8)</w:t>
      </w:r>
      <w:r>
        <w:br/>
      </w:r>
      <w:r>
        <w:rPr>
          <w:b/>
        </w:rPr>
        <w:t>leída en su fuente · Bundahishn 3:4-8</w:t>
      </w:r>
      <w:r>
        <w:br/>
      </w:r>
      <w:r>
        <w:rPr>
          <w:b/>
        </w:rPr>
        <w:t>Original donde está:</w:t>
      </w:r>
      <w:r>
        <w:t xml:space="preserve"> bundahis.html.txt</w:t>
      </w:r>
      <w:r>
        <w:br/>
      </w:r>
      <w:r>
        <w:t>El pasaje literal no está en el archivo de pasajes con este comienzo; la auditoría lo halló en ese original.</w:t>
      </w:r>
      <w:r>
        <w:t>. Prueba de la fecha, en el propio archivo: «La última redacción importante pertenece, más o menos, a fines del siglo IX»</w:t>
      </w:r>
      <w:r>
        <w:t xml:space="preserve"> [original: «The last important redaction belongs to about the end of the 9th century.»]</w:t>
      </w:r>
      <w:r>
        <w:t xml:space="preserve"> (M. Boyce, citada en el archivo). </w:t>
      </w:r>
      <w:r>
        <w:rPr>
          <w:b/>
        </w:rPr>
        <w:t>Contrapunto.</w:t>
      </w:r>
      <w:r>
        <w:t xml:space="preserve"> En el relato zoroástrico del origen del mal, la que despierta al Espíritu maligno es una mujer demoníaca (Jeh, «la impúdica»), y la menstruación «se hizo patente en Jeh» por el beso del Espíritu maligno: lo femenino impuro tiene origen demoníaco. No es la pareja humana (que en el cap. 15 comete la falta a la vez), sino la capa demoníaca de la creación, pero fija un vínculo entre mujer, deseo y mal.</w:t>
      </w:r>
    </w:p>
    <w:p>
      <w:r>
        <w:rPr>
          <w:b/>
        </w:rPr>
        <w:t>Mesopotamia.</w:t>
      </w:r>
    </w:p>
    <w:p>
      <w:pPr>
        <w:pStyle w:val="ListBullet"/>
      </w:pPr>
      <w:r>
        <w:rPr>
          <w:b/>
        </w:rPr>
        <w:t>Enki y Ninmah (ETCSL 1.1.2, Universidad de Oxford)</w:t>
      </w:r>
      <w:r>
        <w:t xml:space="preserve"> (sumerio, copias paleobabilónicas hacia 1900-1600 a. C.; fecha de nivel C). Enki y Ninmah 12-23, 24-37 y 72-74. «¿De verdad estás ahí tumbado, dormido, y …… sin despertar? Los dioses, tus criaturas, están rompiendo sus ……. Hijo mío, ¡despierta de tu lecho! Aplica, por favor, la destreza derivada de tu sabiduría y crea un sustituto (?) para los dioses, para que queden libres de su trabajo»</w:t>
      </w:r>
      <w:r>
        <w:t xml:space="preserve"> [original: «Are you really lying there asleep, and ...... not awake? The gods, your creatures, are smashing their ....... My son, wake up from your bed! Please apply the skill deriving from your wisdom and create a substitute (?) for the gods so that they can be freed from their toil!», en la traducción de la edición ETCSL (Universidad de Oxford)]</w:t>
      </w:r>
      <w:r>
        <w:t xml:space="preserve"> (Enki y Ninmah 12-23)</w:t>
      </w:r>
      <w:r>
        <w:br/>
      </w:r>
      <w:r>
        <w:rPr>
          <w:b/>
        </w:rPr>
        <w:t>leída en su fuente · Enki y Ninmah 12-23</w:t>
      </w:r>
      <w:r>
        <w:br/>
      </w:r>
      <w:r>
        <w:rPr>
          <w:b/>
        </w:rPr>
        <w:t>Original donde está:</w:t>
      </w:r>
      <w:r>
        <w:t xml:space="preserve"> tr112.htm.txt</w:t>
      </w:r>
      <w:r>
        <w:br/>
      </w:r>
      <w:r>
        <w:t>El pasaje literal no está en el archivo de pasajes con este comienzo; la auditoría lo halló en ese original.</w:t>
      </w:r>
      <w:r>
        <w:t xml:space="preserve"> (los puntos suspensivos son lagunas del texto sumerio, tal como las marca la edición) […] «Debes amasar arcilla de lo alto del abzu; las diosas del nacimiento pellizcarán la arcilla y tú darás existencia a la forma»</w:t>
      </w:r>
      <w:r>
        <w:t xml:space="preserve"> [original: «You should knead clay from the top of the abzu ; the birth-goddesses (?) will nip off the clay and you shall bring the form into existence.», en la traducción de la edición ETCSL (Universidad de Oxford)]</w:t>
      </w:r>
      <w:r>
        <w:t xml:space="preserve"> (Enki y Ninmah 24-37)</w:t>
      </w:r>
      <w:r>
        <w:br/>
      </w:r>
      <w:r>
        <w:rPr>
          <w:b/>
        </w:rPr>
        <w:t>leída en su fuente · Enki y Ninmah 24-37</w:t>
      </w:r>
      <w:r>
        <w:br/>
      </w:r>
      <w:r>
        <w:rPr>
          <w:b/>
        </w:rPr>
        <w:t>Archivo leído:</w:t>
      </w:r>
      <w:r>
        <w:t xml:space="preserve"> tr112.htm (cierre_mujer_varon_9oct\mesopotamia_etcsl\tr112.htm) · contraste del archivo de pasajes: ✔</w:t>
      </w:r>
      <w:r>
        <w:br/>
      </w:r>
      <w:r>
        <w:rPr>
          <w:b/>
        </w:rPr>
        <w:t>Lugar:</w:t>
      </w:r>
      <w:r>
        <w:t xml:space="preserve"> Enki y Ninmah 24-37</w:t>
      </w:r>
      <w:r>
        <w:br/>
      </w:r>
      <w:r>
        <w:rPr>
          <w:b/>
        </w:rPr>
        <w:t>Tal como está en la fuente:</w:t>
      </w:r>
      <w:r>
        <w:t xml:space="preserve"> You should knead clay from the top of the abzu ; the birth-goddesses (?) will nip off the clay and you shall bring the form into existence.</w:t>
      </w:r>
      <w:r>
        <w:t xml:space="preserve"> […] «Quinta, modeló a una mujer que no podía dar a luz. Enki miró a la mujer que no podía dar a luz y decretó su destino: la hizo pertenecer a la casa de la reina»</w:t>
      </w:r>
      <w:r>
        <w:t xml:space="preserve"> [original: «Fifth, she fashioned a woman who could not give birth. Enki looked at the woman who could not give birth, and decreed her fate: he made (?) her belong to the queen's household.», en la traducción de la edición ETCSL (Universidad de Oxford)]</w:t>
      </w:r>
      <w:r>
        <w:t xml:space="preserve"> (Enki y Ninmah 72-74)</w:t>
      </w:r>
      <w:r>
        <w:br/>
      </w:r>
      <w:r>
        <w:rPr>
          <w:b/>
        </w:rPr>
        <w:t>leída en su fuente · Enki y Ninmah 72-74</w:t>
      </w:r>
      <w:r>
        <w:br/>
      </w:r>
      <w:r>
        <w:rPr>
          <w:b/>
        </w:rPr>
        <w:t>Archivo leído:</w:t>
      </w:r>
      <w:r>
        <w:t xml:space="preserve"> tr112.htm (cierre_mujer_varon_9oct\mesopotamia_etcsl\tr112.htm) · contraste del archivo de pasajes: ✔</w:t>
      </w:r>
      <w:r>
        <w:br/>
      </w:r>
      <w:r>
        <w:rPr>
          <w:b/>
        </w:rPr>
        <w:t>Lugar:</w:t>
      </w:r>
      <w:r>
        <w:t xml:space="preserve"> Enki y Ninmah 72-74</w:t>
      </w:r>
      <w:r>
        <w:br/>
      </w:r>
      <w:r>
        <w:rPr>
          <w:b/>
        </w:rPr>
        <w:t>Tal como está en la fuente:</w:t>
      </w:r>
      <w:r>
        <w:t xml:space="preserve"> Fifth, she fashioned a woman who could not give birth. Enki looked at the woman who could not give birth, and decreed her fate: he made (?) her belong to the queen's household.</w:t>
      </w:r>
      <w:r>
        <w:t xml:space="preserve">. </w:t>
      </w:r>
      <w:r>
        <w:rPr>
          <w:b/>
        </w:rPr>
        <w:t>Neutro.</w:t>
      </w:r>
      <w:r>
        <w:t xml:space="preserve"> El hombre se hace de arcilla, por obra de la diosa Namma (madre primordial) y la diosa Ninmah, con Enki que decide los destinos, para aliviar a los dioses del trabajo. Varones y mujeres entran en la lista de criaturas sin que se fije un orden; la mujer es creadora (Namma, Ninmah) y también una de las «criaturas» (la que no puede dar a luz).</w:t>
      </w:r>
    </w:p>
    <w:p>
      <w:pPr>
        <w:pStyle w:val="ListBullet"/>
      </w:pPr>
      <w:r>
        <w:rPr>
          <w:b/>
        </w:rPr>
        <w:t>Atrahasis, versión antigua, col. IV (trad. A. T. Clay, 1922, reproducida en la página de J. Colavito)</w:t>
      </w:r>
      <w:r>
        <w:t xml:space="preserve"> (siglo XVIII a. C. (fecha de nivel A, con la prueba del archivo que se cita)). Atrahasis (Clay) col. IV, 1-11. Su pasaje se ve arriba. Prueba de la fecha, en el propio archivo: «siglo XVIII a. C.; traducida por Albert T. Clay, 1922»</w:t>
      </w:r>
      <w:r>
        <w:t xml:space="preserve"> [original: «18th Century BCE translated by Albert T. Clay 1922»]</w:t>
      </w:r>
      <w:r>
        <w:t xml:space="preserve">. </w:t>
      </w:r>
      <w:r>
        <w:rPr>
          <w:b/>
        </w:rPr>
        <w:t>Concuerda.</w:t>
      </w:r>
      <w:r>
        <w:t xml:space="preserve"> Catorce trozos de la misma arcilla, siete a cada lado: «siete muchachos formados… siete muchachas formadas», a la vez y por la misma diosa del parto (Mami/Nintu). Es la creación conjunta e igual de varones y mujeres. Cautelas: la traducción de Clay (1922) tiene errores reconocidos en la propia página (lee el babilonio desde el hebreo) y se lee en una página personal; la edición crítica (Lambert y Millard, 1969) no se pudo consultar: por eso nivel B. El catálogo de 07/fuentes decía que este archivo no traía la creación del hombre: sí la trae.</w:t>
      </w:r>
    </w:p>
    <w:p>
      <w:pPr>
        <w:pStyle w:val="ListBullet"/>
      </w:pPr>
      <w:r>
        <w:rPr>
          <w:b/>
        </w:rPr>
        <w:t>Enuma Elish, tablilla VI (trad. L. W. King, 1902)</w:t>
      </w:r>
      <w:r>
        <w:t xml:space="preserve"> (babilonio, tablillas del siglo VII a. C. de la biblioteca de Asurbanipal; composición anterior (hacia el siglo XII a. C. según la hipótesis habitual); fecha de nivel C). Enuma Elish VI, 5-8. «5. “Tomaré mi sangre y [modelaré] hueso, 6. haré al hombre, para que el hombre… 7. crearé al hombre que habite [la tierra], 8. para que se establezca el servicio de los dioses y [se construyan] sus santuarios”»</w:t>
      </w:r>
      <w:r>
        <w:t xml:space="preserve"> [original: «5. "My blood will I take and bone will I [fashion], 6. "I will make man, that man may ... [...]. 7. "I will create man who shall inhabit [the earth]," p. 88 p. 89 8. "That the service of the gods may be established, and that [their] shrines», en la traducción de King]</w:t>
      </w:r>
      <w:r>
        <w:t xml:space="preserve"> (Enuma Elish VI, 5-8)</w:t>
      </w:r>
      <w:r>
        <w:br/>
      </w:r>
      <w:r>
        <w:rPr>
          <w:b/>
        </w:rPr>
        <w:t>leída en su fuente · Enuma Elish VI, 5-8</w:t>
      </w:r>
      <w:r>
        <w:br/>
      </w:r>
      <w:r>
        <w:rPr>
          <w:b/>
        </w:rPr>
        <w:t>Original donde está:</w:t>
      </w:r>
      <w:r>
        <w:t xml:space="preserve"> stc09.htm.txt</w:t>
      </w:r>
      <w:r>
        <w:br/>
      </w:r>
      <w:r>
        <w:t>El pasaje literal no está en el archivo de pasajes con este comienzo; la auditoría lo halló en ese original.</w:t>
      </w:r>
      <w:r>
        <w:t xml:space="preserve">. </w:t>
      </w:r>
      <w:r>
        <w:rPr>
          <w:b/>
        </w:rPr>
        <w:t>Neutro.</w:t>
      </w:r>
      <w:r>
        <w:t xml:space="preserve"> El hombre (el texto dice solo «man») se hace de sangre y hueso de un dios para servir a los dioses. No hay mujer ni diferencia de sexos en la creación del hombre: silencio expreso.</w:t>
      </w:r>
    </w:p>
    <w:p>
      <w:pPr>
        <w:pStyle w:val="ListBullet"/>
      </w:pPr>
      <w:r>
        <w:rPr>
          <w:b/>
        </w:rPr>
        <w:t>Enuma Elish, «Otra versión de la creación» (tablilla de King V; trad. L. W. King, 1902)</w:t>
      </w:r>
      <w:r>
        <w:t xml:space="preserve"> (babilonio, siglo VII a. C. (copia); fecha de nivel C). «Otra versión», 20-21. «20. Formó la humanidad. 21. La diosa Aruru, junto con él, creó la semilla de la humanidad»</w:t>
      </w:r>
      <w:r>
        <w:t xml:space="preserve"> [original: «20. He formed mankind. 21. The goddess Aruru together with him 1 created the seed of mankind.», en la traducción de King]</w:t>
      </w:r>
      <w:r>
        <w:t xml:space="preserve"> (Enuma Elish, Otra versión de la creación, 20-21)</w:t>
      </w:r>
      <w:r>
        <w:br/>
      </w:r>
      <w:r>
        <w:rPr>
          <w:b/>
        </w:rPr>
        <w:t>leída en su fuente · Enuma Elish, Otra versión de la creación, 20-21</w:t>
      </w:r>
      <w:r>
        <w:br/>
      </w:r>
      <w:r>
        <w:rPr>
          <w:b/>
        </w:rPr>
        <w:t>Archivo leído:</w:t>
      </w:r>
      <w:r>
        <w:t xml:space="preserve"> stc15.htm (cierre_mujer_varon_9oct\enuma_elish_king\stc15.htm) · contraste del archivo de pasajes: ✔</w:t>
      </w:r>
      <w:r>
        <w:br/>
      </w:r>
      <w:r>
        <w:rPr>
          <w:b/>
        </w:rPr>
        <w:t>Lugar:</w:t>
      </w:r>
      <w:r>
        <w:t xml:space="preserve"> Enuma Elish, Otra versión de la creación, 20-21</w:t>
      </w:r>
      <w:r>
        <w:br/>
      </w:r>
      <w:r>
        <w:rPr>
          <w:b/>
        </w:rPr>
        <w:t>Tal como está en la fuente:</w:t>
      </w:r>
      <w:r>
        <w:t xml:space="preserve"> 20. He formed mankind. 21. The goddess Aruru together with him 1 created the seed of mankind.</w:t>
      </w:r>
      <w:r>
        <w:t xml:space="preserve">. </w:t>
      </w:r>
      <w:r>
        <w:rPr>
          <w:b/>
        </w:rPr>
        <w:t>Neutro.</w:t>
      </w:r>
      <w:r>
        <w:t xml:space="preserve"> La humanidad (sin distinguir sexos) la forma Marduk con la diosa Aruru; la mitad de la creación es obra de una diosa. No dice nada de varón y mujer.</w:t>
      </w:r>
    </w:p>
    <w:p>
      <w:pPr>
        <w:pStyle w:val="ListBullet"/>
      </w:pPr>
      <w:r>
        <w:rPr>
          <w:b/>
        </w:rPr>
        <w:t>Epopeya de Gilgamesh, tablilla de Pensilvania (Langdon, 1917), columnas II-III</w:t>
      </w:r>
      <w:r>
        <w:t xml:space="preserve"> (paleobabilonio, hacia 1800 a. C.; fecha de nivel C). Gilgamesh (Pensilvania) II-III. «Seis días y siete noches vino Enkidu y cohabitó con la cortesana. La hierodula abrió la boca y habló a Enkidu: “Te contemplo, Enkidu: eres como un dios. ¿Por qué andas con los animales por la llanura? ¡Ven! Te llevaré al centro de Uruk, la de anchos espacios, hasta la casa santa, morada de Anu. Oh Enkidu, levántate, te conduciré a Eanna, morada de Anu, donde Gilgamesh [oprime] a las almas de los hombres (?). Y yo ............ tú ........ tú mismo. Ven, levántate del suelo hacia el lugar de allá (?) del pastor”. Oyó sus palabras y las aceptó con agrado. El consejo de la mujer cayó en su corazón»</w:t>
      </w:r>
      <w:r>
        <w:t xml:space="preserve"> [original: «Six days and seven nights came forth Enkidu and cohabited with the courtesan. The hierodule opened her mouth speaking unto Enkidu. "I behold thee Enkidu; like a god thou art. Why with the animals wanderest thou on the plain? Come! I will lead thee into the midst of Erech of the wide places, even unto the holy house, dwelling place of Anu. Oh Enkidu, arise, I will conduct thee unto Eanna dwelling place of Anu, where Gilgamish [</w:t>
      </w:r>
      <w:r>
        <w:rPr>
          <w:i/>
        </w:rPr>
        <w:t>oppresses</w:t>
      </w:r>
      <w:r>
        <w:t>] the souls of men(?) And as I ............ thou shalt ........ thyself. Come thou, arise from the ground unto the place yonder (?) of the shepherd." He heard her speak and accepted her words with favor. The advice of the woman fell upon his heart.», en la traducción de Langdon]</w:t>
      </w:r>
      <w:r>
        <w:t xml:space="preserve"> (Epopeya de Gilgamesh, tablilla de Pensilvania II-III)</w:t>
      </w:r>
      <w:r>
        <w:br/>
      </w:r>
      <w:r>
        <w:rPr>
          <w:b/>
        </w:rPr>
        <w:t>leída en su fuente · Epopeya de Gilgamesh, tablilla de Pensilvania II-III</w:t>
      </w:r>
      <w:r>
        <w:br/>
      </w:r>
      <w:r>
        <w:rPr>
          <w:b/>
        </w:rPr>
        <w:t>Original donde está:</w:t>
      </w:r>
      <w:r>
        <w:t xml:space="preserve"> pg18897.txt</w:t>
      </w:r>
      <w:r>
        <w:br/>
      </w:r>
      <w:r>
        <w:t>El pasaje literal no está en el archivo de pasajes con este comienzo; la auditoría lo halló en ese original.</w:t>
      </w:r>
      <w:r>
        <w:t xml:space="preserve">. </w:t>
      </w:r>
      <w:r>
        <w:rPr>
          <w:b/>
        </w:rPr>
        <w:t>Neutro.</w:t>
      </w:r>
      <w:r>
        <w:t xml:space="preserve"> No hay creación de la mujer, pero sí un papel inverso al de Gn 3: la mujer saca al varón del estado animal y lo vuelve «como un dios» (humano, civilizado). El texto no la presenta como causa de mal.</w:t>
      </w:r>
    </w:p>
    <w:p>
      <w:r>
        <w:rPr>
          <w:b/>
        </w:rPr>
        <w:t>Egipto.</w:t>
      </w:r>
    </w:p>
    <w:p>
      <w:pPr>
        <w:pStyle w:val="ListBullet"/>
      </w:pPr>
      <w:r>
        <w:rPr>
          <w:b/>
        </w:rPr>
        <w:t>Textos de las Pirámides, enunciado 527 y 600 (trad. S. A. B. Mercer, 1952)</w:t>
      </w:r>
      <w:r>
        <w:t xml:space="preserve"> (hacia 2350-2175 a. C. (Mercer, según el índice del archivo: fecha de nivel A); composición quizá anterior). Pirámides, enunc. 527 (§1248) y 600 (§1652). «Enunciado 527. 1248a. Para decir: Atum creó por su masturbación en Heliópolis. 1248b. Puso su falo en su puño, 1248c. para excitar así el deseo. 1248d. Nacieron los gemelos, Shu y Tefnut»</w:t>
      </w:r>
      <w:r>
        <w:t xml:space="preserve"> [original: «Utterance 527 . 1248a. To say: Atum created by his masturbation in Heliopolis. 1248b. He put his phallus in his fist, 1248c. to excite desire thereby. 1248d. The twins were born, Shu and Tefnut.», en la traducción de Mercer]</w:t>
      </w:r>
      <w:r>
        <w:t xml:space="preserve"> (Textos de las Pirámides, enunciado 527 (§1248))</w:t>
      </w:r>
      <w:r>
        <w:br/>
      </w:r>
      <w:r>
        <w:rPr>
          <w:b/>
        </w:rPr>
        <w:t>leída en su fuente · Textos de las Pirámides, enunciado 527 (§1248)</w:t>
      </w:r>
      <w:r>
        <w:br/>
      </w:r>
      <w:r>
        <w:rPr>
          <w:b/>
        </w:rPr>
        <w:t>Archivo leído:</w:t>
      </w:r>
      <w:r>
        <w:t xml:space="preserve"> pyt28.htm (cierre_mujer_varon_9oct\egipto_piramides_mercer\pyt28.htm) · contraste del archivo de pasajes: ✔</w:t>
      </w:r>
      <w:r>
        <w:br/>
      </w:r>
      <w:r>
        <w:rPr>
          <w:b/>
        </w:rPr>
        <w:t>Lugar:</w:t>
      </w:r>
      <w:r>
        <w:t xml:space="preserve"> Textos de las Pirámides, enunciado 527 (§1248)</w:t>
      </w:r>
      <w:r>
        <w:br/>
      </w:r>
      <w:r>
        <w:rPr>
          <w:b/>
        </w:rPr>
        <w:t>Tal como está en la fuente:</w:t>
      </w:r>
      <w:r>
        <w:t xml:space="preserve"> Utterance 527 . 1248a. To say: Atum created by his masturbation in Heliopolis. 1248b. He put his phallus in his fist, 1248c. to excite desire thereby. 1248d. The twins were born, Shu and Tefnut.</w:t>
      </w:r>
      <w:r>
        <w:t xml:space="preserve"> […] «Enunciado 600. 1652a. Para decir: ¡Oh Atum-Jepri, cuando subiste como colina, 1652b. y brillaste como bnw del ben (o benben) en el templo del “fénix” en Heliópolis, 1652c. y vomitaste como Shu y escupiste como Tefnut,»</w:t>
      </w:r>
      <w:r>
        <w:t xml:space="preserve"> [original: «Utterance 600 . 1652a. To say: O Atum-Khepri, when thou didst mount as a hill, 1652b. and didst shine as bnw of the ben (or, benben) in the temple of the "phoenix" in Heliopolis, 1652c. and didst spew out as Shu, and did spit out as Tefnut,», en la traducción de Mercer]</w:t>
      </w:r>
      <w:r>
        <w:t xml:space="preserve"> (Textos de las Pirámides, enunciado 600 (§1652))</w:t>
      </w:r>
      <w:r>
        <w:br/>
      </w:r>
      <w:r>
        <w:rPr>
          <w:b/>
        </w:rPr>
        <w:t>leída en su fuente · Textos de las Pirámides, enunciado 600 (§1652)</w:t>
      </w:r>
      <w:r>
        <w:br/>
      </w:r>
      <w:r>
        <w:rPr>
          <w:b/>
        </w:rPr>
        <w:t>Original donde está:</w:t>
      </w:r>
      <w:r>
        <w:t xml:space="preserve"> pyt43.htm.txt</w:t>
      </w:r>
      <w:r>
        <w:br/>
      </w:r>
      <w:r>
        <w:t>El pasaje literal no está en el archivo de pasajes con este comienzo; la auditoría lo halló en ese original.</w:t>
      </w:r>
      <w:r>
        <w:t>. Prueba de la fecha, en el propio archivo: «Estos se remontan a las dinastías quinta y sexta, aproximadamente los años 2350-2175 a. C.»</w:t>
      </w:r>
      <w:r>
        <w:t xml:space="preserve"> [original: «These date back to the fifth and sixth dynasties, approximately the years 2350-2175 B.C.E.»]</w:t>
      </w:r>
      <w:r>
        <w:t xml:space="preserve">. </w:t>
      </w:r>
      <w:r>
        <w:rPr>
          <w:b/>
        </w:rPr>
        <w:t>Concuerda.</w:t>
      </w:r>
      <w:r>
        <w:t xml:space="preserve"> Del dios uno (Atum) nace por sí solo una pareja de «gemelos», varón (Shu) y hembra (Tefnut), a la vez: el Uno que produce la dualidad complementaria. (Es cosmogonía de dioses, no de hombres.)</w:t>
      </w:r>
    </w:p>
    <w:p>
      <w:pPr>
        <w:pStyle w:val="ListBullet"/>
      </w:pPr>
      <w:r>
        <w:rPr>
          <w:b/>
        </w:rPr>
        <w:t>Instrucción para Merikare (trad. A. M. Blackman en A. Erman, The Literature of the Ancient Egyptians, 1927)</w:t>
      </w:r>
      <w:r>
        <w:t xml:space="preserve"> (hacia 2100 a. C. (Primer Periodo Intermedio-Reino Medio); fecha de nivel C). Merikare (Erman, 1927). «Bien cuidados están los hombres, el ganado de Dios. Él hizo el cielo y la tierra según su deseo. Calmó la sed de agua. Hizo el aire para que sus narices vivan. Ellos son sus imágenes, que han salido de sus miembros»</w:t>
      </w:r>
      <w:r>
        <w:t xml:space="preserve"> [original: «Well tended are men, the cattle of God. He made heaven and earth according to their desire. He allayed the thirst (?) for water. He made the air that their nostrils may live. They are His images, that have proceeded from His limbs.», en la traducción de Blackman]</w:t>
      </w:r>
      <w:r>
        <w:t xml:space="preserve"> (Instrucción para Merikare)</w:t>
      </w:r>
      <w:r>
        <w:br/>
      </w:r>
      <w:r>
        <w:rPr>
          <w:b/>
        </w:rPr>
        <w:t>leída en su fuente · Instrucción para Merikare</w:t>
      </w:r>
      <w:r>
        <w:br/>
      </w:r>
      <w:r>
        <w:rPr>
          <w:b/>
        </w:rPr>
        <w:t>Original donde está:</w:t>
      </w:r>
      <w:r>
        <w:t xml:space="preserve"> extracto_Erman_Literature_of_the_Ancient_Egyptians.txt</w:t>
      </w:r>
      <w:r>
        <w:br/>
      </w:r>
      <w:r>
        <w:t>El pasaje literal no está en el archivo de pasajes con este comienzo; la auditoría lo halló en ese original.</w:t>
      </w:r>
      <w:r>
        <w:t xml:space="preserve">. </w:t>
      </w:r>
      <w:r>
        <w:rPr>
          <w:b/>
        </w:rPr>
        <w:t>Neutro.</w:t>
      </w:r>
      <w:r>
        <w:t xml:space="preserve"> Los hombres (en egipcio, la humanidad) son «imágenes» de Dios salidas de sus miembros. No distingue sexos ni habla de la mujer: ni concuerda ni es contrapunto.</w:t>
      </w:r>
    </w:p>
    <w:p>
      <w:pPr>
        <w:pStyle w:val="ListBullet"/>
      </w:pPr>
      <w:r>
        <w:rPr>
          <w:b/>
        </w:rPr>
        <w:t>Instrucción de Ptahhotep, máxima 21 (trad. B. Gunn, 1906)</w:t>
      </w:r>
      <w:r>
        <w:t xml:space="preserve"> (atribuida al Reino Antiguo; copias del Reino Medio, hacia 2000-1800 a. C.; fecha de nivel C). Ptahhotep 21. «21. Si quieres ser sabio, provee a tu casa y ama a tu mujer, que está en tus brazos. Llena su estómago, viste su espalda; el aceite es el remedio de sus miembros. Alegra su corazón mientras vivas, pues es una hacienda provechosa para su señor. No seas duro, pues la dulzura la domina más que la fuerza»</w:t>
      </w:r>
      <w:r>
        <w:t xml:space="preserve"> [original: «21. If thou wouldest be wise, provide for thine house, and love thy wife that is in thine arms. Fill her stomach, clothe her back; oil is the remedy of her limbs. Gladden her heart during thy lifetime, for she is an estate profitable unto its lord. Be not harsh, for gentleness mastereth her more than strength.», en la traducción de Gunn]</w:t>
      </w:r>
      <w:r>
        <w:t xml:space="preserve"> (Instrucción de Ptahhotep, máxima 21)</w:t>
      </w:r>
      <w:r>
        <w:br/>
      </w:r>
      <w:r>
        <w:rPr>
          <w:b/>
        </w:rPr>
        <w:t>leída en su fuente · Instrucción de Ptahhotep, máxima 21</w:t>
      </w:r>
      <w:r>
        <w:br/>
      </w:r>
      <w:r>
        <w:rPr>
          <w:b/>
        </w:rPr>
        <w:t>Original donde está:</w:t>
      </w:r>
      <w:r>
        <w:t xml:space="preserve"> pg30508.txt</w:t>
      </w:r>
      <w:r>
        <w:br/>
      </w:r>
      <w:r>
        <w:t>El pasaje literal no está en el archivo de pasajes con este comienzo; la auditoría lo halló en ese original.</w:t>
      </w:r>
      <w:r>
        <w:t xml:space="preserve">. </w:t>
      </w:r>
      <w:r>
        <w:rPr>
          <w:b/>
        </w:rPr>
        <w:t>Contrapunto.</w:t>
      </w:r>
      <w:r>
        <w:t xml:space="preserve"> Recomienda buen trato, pero la mujer es «una hacienda provechosa para su señor» (el marido) y se la «domina» con dulzura: bienestar sin igualdad, en un texto sin relato de creación.</w:t>
      </w:r>
    </w:p>
    <w:p>
      <w:r>
        <w:rPr>
          <w:b/>
        </w:rPr>
        <w:t>Grecia.</w:t>
      </w:r>
    </w:p>
    <w:p>
      <w:pPr>
        <w:pStyle w:val="ListBullet"/>
      </w:pPr>
      <w:r>
        <w:rPr>
          <w:b/>
        </w:rPr>
        <w:t>Hesíodo, Teogonía 570-612 (Pandora; trad. H. G. Evelyn-White, 1914)</w:t>
      </w:r>
      <w:r>
        <w:t xml:space="preserve"> (hacia 700 a. C.; fecha de nivel C). Teogonía 570-612. Su pasaje se ve arriba. </w:t>
      </w:r>
      <w:r>
        <w:rPr>
          <w:b/>
        </w:rPr>
        <w:t>Contrapunto.</w:t>
      </w:r>
      <w:r>
        <w:t xml:space="preserve"> La primera mujer se crea como castigo (un «mal hermoso») y de ella desciende «la raza de las mujeres», comparada con zánganos; el hombre ya existía, de modo que la mujer llega después y como daño. Es uno de los relatos de origen más duros con la mujer del conjunto.</w:t>
      </w:r>
    </w:p>
    <w:p>
      <w:pPr>
        <w:pStyle w:val="ListBullet"/>
      </w:pPr>
      <w:r>
        <w:rPr>
          <w:b/>
        </w:rPr>
        <w:t>Hesíodo, Trabajos y días 54-105 (Pandora; trad. H. G. Evelyn-White, 1914)</w:t>
      </w:r>
      <w:r>
        <w:t xml:space="preserve"> (hacia 700 a. C.; fecha de nivel C). Trabajos y días 60-105. «Y mandó al famoso Hefesto que se diera prisa en mezclar tierra con agua y en ponerle voz y fuerza humanas, y en modelar una doncella dulce y hermosa, de rostro semejante a las diosas inmortales; y a Atenea, que le enseñara la labor y el tejido de la tela variada; y a la áurea Afrodita, que derramara gracia sobre su cabeza y deseo cruel y cuidados que fatigan los miembros. Y encargó a Hermes, el guía, matador de Argos, que pusiera en ella una mente desvergonzada y una naturaleza engañosa»</w:t>
      </w:r>
      <w:r>
        <w:t xml:space="preserve"> [original: «And he bade famous Hephaestus make haste and mix earth with water and to put in it the voice and strength of human kind, and fashion a sweet, lovely maiden-shape, like to the immortal goddesses in face; and Athene to teach her needlework and the weaving of the varied web; and golden Aphrodite to shed grace upon her head and cruel longing and cares that weary the limbs. And he charged Hermes the guide, the Slayer of Argus, to put in her a shameless mind and a deceitful nature.», en la traducción de Evelyn-White]</w:t>
      </w:r>
      <w:r>
        <w:t xml:space="preserve"> (Hesíodo, Trabajos y días 60-105)</w:t>
      </w:r>
      <w:r>
        <w:br/>
      </w:r>
      <w:r>
        <w:rPr>
          <w:b/>
        </w:rPr>
        <w:t>leída en su fuente · Hesíodo, Trabajos y días 60-105</w:t>
      </w:r>
      <w:r>
        <w:br/>
      </w:r>
      <w:r>
        <w:rPr>
          <w:b/>
        </w:rPr>
        <w:t>Original donde está:</w:t>
      </w:r>
      <w:r>
        <w:t xml:space="preserve"> pg348.txt</w:t>
      </w:r>
      <w:r>
        <w:br/>
      </w:r>
      <w:r>
        <w:t>El pasaje literal no está en el archivo de pasajes con este comienzo; la auditoría lo halló en ese original.</w:t>
      </w:r>
      <w:r>
        <w:t xml:space="preserve"> […] «Pero la mujer quitó con sus manos la gran tapa de la jarra y esparció todos esos [males], y su pensamiento causó pena y daño a los hombres»</w:t>
      </w:r>
      <w:r>
        <w:t xml:space="preserve"> [original: «But the woman took off the great lid of the jar 1303 with her hands and scattered all these and her thought caused sorrow and mischief to men.», en la traducción de Evelyn-White]</w:t>
      </w:r>
      <w:r>
        <w:t xml:space="preserve"> (Hesíodo, Trabajos y días 60-105)</w:t>
      </w:r>
      <w:r>
        <w:br/>
      </w:r>
      <w:r>
        <w:rPr>
          <w:b/>
        </w:rPr>
        <w:t>leída en su fuente · Hesíodo, Trabajos y días 60-105</w:t>
      </w:r>
      <w:r>
        <w:br/>
      </w:r>
      <w:r>
        <w:rPr>
          <w:b/>
        </w:rPr>
        <w:t>Archivo leído:</w:t>
      </w:r>
      <w:r>
        <w:t xml:space="preserve"> hes.txt (ant\hes.txt) · contraste del archivo de pasajes: ✔</w:t>
      </w:r>
      <w:r>
        <w:br/>
      </w:r>
      <w:r>
        <w:rPr>
          <w:b/>
        </w:rPr>
        <w:t>Lugar:</w:t>
      </w:r>
      <w:r>
        <w:t xml:space="preserve"> Hesíodo, Trabajos y días 60-105</w:t>
      </w:r>
      <w:r>
        <w:br/>
      </w:r>
      <w:r>
        <w:rPr>
          <w:b/>
        </w:rPr>
        <w:t>Tal como está en la fuente:</w:t>
      </w:r>
      <w:r>
        <w:t xml:space="preserve"> But the woman took off the great lid of the jar 1303 with her hands and scattered all these and her thought caused sorrow and mischief to men.</w:t>
      </w:r>
      <w:r>
        <w:t xml:space="preserve"> (el número 1303 es una nota de la edición). </w:t>
      </w:r>
      <w:r>
        <w:rPr>
          <w:b/>
        </w:rPr>
        <w:t>Contrapunto.</w:t>
      </w:r>
      <w:r>
        <w:t xml:space="preserve"> La mujer, modelada de tierra y agua como regalo envenenado, trae «una mente desvergonzada y una naturaleza engañosa» y suelta los males: la mujer como causa del mal, creada después del hombre y del fuego robado. Es paralela a Gn 3.</w:t>
      </w:r>
    </w:p>
    <w:p>
      <w:pPr>
        <w:pStyle w:val="ListBullet"/>
      </w:pPr>
      <w:r>
        <w:rPr>
          <w:b/>
        </w:rPr>
        <w:t>Platón, El Banquete 189d-191d (discurso de Aristófanes; trad. B. Jowett)</w:t>
      </w:r>
      <w:r>
        <w:t xml:space="preserve"> (Atenas, hacia 385-370 a. C.; fecha de nivel C). Banquete 189d-193d. Su pasaje se ve arriba. </w:t>
      </w:r>
      <w:r>
        <w:rPr>
          <w:b/>
        </w:rPr>
        <w:t>Concuerda.</w:t>
      </w:r>
      <w:r>
        <w:t xml:space="preserve"> El ser primitivo era doble y esférico («redondo»); los dioses lo cortan en dos y cada mitad busca a la otra: «hacer uno de dos». (Es un discurso cómico en boca de Aristófanes, y reparte tres géneros originales —varón, mujer y andrógino—, no solo dos.)</w:t>
      </w:r>
    </w:p>
    <w:p>
      <w:pPr>
        <w:pStyle w:val="ListBullet"/>
      </w:pPr>
      <w:r>
        <w:rPr>
          <w:b/>
        </w:rPr>
        <w:t>Platón, Timeo 42b-d y 90e-91d (trad. B. Jowett)</w:t>
      </w:r>
      <w:r>
        <w:t xml:space="preserve"> (Atenas, hacia 360 a. C.; fecha de nivel C). Timeo 42b-c; 90e-91a; 91d. «Pero si no lo lograba, en el segundo nacimiento pasaría a una mujer»</w:t>
      </w:r>
      <w:r>
        <w:t xml:space="preserve"> [original: «But if he failed in attaining this, at the second birth he would pass into a woman,», en la traducción de Jowett]</w:t>
      </w:r>
      <w:r>
        <w:t xml:space="preserve"> (Platón, Timeo 42b-c)</w:t>
      </w:r>
      <w:r>
        <w:br/>
      </w:r>
      <w:r>
        <w:rPr>
          <w:b/>
        </w:rPr>
        <w:t>leída en su fuente · Platón, Timeo 42b-c</w:t>
      </w:r>
      <w:r>
        <w:br/>
      </w:r>
      <w:r>
        <w:rPr>
          <w:b/>
        </w:rPr>
        <w:t>Archivo leído:</w:t>
      </w:r>
      <w:r>
        <w:t xml:space="preserve"> pg1572.txt (cierre_B3_B4_9oct\platon_timeo_gutenberg\pg1572.txt) · contraste del archivo de pasajes: ✔</w:t>
      </w:r>
      <w:r>
        <w:br/>
      </w:r>
      <w:r>
        <w:rPr>
          <w:b/>
        </w:rPr>
        <w:t>Lugar:</w:t>
      </w:r>
      <w:r>
        <w:t xml:space="preserve"> Platón, Timeo 42b-c</w:t>
      </w:r>
      <w:r>
        <w:br/>
      </w:r>
      <w:r>
        <w:rPr>
          <w:b/>
        </w:rPr>
        <w:t>Tal como está en la fuente:</w:t>
      </w:r>
      <w:r>
        <w:t xml:space="preserve"> But if he failed in attaining this, at the second birth he would pass into a woman,</w:t>
      </w:r>
      <w:r>
        <w:t xml:space="preserve"> […] «De los hombres que vinieron al mundo, es razonable suponer que los cobardes o los que llevaron una vida injusta cambiaron a la naturaleza de mujeres en la segunda generación»</w:t>
      </w:r>
      <w:r>
        <w:t xml:space="preserve"> [original: «Of the men who came into the world, those who were cowards or led unrighteous lives may with reason be supposed to have changed into the nature of women in the second generation.», en la traducción de Jowett]</w:t>
      </w:r>
      <w:r>
        <w:t xml:space="preserve"> (Platón, Timeo 90e-91a)</w:t>
      </w:r>
      <w:r>
        <w:br/>
      </w:r>
      <w:r>
        <w:rPr>
          <w:b/>
        </w:rPr>
        <w:t>leída en su fuente · Platón, Timeo 90e-91a</w:t>
      </w:r>
      <w:r>
        <w:br/>
      </w:r>
      <w:r>
        <w:rPr>
          <w:b/>
        </w:rPr>
        <w:t>Archivo leído:</w:t>
      </w:r>
      <w:r>
        <w:t xml:space="preserve"> pg1572.txt (cierre_B3_B4_9oct\platon_timeo_gutenberg\pg1572.txt) · contraste del archivo de pasajes: ✔</w:t>
      </w:r>
      <w:r>
        <w:br/>
      </w:r>
      <w:r>
        <w:rPr>
          <w:b/>
        </w:rPr>
        <w:t>Lugar:</w:t>
      </w:r>
      <w:r>
        <w:t xml:space="preserve"> Platón, Timeo 90e-91a</w:t>
      </w:r>
      <w:r>
        <w:br/>
      </w:r>
      <w:r>
        <w:rPr>
          <w:b/>
        </w:rPr>
        <w:t>Tal como está en la fuente:</w:t>
      </w:r>
      <w:r>
        <w:t xml:space="preserve"> Of the men who came into the world, those who were cowards or led unrighteous lives may with reason be supposed to have changed into the nature of women in the second generation.</w:t>
      </w:r>
      <w:r>
        <w:t xml:space="preserve"> […] «Así fueron creadas las mujeres y el sexo femenino en general»</w:t>
      </w:r>
      <w:r>
        <w:t xml:space="preserve"> [original: «Thus were created women and the female sex in general.», en la traducción de Jowett]</w:t>
      </w:r>
      <w:r>
        <w:t xml:space="preserve"> (Platón, Timeo 91d)</w:t>
      </w:r>
      <w:r>
        <w:br/>
      </w:r>
      <w:r>
        <w:rPr>
          <w:b/>
        </w:rPr>
        <w:t>leída en su fuente · Platón, Timeo 91d</w:t>
      </w:r>
      <w:r>
        <w:br/>
      </w:r>
      <w:r>
        <w:rPr>
          <w:b/>
        </w:rPr>
        <w:t>Archivo leído:</w:t>
      </w:r>
      <w:r>
        <w:t xml:space="preserve"> pg1572.txt (cierre_B3_B4_9oct\platon_timeo_gutenberg\pg1572.txt) · contraste del archivo de pasajes: ✔</w:t>
      </w:r>
      <w:r>
        <w:br/>
      </w:r>
      <w:r>
        <w:rPr>
          <w:b/>
        </w:rPr>
        <w:t>Lugar:</w:t>
      </w:r>
      <w:r>
        <w:t xml:space="preserve"> Platón, Timeo 91d</w:t>
      </w:r>
      <w:r>
        <w:br/>
      </w:r>
      <w:r>
        <w:rPr>
          <w:b/>
        </w:rPr>
        <w:t>Tal como está en la fuente:</w:t>
      </w:r>
      <w:r>
        <w:t xml:space="preserve"> Thus were created women and the female sex in general.</w:t>
      </w:r>
      <w:r>
        <w:t xml:space="preserve">. </w:t>
      </w:r>
      <w:r>
        <w:rPr>
          <w:b/>
        </w:rPr>
        <w:t>Contrapunto.</w:t>
      </w:r>
      <w:r>
        <w:t xml:space="preserve"> La mujer es un varón degradado: un alma masculina cobarde o injusta renace como mujer (y luego como animal). Hace del sexo femenino una caída del masculino. (Contrasta con el Banquete del mismo autor.)</w:t>
      </w:r>
    </w:p>
    <w:p>
      <w:pPr>
        <w:pStyle w:val="ListBullet"/>
      </w:pPr>
      <w:r>
        <w:rPr>
          <w:b/>
        </w:rPr>
        <w:t>Aristóteles, Sobre la generación de los animales II, 3 (737a 27; trad. A. Platt)</w:t>
      </w:r>
      <w:r>
        <w:t xml:space="preserve"> (Atenas, hacia 350 a. C.; fecha de nivel C). Gen. an. II, 3, 737a27. «Pues la hembra es, por así decir, un macho mutilado, y los menstruos son semen, pero no puro»</w:t>
      </w:r>
      <w:r>
        <w:t xml:space="preserve"> [original: «For the female is, as it were, a mutilated male, and the catamenia are semen, only not pure», en la traducción de Platt]</w:t>
      </w:r>
      <w:r>
        <w:t xml:space="preserve"> (Aristóteles, Sobre la generación de los animales II, 3 (737a27))</w:t>
      </w:r>
      <w:r>
        <w:br/>
      </w:r>
      <w:r>
        <w:rPr>
          <w:b/>
        </w:rPr>
        <w:t>leída en su fuente · Aristóteles, Sobre la generación de los animales II, 3 (737a27)</w:t>
      </w:r>
      <w:r>
        <w:br/>
      </w:r>
      <w:r>
        <w:rPr>
          <w:b/>
        </w:rPr>
        <w:t>Archivo leído:</w:t>
      </w:r>
      <w:r>
        <w:t xml:space="preserve"> goa_platt_1912_djvu.txt (cierre_mujer_varon_9oct\aristoteles_generacion\goa_platt_1912_djvu.txt) · contraste del archivo de pasajes: ✔</w:t>
      </w:r>
      <w:r>
        <w:br/>
      </w:r>
      <w:r>
        <w:rPr>
          <w:b/>
        </w:rPr>
        <w:t>Lugar:</w:t>
      </w:r>
      <w:r>
        <w:t xml:space="preserve"> Aristóteles, Sobre la generación de los animales II, 3 (737a27)</w:t>
      </w:r>
      <w:r>
        <w:br/>
      </w:r>
      <w:r>
        <w:rPr>
          <w:b/>
        </w:rPr>
        <w:t>Tal como está en la fuente:</w:t>
      </w:r>
      <w:r>
        <w:t xml:space="preserve"> For the female is, as it were, a mutilated male, and the catamenia are semen, only not pure</w:t>
      </w:r>
      <w:r>
        <w:t xml:space="preserve">. </w:t>
      </w:r>
      <w:r>
        <w:rPr>
          <w:b/>
        </w:rPr>
        <w:t>Contrapunto.</w:t>
      </w:r>
      <w:r>
        <w:t xml:space="preserve"> La hembra es un «macho mutilado»: la inferioridad de la mujer pasa a ser tesis biológica. Es la frase que Aquino recoge (STh I, q. 92, a. 1, arg. 1) siglos después.</w:t>
      </w:r>
    </w:p>
    <w:p>
      <w:r>
        <w:rPr>
          <w:b/>
        </w:rPr>
        <w:t>China.</w:t>
      </w:r>
    </w:p>
    <w:p>
      <w:pPr>
        <w:pStyle w:val="ListBullet"/>
      </w:pPr>
      <w:r>
        <w:rPr>
          <w:b/>
        </w:rPr>
        <w:t>Yijing, Gran Apéndice (Xici) I, cap. 1 (trad. J. Legge, SBE 16, 1882)</w:t>
      </w:r>
      <w:r>
        <w:t xml:space="preserve"> (texto de los apéndices, hacia los siglos IV-II a. C.; fecha de nivel C (Legge los atribuía a Confucio; hoy se datan después)). Xici I, 1, §4-5. «El Cielo es honorable, la Tierra es baja: así quedan determinados Qian y Kun»</w:t>
      </w:r>
      <w:r>
        <w:t xml:space="preserve"> [original: «天尊地卑，乾坤定矣。», el texto chino de Wikisource (transcripción)]</w:t>
      </w:r>
      <w:r>
        <w:t xml:space="preserve"> (Yijing, Gran Apéndice (Xici) I, 1)</w:t>
      </w:r>
      <w:r>
        <w:br/>
      </w:r>
      <w:r>
        <w:rPr>
          <w:b/>
        </w:rPr>
        <w:t>leída en su fuente · Yijing, Gran Apéndice (Xici) I, 1</w:t>
      </w:r>
      <w:r>
        <w:br/>
      </w:r>
      <w:r>
        <w:rPr>
          <w:b/>
        </w:rPr>
        <w:t>Original donde está:</w:t>
      </w:r>
      <w:r>
        <w:t xml:space="preserve"> zhouyi_xici_shang_zhwikisource.html</w:t>
      </w:r>
      <w:r>
        <w:br/>
      </w:r>
      <w:r>
        <w:t>El pasaje literal no está en el archivo de pasajes con este comienzo; la auditoría lo halló en ese original.</w:t>
      </w:r>
      <w:r>
        <w:t xml:space="preserve"> […] «El camino de Qian forma lo masculino, el camino de Kun forma lo femenino; Qian conoce el gran comienzo, Kun hace que se cumplan las cosas»</w:t>
      </w:r>
      <w:r>
        <w:t xml:space="preserve"> [original: «乾道成男，坤道成女；乾知大始，坤作成物；», el texto chino de Wikisource (transcripción)]</w:t>
      </w:r>
      <w:r>
        <w:t xml:space="preserve"> (Yijing, Gran Apéndice (Xici) I, 1)</w:t>
      </w:r>
      <w:r>
        <w:br/>
      </w:r>
      <w:r>
        <w:rPr>
          <w:b/>
        </w:rPr>
        <w:t>leída en su fuente · Yijing, Gran Apéndice (Xici) I, 1</w:t>
      </w:r>
      <w:r>
        <w:br/>
      </w:r>
      <w:r>
        <w:rPr>
          <w:b/>
        </w:rPr>
        <w:t>Original donde está:</w:t>
      </w:r>
      <w:r>
        <w:t xml:space="preserve"> zhouyi_xici_shang_zhwikisource.html.txt</w:t>
      </w:r>
      <w:r>
        <w:br/>
      </w:r>
      <w:r>
        <w:t>El pasaje literal no está en el archivo de pasajes con este comienzo; la auditoría lo halló en ese original.</w:t>
      </w:r>
      <w:r>
        <w:t xml:space="preserve"> […] «4. Los atributos expresados por Khien constituyen lo masculino; los expresados por Khwăn, lo femenino. 5. Khien (simboliza el Cielo, que) dirige los grandes comienzos de las cosas; Khwăn (simboliza la Tierra, que) les da su cumplimiento»</w:t>
      </w:r>
      <w:r>
        <w:t xml:space="preserve"> [original: «4. The attributes expressed by Kh ien constitute the male; those expressed by Khwăn constitute the female. 5. Kh ien (symbolises Heaven, which) directs the great beginnings of things; Khwăn (symbolises Earth, which) gives to them their completion.», en la traducción de Legge]</w:t>
      </w:r>
      <w:r>
        <w:t xml:space="preserve"> (Yijing, Gran Apéndice (Xici) I, 1)</w:t>
      </w:r>
      <w:r>
        <w:br/>
      </w:r>
      <w:r>
        <w:rPr>
          <w:b/>
        </w:rPr>
        <w:t>leída en su fuente · Yijing, Gran Apéndice (Xici) I, 1</w:t>
      </w:r>
      <w:r>
        <w:br/>
      </w:r>
      <w:r>
        <w:rPr>
          <w:b/>
        </w:rPr>
        <w:t>Original donde está:</w:t>
      </w:r>
      <w:r>
        <w:t xml:space="preserve"> icap3-1_xici_legge.htm.txt</w:t>
      </w:r>
      <w:r>
        <w:br/>
      </w:r>
      <w:r>
        <w:t>El pasaje literal no está en el archivo de pasajes con este comienzo; la auditoría lo halló en ese original.</w:t>
      </w:r>
      <w:r>
        <w:t xml:space="preserve"> […] «1. El Cielo es alto y honorable; la tierra es baja. (Sus símbolos), Khien y Khwăn, (con sus respectivos significados), quedaron determinados»</w:t>
      </w:r>
      <w:r>
        <w:t xml:space="preserve"> [original: «1. Heaven is lofty and honourable; earth is low. (Their symbols), Kh ien and Khwăn, (with their respective meanings), were determined», en la traducción de Legge]</w:t>
      </w:r>
      <w:r>
        <w:t xml:space="preserve"> (Yijing, Gran Apéndice (Xici) I, 1)</w:t>
      </w:r>
      <w:r>
        <w:br/>
      </w:r>
      <w:r>
        <w:rPr>
          <w:b/>
        </w:rPr>
        <w:t>leída en su fuente · Yijing, Gran Apéndice (Xici) I, 1</w:t>
      </w:r>
      <w:r>
        <w:br/>
      </w:r>
      <w:r>
        <w:rPr>
          <w:b/>
        </w:rPr>
        <w:t>Archivo leído:</w:t>
      </w:r>
      <w:r>
        <w:t xml:space="preserve"> icap3-1_xici_legge.htm (cierre_mujer_varon_9oct\china_yijing\icap3-1_xici_legge.htm) · contraste del archivo de pasajes: ✔</w:t>
      </w:r>
      <w:r>
        <w:br/>
      </w:r>
      <w:r>
        <w:rPr>
          <w:b/>
        </w:rPr>
        <w:t>Lugar:</w:t>
      </w:r>
      <w:r>
        <w:t xml:space="preserve"> Yijing, Gran Apéndice (Xici) I, 1</w:t>
      </w:r>
      <w:r>
        <w:br/>
      </w:r>
      <w:r>
        <w:rPr>
          <w:b/>
        </w:rPr>
        <w:t>Tal como está en la fuente:</w:t>
      </w:r>
      <w:r>
        <w:t xml:space="preserve"> 1. Heaven is lofty and honourable; earth is low. (Their symbols), Kh ien and Khwăn, (with their respective meanings), were determined</w:t>
      </w:r>
      <w:r>
        <w:t xml:space="preserve">. </w:t>
      </w:r>
      <w:r>
        <w:rPr>
          <w:b/>
        </w:rPr>
        <w:t>Concuerda.</w:t>
      </w:r>
      <w:r>
        <w:t xml:space="preserve"> Lo masculino y lo femenino son dos atributos complementarios (Qian/Khien da el comienzo, Kun/Khwăn el cumplimiento): polaridad yin-yang. Matiz: la misma página abre con «alto y honorable / bajo» (天尊地卑), es decir, un orden de rango entre Cielo y Tierra. Original chino de Wikisource (transcripción, nivel B) y traducción de Legge (SBE 16).</w:t>
      </w:r>
    </w:p>
    <w:p>
      <w:pPr>
        <w:pStyle w:val="ListBullet"/>
      </w:pPr>
      <w:r>
        <w:rPr>
          <w:b/>
        </w:rPr>
        <w:t>Daodejing 42 (trad. J. Legge, SBE 39, 1891)</w:t>
      </w:r>
      <w:r>
        <w:t xml:space="preserve"> (texto atribuido a Laozi; redacción hacia los siglos IV-III a. C.; fecha de nivel C). Daodejing 42, §1. Su pasaje se ve arriba. </w:t>
      </w:r>
      <w:r>
        <w:rPr>
          <w:b/>
        </w:rPr>
        <w:t>Concuerda.</w:t>
      </w:r>
      <w:r>
        <w:t xml:space="preserve"> El Uno que se desdobla en dos (oscuridad-claridad, yin-yang) y se armoniza por un tercer aliento: polaridad con un tercer elemento que la armoniza (el «Aliento del Vacío»). No habla de varón ni de mujer.</w:t>
      </w:r>
    </w:p>
    <w:p>
      <w:pPr>
        <w:pStyle w:val="ListBullet"/>
      </w:pPr>
      <w:r>
        <w:rPr>
          <w:b/>
        </w:rPr>
        <w:t>Daodejing 28 (trad. J. Legge, SBE 39, 1891)</w:t>
      </w:r>
      <w:r>
        <w:t xml:space="preserve"> (texto atribuido a Laozi; hacia los siglos IV-III a. C.; fecha de nivel C). Daodejing 28, §1. «1. Quien conoce la fuerza de su virilidad y aun así mantiene su debilidad femenina; como a un solo cauce fluyen los muchos desagües, todos acuden a él, sí, todos bajo el cielo. Así conserva la excelencia constante; el niño sencillo otra vez, libre de toda mancha. Quien sabe cómo atrae lo blanco y aun así se mantiene en la sombra de lo negro, el modelo de la humildad, mostrado a la vista de todo bajo el cielo, él, investido de la excelencia inmutable, ha hecho el retorno sin fin al primer estado del hombre»</w:t>
      </w:r>
      <w:r>
        <w:t xml:space="preserve"> [original: «1. Who knows his manhood's strength, Yet still his female feebleness maintains; As to one channel flow the many drains, All come to him, yea, all beneath the sky. Thus he the constant excellence retains; The simple child again, free from all stains. Who knows how white attracts, Yet always keeps himself within black's shade, The pattern of humility displayed, Displayed in view of all beneath the sky; He in the unchanging excellence arrayed, Endless return to man's first state has made.», en la traducción de Legge]</w:t>
      </w:r>
      <w:r>
        <w:t xml:space="preserve"> (Daodejing 28)</w:t>
      </w:r>
      <w:r>
        <w:br/>
      </w:r>
      <w:r>
        <w:rPr>
          <w:b/>
        </w:rPr>
        <w:t>leída en su fuente · Daodejing 28</w:t>
      </w:r>
      <w:r>
        <w:br/>
      </w:r>
      <w:r>
        <w:rPr>
          <w:b/>
        </w:rPr>
        <w:t>Original donde está:</w:t>
      </w:r>
      <w:r>
        <w:t xml:space="preserve"> sbe39035.htm.txt</w:t>
      </w:r>
      <w:r>
        <w:br/>
      </w:r>
      <w:r>
        <w:t>El pasaje literal no está en el archivo de pasajes con este comienzo; la auditoría lo halló en ese original.</w:t>
      </w:r>
      <w:r>
        <w:t xml:space="preserve">. </w:t>
      </w:r>
      <w:r>
        <w:rPr>
          <w:b/>
        </w:rPr>
        <w:t>Concuerda.</w:t>
      </w:r>
      <w:r>
        <w:t xml:space="preserve"> El sabio ha de conocer lo masculino y conservar lo femenino: valora lo femenino como el polo que se debe mantener, no como inferior. (Legge traduce en verso; no se bajó el texto chino.)</w:t>
      </w:r>
    </w:p>
    <w:p>
      <w:pPr>
        <w:pStyle w:val="ListBullet"/>
      </w:pPr>
      <w:r>
        <w:rPr>
          <w:b/>
        </w:rPr>
        <w:t>Mencio III B, 2 (Teng Wen Gong II; texto chino y trad. J. Legge, 1895)</w:t>
      </w:r>
      <w:r>
        <w:t xml:space="preserve"> (Mencio, hacia 372-289 a. C.; fecha de nivel C). Mencio III.B.2. «El que toma la docilidad por lo correcto sigue el camino de las concubinas y las esposas»</w:t>
      </w:r>
      <w:r>
        <w:t xml:space="preserve"> [original: «以順為正者，妾婦之道也。», el texto chino de Wikisource (transcripción)]</w:t>
      </w:r>
      <w:r>
        <w:t xml:space="preserve"> (Mencio III B, 2)</w:t>
      </w:r>
      <w:r>
        <w:br/>
      </w:r>
      <w:r>
        <w:rPr>
          <w:b/>
        </w:rPr>
        <w:t>leída en su fuente · Mencio III B, 2</w:t>
      </w:r>
      <w:r>
        <w:br/>
      </w:r>
      <w:r>
        <w:rPr>
          <w:b/>
        </w:rPr>
        <w:t>Original donde está:</w:t>
      </w:r>
      <w:r>
        <w:t xml:space="preserve"> zhwikisource_Mencio_滕文公下.txt</w:t>
      </w:r>
      <w:r>
        <w:br/>
      </w:r>
      <w:r>
        <w:t>El pasaje literal no está en el archivo de pasajes con este comienzo; la auditoría lo halló en ese original.</w:t>
      </w:r>
      <w:r>
        <w:t xml:space="preserve"> […] «Al casar a una joven, su madre la amonesta, acompañándola hasta la puerta al marcharse y avisándola con estas palabras: “Vas a tu casa. Debes ser respetuosa; debes ser cuidadosa. No desobedezcas a tu marido”. Así, tomar la docilidad por el camino correcto es la norma de las mujeres»</w:t>
      </w:r>
      <w:r>
        <w:t xml:space="preserve"> [original: «At the marrying away of a young woman, her mother admonishes her, accompanying her to the door on her leaving, and cautioning her with these words, 'You are going to your home. You must be respectful; you must be careful. Do not disobey your husband.'" Thus, to look upon compliance as their correct course is the rule for women.», en la traducción de Legge]</w:t>
      </w:r>
      <w:r>
        <w:t xml:space="preserve"> (Mencio III B, 2)</w:t>
      </w:r>
      <w:r>
        <w:br/>
      </w:r>
      <w:r>
        <w:rPr>
          <w:b/>
        </w:rPr>
        <w:t>leída en su fuente · Mencio III B, 2</w:t>
      </w:r>
      <w:r>
        <w:br/>
      </w:r>
      <w:r>
        <w:rPr>
          <w:b/>
        </w:rPr>
        <w:t>Original donde está:</w:t>
      </w:r>
      <w:r>
        <w:t xml:space="preserve"> chapter06_teng_wen_gong_II.txt</w:t>
      </w:r>
      <w:r>
        <w:br/>
      </w:r>
      <w:r>
        <w:t>El pasaje literal no está en el archivo de pasajes con este comienzo; la auditoría lo halló en ese original.</w:t>
      </w:r>
      <w:r>
        <w:t xml:space="preserve">. </w:t>
      </w:r>
      <w:r>
        <w:rPr>
          <w:b/>
        </w:rPr>
        <w:t>Contrapunto.</w:t>
      </w:r>
      <w:r>
        <w:t xml:space="preserve"> No es un relato de creación sino la norma del lugar de la mujer: docilidad al marido («no desobedezcas a tu marido»), puesta como contraste con el «gran hombre». Se anota porque el conjunto chino de creación (Xici, Daodejing) es polar y esta norma no lo es. Nivel B: fuente secundaria.</w:t>
      </w:r>
    </w:p>
    <w:p>
      <w:pPr>
        <w:pStyle w:val="ListBullet"/>
      </w:pPr>
      <w:r>
        <w:rPr>
          <w:b/>
        </w:rPr>
        <w:t>Huainanzi cap. 6 (Lan ming) y cap. 17 (Shuo lin): Nüwa (transcripción de Wikisource)</w:t>
      </w:r>
      <w:r>
        <w:t xml:space="preserve"> (hacia 139 a. C.; fecha de nivel C). Huainanzi 6 (dos pasajes) y 17. «En tiempos remotos los cuatro polos se hundieron y las nueve provincias se resquebrajaron; el cielo no cubría por completo y la tierra no sostenía por todas partes; el fuego ardía sin extinguirse y el agua se desbordaba sin cesar; las fieras devoraban al pueblo bueno y las aves de presa se llevaban a ancianos y débiles. Entonces Nüwa fundió piedras de cinco colores para remendar el cielo azul, y cortó las patas de la tortuga gigante para levantar los cuatro polos»</w:t>
      </w:r>
      <w:r>
        <w:t xml:space="preserve"> [original: «往古之時，四極廢，九州裂，天不兼覆，地不周載，火爁炎而不滅，水浩洋而不息，猛獸食顓民，鷙鳥攫老弱，於是女媧煉五色石以補蒼天，斷鼇足以立四極。», el texto chino de Wikisource (transcripción)]</w:t>
      </w:r>
      <w:r>
        <w:t xml:space="preserve"> (Huainanzi 6)</w:t>
      </w:r>
      <w:r>
        <w:br/>
      </w:r>
      <w:r>
        <w:rPr>
          <w:b/>
        </w:rPr>
        <w:t>leída en su fuente · Huainanzi 6</w:t>
      </w:r>
      <w:r>
        <w:br/>
      </w:r>
      <w:r>
        <w:rPr>
          <w:b/>
        </w:rPr>
        <w:t>Original donde está:</w:t>
      </w:r>
      <w:r>
        <w:t xml:space="preserve"> huainanzi_lanming_zhwikisource.html.txt</w:t>
      </w:r>
      <w:r>
        <w:br/>
      </w:r>
      <w:r>
        <w:t>El pasaje literal no está en el archivo de pasajes con este comienzo; la auditoría lo halló en ese original.</w:t>
      </w:r>
      <w:r>
        <w:t xml:space="preserve"> […] «Fuxi y Nüwa no establecieron leyes ni normas, y sin embargo dejaron su virtud suprema a las generaciones posteriores»</w:t>
      </w:r>
      <w:r>
        <w:t xml:space="preserve"> [original: «伏戲、女媧不設法度，而以至德遺於後世。», el texto chino de Wikisource (transcripción)]</w:t>
      </w:r>
      <w:r>
        <w:t xml:space="preserve"> (Huainanzi 6)</w:t>
      </w:r>
      <w:r>
        <w:br/>
      </w:r>
      <w:r>
        <w:rPr>
          <w:b/>
        </w:rPr>
        <w:t>leída en su fuente · Huainanzi 6</w:t>
      </w:r>
      <w:r>
        <w:br/>
      </w:r>
      <w:r>
        <w:rPr>
          <w:b/>
        </w:rPr>
        <w:t>Original donde está:</w:t>
      </w:r>
      <w:r>
        <w:t xml:space="preserve"> huainanzi_lanming_zhwikisource.html.txt</w:t>
      </w:r>
      <w:r>
        <w:br/>
      </w:r>
      <w:r>
        <w:t>El pasaje literal no está en el archivo de pasajes con este comienzo; la auditoría lo halló en ese original.</w:t>
      </w:r>
      <w:r>
        <w:t xml:space="preserve"> […] «El Emperador Amarillo produjo yin y yang; Shangpian produjo orejas y ojos; Sanglin produjo brazos y manos: así es como Nüwa se transformó setenta veces»</w:t>
      </w:r>
      <w:r>
        <w:t xml:space="preserve"> [original: «黃帝生陰陽，上駢生耳目，桑林生臂手，此女媧所以七十化也。», el texto chino de Wikisource (transcripción)]</w:t>
      </w:r>
      <w:r>
        <w:t xml:space="preserve"> (Huainanzi 17)</w:t>
      </w:r>
      <w:r>
        <w:br/>
      </w:r>
      <w:r>
        <w:rPr>
          <w:b/>
        </w:rPr>
        <w:t>leída en su fuente · Huainanzi 17</w:t>
      </w:r>
      <w:r>
        <w:br/>
      </w:r>
      <w:r>
        <w:rPr>
          <w:b/>
        </w:rPr>
        <w:t>Original donde está:</w:t>
      </w:r>
      <w:r>
        <w:t xml:space="preserve"> huainanzi_shuolin_zhwikisource.html.txt</w:t>
      </w:r>
      <w:r>
        <w:br/>
      </w:r>
      <w:r>
        <w:t>El pasaje literal no está en el archivo de pasajes con este comienzo; la auditoría lo halló en ese original.</w:t>
      </w:r>
      <w:r>
        <w:t xml:space="preserve">. </w:t>
      </w:r>
      <w:r>
        <w:rPr>
          <w:b/>
        </w:rPr>
        <w:t>Neutro.</w:t>
      </w:r>
      <w:r>
        <w:t xml:space="preserve"> El Huainanzi 6 cuenta a Nüwa reparando el cielo, no creando a los hombres; el Huainanzi 17 dice solo que se transformó «setenta veces». Que modeló a los hombres con barro amarillo (Fengsu tongyi, citado en el Taiping yulan) no se pudo obtener en fuente primaria, así que no entra (nivel C). Aparece una diosa con poder de crear y reparar el mundo, sin relato de creación humana. Nivel B: fuente secundaria.</w:t>
      </w:r>
    </w:p>
    <w:p>
      <w:r>
        <w:rPr>
          <w:b/>
        </w:rPr>
        <w:t>Japón.</w:t>
      </w:r>
    </w:p>
    <w:p>
      <w:pPr>
        <w:pStyle w:val="ListBullet"/>
      </w:pPr>
      <w:r>
        <w:rPr>
          <w:b/>
        </w:rPr>
        <w:t>Kojiki, secc. IV-V (trad. B. H. Chamberlain, 1882)</w:t>
      </w:r>
      <w:r>
        <w:t xml:space="preserve"> (712 d. C. (fecha de nivel A, con la prueba del archivo que se cita)). Kojiki I, secc. IV-V. «Concluido el pacto, cuando dieron la vuelta, la augusta Mujer-que-Invita habló primero: “¡Oh joven hermoso y amable!”. Luego el augusto Varón-que-Invita dijo: “¡Oh doncella hermosa y amable!”. Cuando terminaron de hablar, [el Varón-que-Invita] dijo a su hermana: “No conviene que la mujer hable primero”»</w:t>
      </w:r>
      <w:r>
        <w:t xml:space="preserve"> [original: «Absolutâ pactione ubi circumierunt, Augusta Femina-Qui-Invitat primum inquit: "O venuste et amabilis adolescens!" Deinde Augustus Mas-Qui-Invitat inquit: "O venusta et amabilis virgo!" Postquam singuli orationi finem fecerunt, [Augustus Mas-Qui-Invitat] locutus est sorori, dicens: "Non decet feminam primum verba facere.», el latín de la traducción de Chamberlain]</w:t>
      </w:r>
      <w:r>
        <w:t xml:space="preserve"> (Kojiki, sección IV)</w:t>
      </w:r>
      <w:r>
        <w:br/>
      </w:r>
      <w:r>
        <w:rPr>
          <w:b/>
        </w:rPr>
        <w:t>leída en su fuente · Kojiki, sección IV</w:t>
      </w:r>
      <w:r>
        <w:br/>
      </w:r>
      <w:r>
        <w:rPr>
          <w:b/>
        </w:rPr>
        <w:t>Original donde está:</w:t>
      </w:r>
      <w:r>
        <w:t xml:space="preserve"> kj011.htm.txt</w:t>
      </w:r>
      <w:r>
        <w:br/>
      </w:r>
      <w:r>
        <w:t>El pasaje literal no está en el archivo de pasajes con este comienzo; la auditoría lo halló en ese original.</w:t>
      </w:r>
      <w:r>
        <w:t xml:space="preserve"> […] «“No fueron buenos porque la mujer habló primero. Bajad otra vez y enmendad vuestras palabras”»</w:t>
      </w:r>
      <w:r>
        <w:t xml:space="preserve"> [original: «"They were not good because the woman spoke first. Descend back again and amend your words."», en la traducción de Chamberlain]</w:t>
      </w:r>
      <w:r>
        <w:t xml:space="preserve"> (Kojiki, sección V)</w:t>
      </w:r>
      <w:r>
        <w:br/>
      </w:r>
      <w:r>
        <w:rPr>
          <w:b/>
        </w:rPr>
        <w:t>leída en su fuente · Kojiki, sección V</w:t>
      </w:r>
      <w:r>
        <w:br/>
      </w:r>
      <w:r>
        <w:rPr>
          <w:b/>
        </w:rPr>
        <w:t>Archivo leído:</w:t>
      </w:r>
      <w:r>
        <w:t xml:space="preserve"> kj012.htm (cierre_mujer_varon_9oct\japon_kojiki_chamberlain\kj012.htm) · contraste del archivo de pasajes: ✔</w:t>
      </w:r>
      <w:r>
        <w:br/>
      </w:r>
      <w:r>
        <w:rPr>
          <w:b/>
        </w:rPr>
        <w:t>Lugar:</w:t>
      </w:r>
      <w:r>
        <w:t xml:space="preserve"> Kojiki, sección V</w:t>
      </w:r>
      <w:r>
        <w:br/>
      </w:r>
      <w:r>
        <w:rPr>
          <w:b/>
        </w:rPr>
        <w:t>Tal como está en la fuente:</w:t>
      </w:r>
      <w:r>
        <w:t xml:space="preserve"> """They were not good because the woman spoke first. Descend back again and amend your words."""</w:t>
      </w:r>
      <w:r>
        <w:t xml:space="preserve"> (los dioses celestes, tras una adivinación). Prueba de la fecha, en el propio archivo: «si el supuesto falsificador hubiera vivido aunque solo fuese cien años después del año 712 d. C.»</w:t>
      </w:r>
      <w:r>
        <w:t xml:space="preserve"> [original: «if the supposed forger lived even only a hundred years later than A.D. 712,»]</w:t>
      </w:r>
      <w:r>
        <w:t xml:space="preserve"> (Chamberlain da por supuesto que la obra es de 712). </w:t>
      </w:r>
      <w:r>
        <w:rPr>
          <w:b/>
        </w:rPr>
        <w:t>Contrapunto.</w:t>
      </w:r>
      <w:r>
        <w:t xml:space="preserve"> La primera unión de la pareja divina sale mal («no fueron buenos») porque «la mujer habló primero»; hay que repetirla con el varón hablando primero. Los hijos fallidos (la «sanguijuela») son consecuencia expresa de la inversión del orden.</w:t>
      </w:r>
    </w:p>
    <w:p>
      <w:pPr>
        <w:pStyle w:val="ListBullet"/>
      </w:pPr>
      <w:r>
        <w:rPr>
          <w:b/>
        </w:rPr>
        <w:t>Nihongi, libro I (Edad de los dioses), parte I, relato de la columna celeste (trad. W. G. Aston, 1896)</w:t>
      </w:r>
      <w:r>
        <w:t xml:space="preserve"> (720 d. C. (fecha de nivel A, con la prueba del archivo que se cita)). Nihongi I (Edad de los dioses), p. 17-18 de Aston. Su pasaje se ve arriba. Prueba de la fecha, en el propio archivo: «fue terminado y presentado a la emperatriz Gemmio en el año 720 d. C.»</w:t>
      </w:r>
      <w:r>
        <w:t xml:space="preserve"> [original: «it was completed and laid before the Empress Gemmio in A.D. 720»]</w:t>
      </w:r>
      <w:r>
        <w:t xml:space="preserve"> (Aston cita el Kōnin shiki). </w:t>
      </w:r>
      <w:r>
        <w:rPr>
          <w:b/>
        </w:rPr>
        <w:t>Contrapunto.</w:t>
      </w:r>
      <w:r>
        <w:t xml:space="preserve"> Segunda versión (la crónica de la corte, 8 años posterior al Kojiki) del mismo episodio: aquí el dios protesta con derecho propio («Soy un hombre y por derecho debería haber hablado primero»). El comienzo, con In y Yo sin dividir, es la polaridad china importada (concuerda), pero la unión reglada la subordina.</w:t>
      </w:r>
    </w:p>
    <w:p>
      <w:r>
        <w:rPr>
          <w:b/>
        </w:rPr>
        <w:t>El Norte de Europa.</w:t>
      </w:r>
    </w:p>
    <w:p>
      <w:pPr>
        <w:pStyle w:val="ListBullet"/>
      </w:pPr>
      <w:r>
        <w:rPr>
          <w:b/>
        </w:rPr>
        <w:t>Völuspá 17-18 (trad. H. A. Bellows, The Poetic Edda, 1923)</w:t>
      </w:r>
      <w:r>
        <w:t xml:space="preserve"> (poema de hacia 960-1000 d. C.; copias del siglo XIII (Codex Regius hacia 1270); fecha de nivel C). Völuspá 17-18. Su pasaje se ve arriba. </w:t>
      </w:r>
      <w:r>
        <w:rPr>
          <w:b/>
        </w:rPr>
        <w:t>Concuerda.</w:t>
      </w:r>
      <w:r>
        <w:t xml:space="preserve"> La primera pareja (Ask, «fresno», y Embla, «olmo») se halla junta, igual de «vacía de fuerza», y recibe los mismos cuatro dones. Nota: la estrofa no dice cuál es el hombre y cuál la mujer; eso lo añade Snorri en el s. XIII (ficha siguiente).</w:t>
      </w:r>
    </w:p>
    <w:p>
      <w:pPr>
        <w:pStyle w:val="ListBullet"/>
      </w:pPr>
      <w:r>
        <w:rPr>
          <w:b/>
        </w:rPr>
        <w:t>Gylfaginning 9 (Snorri Sturluson; trad. R. B. Anderson, The Younger Edda, 1880)</w:t>
      </w:r>
      <w:r>
        <w:t xml:space="preserve"> (Islandia, hacia 1220-1225 d. C.; fecha de nivel C). Gylfaginning 9. «Cuando los hijos de Bor caminaban por la orilla del mar, hallaron dos árboles. Los tomaron y hicieron de ellos hombres. El primero les dio espíritu y vida; el segundo les dio razón y movimiento; el tercero, forma, habla, oído y vista. Les dieron ropas y nombres: al hombre lo llamaron Ask y a la mujer Embla. De ellos desciende toda la humanidad, y se les dio morada bajo Midgard»</w:t>
      </w:r>
      <w:r>
        <w:t xml:space="preserve"> [original: «As Bor’s sons went along the sea-strand, they found two trees. These trees they took up and made men of them. The first gave them spirit and life; the second endowed them with reason and power of motion; and the third gave them form, speech, hearing and eyesight. They gave them clothes and names; the man they called Ask, and the woman Embla. From them all mankind is descended, and a dwelling-place was given them under Midgard.», en la traducción de Anderson]</w:t>
      </w:r>
      <w:r>
        <w:t xml:space="preserve"> (Gylfaginning 9)</w:t>
      </w:r>
      <w:r>
        <w:br/>
      </w:r>
      <w:r>
        <w:rPr>
          <w:b/>
        </w:rPr>
        <w:t>leída en su fuente · Gylfaginning 9</w:t>
      </w:r>
      <w:r>
        <w:br/>
      </w:r>
      <w:r>
        <w:rPr>
          <w:b/>
        </w:rPr>
        <w:t>Original donde está:</w:t>
      </w:r>
      <w:r>
        <w:t xml:space="preserve"> pg18947_younger_edda_anderson.txt</w:t>
      </w:r>
      <w:r>
        <w:br/>
      </w:r>
      <w:r>
        <w:t>El pasaje literal no está en el archivo de pasajes con este comienzo; la auditoría lo halló en ese original.</w:t>
      </w:r>
      <w:r>
        <w:t xml:space="preserve">. </w:t>
      </w:r>
      <w:r>
        <w:rPr>
          <w:b/>
        </w:rPr>
        <w:t>Concuerda.</w:t>
      </w:r>
      <w:r>
        <w:t xml:space="preserve"> Varón y mujer nacen a la vez de dos árboles y reciben los mismos dones; de ambos «desciende toda la humanidad». Snorri es cristiano y fija aquí quién es hombre y quién mujer.</w:t>
      </w:r>
    </w:p>
    <w:p>
      <w:r>
        <w:rPr>
          <w:b/>
        </w:rPr>
        <w:t>América.</w:t>
      </w:r>
    </w:p>
    <w:p>
      <w:pPr>
        <w:pStyle w:val="ListBullet"/>
      </w:pPr>
      <w:r>
        <w:rPr>
          <w:b/>
        </w:rPr>
        <w:t>Popol Vuh, 3.ª parte, cap. 2 (texto quiché y trad. francesa de Brasseur de Bourbourg, 1861)</w:t>
      </w:r>
      <w:r>
        <w:t xml:space="preserve"> (manuscrito quiché de hacia 1554-1558 (siglo XVI, redactado en alfabeto latino sobre tradición anterior); copia de Ximénez, hacia 1701-1703; fecha de nivel C). Popol Vuh III, cap. 2 (Brasseur 1861). «Así fueron formados y creados nuestros primeros abuelos y padres por el Corazón del cielo, el Corazón de la tierra. Entonces existieron también sus esposas, y sus mujeres fueron hechas: Dios se consultó asimismo; así pues, durante su sueño, recibieron verdaderamente mujeres muy hermosas; y se hallaron con Balam-Quitzé, Balam-Agab, Mahucutah e Iqui-Balam. Sus mujeres estaban allí cuando despertaron; enseguida sus corazones se llenaron de alegría a causa de sus esposas»</w:t>
      </w:r>
      <w:r>
        <w:t xml:space="preserve"> [original: «Ta x-qohe chicut qui culel, qu'ixokil puch x-uxic : Xavi Qabauil x-naohin chic, queheri xa pa varam x-qui qam vi quitzih e hebel chi ixok ; qo ruq Balam-Quitze, Balam-Agab, Mahucutah, Iqi-Balam.» «Ainsi furent formés et créés nos premiers aïeux et pères par le Cœur du ciel, le Cœur de la terre (</w:t>
      </w:r>
      <w:r>
        <w:t>1</w:t>
      </w:r>
      <w:r>
        <w:t>). Alors existèrent aussi leurs épouses, et leurs femmes furent faites : Dieu se consulta également; ainsi donc, durant leur sommeil, ils reçurent véritablement de fort belles femmes ; et elles se trouvèrent avec Balam-Quitzé, Balam-Agab, Mahucutah et Iqi-Balam. Leurs femmes se trouvèrent là, lorsqu'ils se réveillè- rent ; aussitôt leurs cœurs se remplirent d'allégresse à cause de leurs épouses.», el texto quiché y la traducción francesa de Brasseur de Bourbourg]</w:t>
      </w:r>
      <w:r>
        <w:t xml:space="preserve"> (Popol Vuh, 3.ª parte, cap. 2)</w:t>
      </w:r>
      <w:r>
        <w:br/>
      </w:r>
      <w:r>
        <w:rPr>
          <w:b/>
        </w:rPr>
        <w:t>leída en su fuente · Popol Vuh, 3.ª parte, cap. 2</w:t>
      </w:r>
      <w:r>
        <w:br/>
      </w:r>
      <w:r>
        <w:rPr>
          <w:b/>
        </w:rPr>
        <w:t>Archivo leído:</w:t>
      </w:r>
      <w:r>
        <w:t xml:space="preserve"> Collection_de_documents_dans_les_langues_djvu.txt (cierre_mujer_varon_9oct\popol_vuh_brasseur\Collection_de_documents_dans_les_langues_djvu.txt) · contraste del archivo de pasajes: ✔</w:t>
      </w:r>
      <w:r>
        <w:br/>
      </w:r>
      <w:r>
        <w:rPr>
          <w:b/>
        </w:rPr>
        <w:t>Lugar:</w:t>
      </w:r>
      <w:r>
        <w:t xml:space="preserve"> Popol Vuh, 3.ª parte, cap. 2</w:t>
      </w:r>
      <w:r>
        <w:br/>
      </w:r>
      <w:r>
        <w:rPr>
          <w:b/>
        </w:rPr>
        <w:t>Tal como está en la fuente:</w:t>
      </w:r>
      <w:r>
        <w:t xml:space="preserve"> Ta x-qohe chicut qui culel, qu'ixokil puch x-uxic : Xavi Qabauil x-naohin chic, queheri xa pa varam x-qui qam vi quitzih e hebel chi ixok ; qo ruq Balam-Quitze, Balam-Agab, Mahucutah, Iqi-Balam.</w:t>
      </w:r>
      <w:r>
        <w:t xml:space="preserve">. </w:t>
      </w:r>
      <w:r>
        <w:rPr>
          <w:b/>
        </w:rPr>
        <w:t>Contrapunto.</w:t>
      </w:r>
      <w:r>
        <w:t xml:space="preserve"> Primero se hace a los cuatro varones; sus mujeres «fueron hechas» después, mientras ellos dormían, tras una nueva deliberación divina: recuerda el esquema de Gn 2 (varón primero, mujer hecha después, sueño del varón). El manuscrito quiché se escribió hacia 1554-1558 en alfabeto latino, ya bajo dominio español, y la edición es la de un sacerdote francés del s. XIX sobre la copia de un fraile: una influencia bíblica o colonial no puede descartarse ni medirse con estos archivos.</w:t>
      </w:r>
    </w:p>
    <w:p>
      <w:pPr>
        <w:pStyle w:val="ListBullet"/>
      </w:pPr>
      <w:r>
        <w:rPr>
          <w:b/>
        </w:rPr>
        <w:t>Historia de los mexicanos por sus pinturas, cap. 2 (ed. García Icazbalceta, 1891)</w:t>
      </w:r>
      <w:r>
        <w:t xml:space="preserve"> (hacia 1535-1541 (fray Andrés de Olmos, atribuida); fecha de nivel C). Hist. mexicanos, cap. 2. «Luego hicieron á un hombre y á una mujer: al hombre dijeron Uxumuco y á ella Cipastonal, y mandáronles que labrasen la tierra, y»</w:t>
      </w:r>
      <w:r>
        <w:t xml:space="preserve"> (Historia de los mexicanos por sus pinturas, cap. 2)</w:t>
      </w:r>
      <w:r>
        <w:br/>
      </w:r>
      <w:r>
        <w:rPr>
          <w:b/>
        </w:rPr>
        <w:t>leída en su fuente · Historia de los mexicanos por sus pinturas, cap. 2</w:t>
      </w:r>
      <w:r>
        <w:br/>
      </w:r>
      <w:r>
        <w:rPr>
          <w:b/>
        </w:rPr>
        <w:t>Archivo leído:</w:t>
      </w:r>
      <w:r>
        <w:t xml:space="preserve"> historia_mexicanos_pinturas_djvu.txt (cierre_mujer_varon_9oct\mexica_historia_por_pinturas\historia_mexicanos_pinturas_djvu.txt) · contraste del archivo de pasajes: ✔</w:t>
      </w:r>
      <w:r>
        <w:br/>
      </w:r>
      <w:r>
        <w:rPr>
          <w:b/>
        </w:rPr>
        <w:t>Lugar:</w:t>
      </w:r>
      <w:r>
        <w:t xml:space="preserve"> Historia de los mexicanos por sus pinturas, cap. 2</w:t>
      </w:r>
      <w:r>
        <w:br/>
      </w:r>
      <w:r>
        <w:rPr>
          <w:b/>
        </w:rPr>
        <w:t>Tal como está en la fuente:</w:t>
      </w:r>
      <w:r>
        <w:t xml:space="preserve"> Luego hicieron á un hombre y á una mujer: al hombre dijeron Uxumuco y á ella Cipastonal, y mandáronles que labrasen la tierra, y</w:t>
      </w:r>
      <w:r>
        <w:t xml:space="preserve"> […] «que ella hilase y tejese, y que dellos nacerían los macehuales, y que no holgasen sino que siempre trabajasen,»</w:t>
      </w:r>
      <w:r>
        <w:t xml:space="preserve"> (Historia de los mexicanos por sus pinturas, cap. 2)</w:t>
      </w:r>
      <w:r>
        <w:br/>
      </w:r>
      <w:r>
        <w:rPr>
          <w:b/>
        </w:rPr>
        <w:t>pasaje guardado · Historia de los mexicanos por sus pinturas, cap. 2</w:t>
      </w:r>
      <w:r>
        <w:br/>
      </w:r>
      <w:r>
        <w:rPr>
          <w:b/>
        </w:rPr>
        <w:t>Archivo leído:</w:t>
      </w:r>
      <w:r>
        <w:t xml:space="preserve"> historia_mexicanos_pinturas_djvu.txt (cierre_mujer_varon_9oct\mexica_historia_por_pinturas\historia_mexicanos_pinturas_djvu.txt) · contraste del archivo de pasajes: ✔</w:t>
      </w:r>
      <w:r>
        <w:br/>
      </w:r>
      <w:r>
        <w:rPr>
          <w:b/>
        </w:rPr>
        <w:t>Lugar:</w:t>
      </w:r>
      <w:r>
        <w:t xml:space="preserve"> Historia de los mexicanos por sus pinturas, cap. 2</w:t>
      </w:r>
      <w:r>
        <w:br/>
      </w:r>
      <w:r>
        <w:rPr>
          <w:b/>
        </w:rPr>
        <w:t>Tal como está en la fuente:</w:t>
      </w:r>
      <w:r>
        <w:t xml:space="preserve"> que ella hilase y tejese, y que dellos nacerían los macehuales, y que no holgasen sino que siempre trabajasen,</w:t>
      </w:r>
      <w:r>
        <w:t xml:space="preserve">. </w:t>
      </w:r>
      <w:r>
        <w:rPr>
          <w:b/>
        </w:rPr>
        <w:t>Concuerda.</w:t>
      </w:r>
      <w:r>
        <w:t xml:space="preserve"> El hombre y la mujer se hacen a la vez, por los mismos dioses, y se les asigna trabajo complementario: él la tierra, ella el hilado y el tejido. (El texto es una relación hecha por un fraile español «por los caracteres y escrituras» indígenas; el cronista dice además que ella usaba «adevinanzas y hechicerías».)</w:t>
      </w:r>
    </w:p>
    <w:p>
      <w:pPr>
        <w:pStyle w:val="ListBullet"/>
      </w:pPr>
      <w:r>
        <w:rPr>
          <w:b/>
        </w:rPr>
        <w:t>Sahagún, Historia general de las cosas de Nueva España, lib. IV, cap. 1 (ed. Bustamante, 1829)</w:t>
      </w:r>
      <w:r>
        <w:t xml:space="preserve"> (hacia 1547-1577 (texto de Sahagún sobre informantes nahuas); fecha de nivel C). Sahagún IV, 1. «de una muger que se llamaba Oxómoco, y de un hombre que se llamaba Alpactonál, y los maestros de esta astrología, ó nigromancia, que contaban estos signos que se llamaban Tonalpouhquc, pintaban á esta muger Oxómoco y á este hombre Cipactonal, y los ponían en medio de los libros donde estaban escritos todos los caracteres de cada dia, porque decían que eran señores de esta astrología»</w:t>
      </w:r>
      <w:r>
        <w:t xml:space="preserve"> (Sahagún, Historia general de las cosas de Nueva España, libro IV, cap. 1)</w:t>
      </w:r>
      <w:r>
        <w:br/>
      </w:r>
      <w:r>
        <w:rPr>
          <w:b/>
        </w:rPr>
        <w:t>pasaje guardado · Sahagún, Historia general de las cosas de Nueva España, libro IV, cap. 1</w:t>
      </w:r>
      <w:r>
        <w:br/>
      </w:r>
      <w:r>
        <w:rPr>
          <w:b/>
        </w:rPr>
        <w:t>Original donde está:</w:t>
      </w:r>
      <w:r>
        <w:t xml:space="preserve"> historiagenerald01saha_djvu.txt</w:t>
      </w:r>
      <w:r>
        <w:br/>
      </w:r>
      <w:r>
        <w:t>El pasaje literal no está en el archivo de pasajes con este comienzo; la auditoría lo halló en ese original.</w:t>
      </w:r>
      <w:r>
        <w:t xml:space="preserve">. </w:t>
      </w:r>
      <w:r>
        <w:rPr>
          <w:b/>
        </w:rPr>
        <w:t>Neutro.</w:t>
      </w:r>
      <w:r>
        <w:t xml:space="preserve"> Oxomoco (mujer) y Cipactonal (hombre) son la pareja mítica a la que se atribuye el origen de la astrología (tonalpohualli); la mujer se nombra primero. No hay relato de origen humano; se anota la pareja y se descarta como prueba.</w:t>
      </w:r>
    </w:p>
    <w:p>
      <w:pPr>
        <w:pStyle w:val="ListBullet"/>
      </w:pPr>
      <w:r>
        <w:rPr>
          <w:b/>
        </w:rPr>
        <w:t>Garcilaso de la Vega, Comentarios Reales de los Incas, lib. I, cap. 15-16 (ed. Urteaga, Lima 1918)</w:t>
      </w:r>
      <w:r>
        <w:t xml:space="preserve"> (Lisboa, 1609 (relato del tío materno de Garcilaso, hacia 1560); fecha de nivel C). Garcilaso I, 15-16. «envió del cielo a la tierra un hijo y una hija de los suyos para que los doctrinasen en el conocimiento de nuestro padre el sol,»</w:t>
      </w:r>
      <w:r>
        <w:t xml:space="preserve"> (Garcilaso, Comentarios reales de los Incas, libro I, cap. 15-16)</w:t>
      </w:r>
      <w:r>
        <w:br/>
      </w:r>
      <w:r>
        <w:rPr>
          <w:b/>
        </w:rPr>
        <w:t>leída en su fuente · Garcilaso, Comentarios reales de los Incas, libro I, cap. 15-16</w:t>
      </w:r>
      <w:r>
        <w:br/>
      </w:r>
      <w:r>
        <w:rPr>
          <w:b/>
        </w:rPr>
        <w:t>Archivo leído:</w:t>
      </w:r>
      <w:r>
        <w:t xml:space="preserve"> 19.00-8.1_Garcilaso_Comentarios_Reales_ed_Urteaga_1918_t1_djvu.txt (c7c\19.00-8.1_Garcilaso_Comentarios_Reales_ed_Urteaga_1918_t1_djvu.txt) · contraste del archivo de pasajes: ✔</w:t>
      </w:r>
      <w:r>
        <w:br/>
      </w:r>
      <w:r>
        <w:rPr>
          <w:b/>
        </w:rPr>
        <w:t>Lugar:</w:t>
      </w:r>
      <w:r>
        <w:t xml:space="preserve"> Garcilaso, Comentarios reales de los Incas, libro I, cap. 15-16</w:t>
      </w:r>
      <w:r>
        <w:br/>
      </w:r>
      <w:r>
        <w:rPr>
          <w:b/>
        </w:rPr>
        <w:t>Tal como está en la fuente:</w:t>
      </w:r>
      <w:r>
        <w:t xml:space="preserve"> envió del cielo a la tierra un hijo y una hija de los suyos para que los doctrinasen en el conocimiento de nuestro padre el sol,</w:t>
      </w:r>
      <w:r>
        <w:t xml:space="preserve"> […] «Nuestro Inca se llamó Manco Capac, y nuestra Coya Mama Ocllo Huaco: fueron, como te he dicho, hermanos, hijos del sol y de la luna, nuestros padres.»</w:t>
      </w:r>
      <w:r>
        <w:t xml:space="preserve"> (Garcilaso, Comentarios reales de los Incas, libro I, cap. 15-16)</w:t>
      </w:r>
      <w:r>
        <w:br/>
      </w:r>
      <w:r>
        <w:rPr>
          <w:b/>
        </w:rPr>
        <w:t>pasaje guardado · Garcilaso, Comentarios reales de los Incas, libro I, cap. 15-16</w:t>
      </w:r>
      <w:r>
        <w:br/>
      </w:r>
      <w:r>
        <w:rPr>
          <w:b/>
        </w:rPr>
        <w:t>Archivo leído:</w:t>
      </w:r>
      <w:r>
        <w:t xml:space="preserve"> loscomentariosre01vega_djvu.txt (cierre_mujer_varon_9oct\libros_ia\loscomentariosre01vega_djvu.txt) · contraste del archivo de pasajes: ✔</w:t>
      </w:r>
      <w:r>
        <w:br/>
      </w:r>
      <w:r>
        <w:rPr>
          <w:b/>
        </w:rPr>
        <w:t>Lugar:</w:t>
      </w:r>
      <w:r>
        <w:t xml:space="preserve"> Garcilaso, Comentarios reales de los Incas, libro I, cap. 15-16</w:t>
      </w:r>
      <w:r>
        <w:br/>
      </w:r>
      <w:r>
        <w:rPr>
          <w:b/>
        </w:rPr>
        <w:t>Tal como está en la fuente:</w:t>
      </w:r>
      <w:r>
        <w:t xml:space="preserve"> Nuestro Inca se llamó Manco Capac, y nuestra Coya Mama Ocllo Huaco: fueron, como te he dicho, hermanos, hijos del sol y de la luna, nuestros padres.</w:t>
      </w:r>
      <w:r>
        <w:t xml:space="preserve"> […] «Juntamente poblando la ciudad enseñaba nuestro Inca a los indios varones los oficios pertenecientes a varón, como romper y cultivar la tierra, y sembrar las mieses, semillas y legumbres que les mostró que eran de comer y provechosas para lo cual les enseñó a hacer arados y los demás instrumentos necesarios, y les dió orden y manera como sacasen acequias de los arroyos que corren por este barrio del Cozco, hasta enseñarles a hacer el calzado que traemos. Por otra parte la reina industriaba a las indias en los oficios mujeriles a hilar y tejer algodón y lana, y hacer de vestir para sí y para sus maridos, y hijos: decíales cómo habían de hacer los demás oficios del servicio de casa. En suma, ninguna cosa de las que pertenecen a la vida humana dejaron nuestros príncipes de enseñar a sus primeros vasallos, haciéndose el Inca rey maestro de los varones, y la Coya reina maestra de las mugeres.»</w:t>
      </w:r>
      <w:r>
        <w:t xml:space="preserve"> (Garcilaso, Comentarios reales de los Incas, libro I, cap. 15-16)</w:t>
      </w:r>
      <w:r>
        <w:br/>
      </w:r>
      <w:r>
        <w:rPr>
          <w:b/>
        </w:rPr>
        <w:t>pasaje guardado · Garcilaso, Comentarios reales de los Incas, libro I, cap. 15-16</w:t>
      </w:r>
      <w:r>
        <w:br/>
      </w:r>
      <w:r>
        <w:rPr>
          <w:b/>
        </w:rPr>
        <w:t>Original donde está:</w:t>
      </w:r>
      <w:r>
        <w:t xml:space="preserve"> loscomentariosre01vega_djvu.txt</w:t>
      </w:r>
      <w:r>
        <w:br/>
      </w:r>
      <w:r>
        <w:t>El pasaje literal no está en el archivo de pasajes con este comienzo; la auditoría lo halló en ese original.</w:t>
      </w:r>
      <w:r>
        <w:t xml:space="preserve">. </w:t>
      </w:r>
      <w:r>
        <w:rPr>
          <w:b/>
        </w:rPr>
        <w:t>Concuerda.</w:t>
      </w:r>
      <w:r>
        <w:t xml:space="preserve"> El Sol envía «un hijo y una hija» a la vez (hermanos, que luego son marido y mujer, «hijos del sol y de la luna»); el Inca enseña a los varones y la Coya a las mujeres: funciones paralelas, sin precedencia. Cuidado: es un relato mestizo escrito en castellano un siglo después de la conquista.</w:t>
      </w:r>
    </w:p>
    <w:p>
      <w:pPr>
        <w:pStyle w:val="ListBullet"/>
      </w:pPr>
      <w:r>
        <w:rPr>
          <w:b/>
        </w:rPr>
        <w:t>Mitos iroqueses (seneca), Seneca Myths and Folk Tales (A. C. Parker, 1923)</w:t>
      </w:r>
      <w:r>
        <w:t xml:space="preserve"> (recogidos hacia 1900-1920; tradición oral de datación imposible; edición de 1923 (fecha de nivel A para la edición)). Parker 1923, «How the world began» y resumen. Su pasaje se ve arriba. </w:t>
      </w:r>
      <w:r>
        <w:rPr>
          <w:b/>
        </w:rPr>
        <w:t>Contrapunto.</w:t>
      </w:r>
      <w:r>
        <w:t xml:space="preserve"> Contrapunto de signo inverso: la primera humana (la Mujer del Cielo) precede a todo varón y le da su hija; el hombre lo crea después su nieto. La mujer está por delante del varón y sin él.</w:t>
      </w:r>
    </w:p>
    <w:p>
      <w:r>
        <w:rPr>
          <w:b/>
        </w:rPr>
        <w:t>Hawái.</w:t>
      </w:r>
    </w:p>
    <w:p>
      <w:pPr>
        <w:pStyle w:val="ListBullet"/>
      </w:pPr>
      <w:r>
        <w:rPr>
          <w:b/>
        </w:rPr>
        <w:t>David Malo, Hawaiian Antiquities, cap. 3 (trad. N. B. Emerson, Honolulu 1903), sobre la genealogía del Kumulipo</w:t>
      </w:r>
      <w:r>
        <w:t xml:space="preserve"> (Malo escribió hacia 1835-1853; la genealogía del Kumulipo es tradición oral anterior; fecha de nivel C). Malo, cap. 3, §2-3. «2. En la genealogía llamada Kumu-lipo se dice que el primer ser humano fue una mujer llamada La‘ila‘i, y que sus antepasados y padres eran de la noche (he po wale no), y que fue la madre de la estirpe (hawaiana). 3. El marido de esta La‘ila‘i se llamaba Ke-alii-wahi-lani (el rey que abre el cielo); pero no se dice quiénes eran los padres de Ke-alii-wahi-lani, solo que venía de los cielos; que miró abajo y vio a una mujer hermosa, La‘ilai, que vivía en Lalowaia; que bajó y la tomó por esposa, y de la unión de los dos fue engendrado uno de los antepasados de esta raza»</w:t>
      </w:r>
      <w:r>
        <w:t xml:space="preserve"> [original: «2. In the genealogy called Kumu-lipo it is said that the first human being was a woman named La'ila'i and that her ancestors and parents were of the night (he po wale no), that she was the progenitor of the (Hawaiian) race. 3. The husband of this La'ila'i was named Ke-alii-wahi-lani (the king who opens heaven) ; but it is not stated who were the parents of Ke-alii-zvahi-lani, only that he was from the heavens; that he looked down and beheld a beautiful woman, La'ilai, dwelling in Lalazvaia; that he came down and took her to wife, and from the union of these two was begotten one of the ancestors of this race.», en la traducción de Emerson]</w:t>
      </w:r>
      <w:r>
        <w:t xml:space="preserve"> (Malo, Hawaiian Antiquities, cap. 3)</w:t>
      </w:r>
      <w:r>
        <w:br/>
      </w:r>
      <w:r>
        <w:rPr>
          <w:b/>
        </w:rPr>
        <w:t>leída en su fuente · Malo, Hawaiian Antiquities, cap. 3</w:t>
      </w:r>
      <w:r>
        <w:br/>
      </w:r>
      <w:r>
        <w:rPr>
          <w:b/>
        </w:rPr>
        <w:t>Original donde está:</w:t>
      </w:r>
      <w:r>
        <w:t xml:space="preserve"> hawaiianantiquit00malo.txt</w:t>
      </w:r>
      <w:r>
        <w:br/>
      </w:r>
      <w:r>
        <w:t>El pasaje literal no está en el archivo de pasajes con este comienzo; la auditoría lo halló en ese original.</w:t>
      </w:r>
      <w:r>
        <w:t xml:space="preserve">. </w:t>
      </w:r>
      <w:r>
        <w:rPr>
          <w:b/>
        </w:rPr>
        <w:t>Contrapunto.</w:t>
      </w:r>
      <w:r>
        <w:t xml:space="preserve"> Contrapunto de signo inverso: «el primer ser humano fue una mujer»; el varón (del cielo) llega después y de fuera. Es testimonio de segunda mano (Malo cuenta lo que dice la genealogía, no el canto mismo), de un autor hawaiano convertido al cristianismo. El texto escaneado del archivo trae erratas (zv por w: «Ke-alii-zvahi-lani», «Lalazvaia»; «(he po wale no)»); se copian tal cual.</w:t>
      </w:r>
    </w:p>
    <w:p>
      <w:r>
        <w:rPr>
          <w:b/>
        </w:rPr>
        <w:t>África (yoruba).</w:t>
      </w:r>
    </w:p>
    <w:p>
      <w:pPr>
        <w:pStyle w:val="ListBullet"/>
      </w:pPr>
      <w:r>
        <w:rPr>
          <w:b/>
        </w:rPr>
        <w:t>Samuel Johnson, The History of the Yorubas, cap. 2 (Londres 1921)</w:t>
      </w:r>
      <w:r>
        <w:t xml:space="preserve"> (escrito hacia 1897; publicado 1921; fecha de nivel A para la edición; la tradición es oral). Johnson, cap. 2. «se cuenta que [Ile-Ife] es el lugar donde Dios creó al hombre, blanco y negro, y de donde se dispersaron por toda la tierra»</w:t>
      </w:r>
      <w:r>
        <w:t xml:space="preserve"> [original: «is fabled as the spot where God created man, white and black, and from whence they dispersed all over the earth.»]</w:t>
      </w:r>
      <w:r>
        <w:t xml:space="preserve"> (Johnson, The History of the Yorubas, cap. 2)</w:t>
      </w:r>
      <w:r>
        <w:br/>
      </w:r>
      <w:r>
        <w:rPr>
          <w:b/>
        </w:rPr>
        <w:t>leída en su fuente · Johnson, The History of the Yorubas, cap. 2</w:t>
      </w:r>
      <w:r>
        <w:br/>
      </w:r>
      <w:r>
        <w:rPr>
          <w:b/>
        </w:rPr>
        <w:t>Archivo leído:</w:t>
      </w:r>
      <w:r>
        <w:t xml:space="preserve"> historyofyorubas00john.txt (ant\historyofyorubas00john.txt) · contraste del archivo de pasajes: ✔</w:t>
      </w:r>
      <w:r>
        <w:br/>
      </w:r>
      <w:r>
        <w:rPr>
          <w:b/>
        </w:rPr>
        <w:t>Lugar:</w:t>
      </w:r>
      <w:r>
        <w:t xml:space="preserve"> Johnson, The History of the Yorubas, cap. 2</w:t>
      </w:r>
      <w:r>
        <w:br/>
      </w:r>
      <w:r>
        <w:rPr>
          <w:b/>
        </w:rPr>
        <w:t>Tal como está en la fuente:</w:t>
      </w:r>
      <w:r>
        <w:t xml:space="preserve"> is fabled as the spot where God created man, white and black, and from whence they dispersed all over the earth.</w:t>
      </w:r>
      <w:r>
        <w:t xml:space="preserve">. </w:t>
      </w:r>
      <w:r>
        <w:rPr>
          <w:b/>
        </w:rPr>
        <w:t>Neutro.</w:t>
      </w:r>
      <w:r>
        <w:t xml:space="preserve"> El texto yoruba más a mano (un clérigo yoruba que escribe en inglés) dice solo que «Dios creó al hombre» en Ife, sin hablar de varón y mujer ni de orden. El material africano de primera mano (Obatalá, Odùduwà, dogón, akan) no pudo obtenerse en edición fiable, y por eso no entra.</w:t>
      </w:r>
    </w:p>
    <w:p>
      <w:r>
        <w:t>[lo extenso de 2.3: las 78 fichas del índice del agente de fuentes (carpeta 07, 9-oct-2026), generadas por programa; M4; 04p fila 12]</w:t>
      </w:r>
    </w:p>
    <w:p>
      <w:r>
        <w:rPr>
          <w:b/>
        </w:rPr>
        <w:t>Conclusión, lo que arrojan los datos:</w:t>
      </w:r>
      <w:r>
        <w:t xml:space="preserve"> los textos leídos dicen las dos cosas. Varias tradiciones cuentan un origen común o un solo ser que se parte en dos: la Biblia, el judaísmo rabínico, la India, Grecia y el islam. Y esas mismas tradiciones contienen también textos que ponen a la mujer por debajo: unas veces en el mismo libro, junto al pasaje de la igualdad (Manu 1.32 y 5.148; el Corán 4:1 y 4:34; Pablo, en 1 Co 11:3 y 11:11), y otras en el propio relato del origen (Gn 2:22-23; Hesíodo). En Gn 3:16 el dominio del marido se presenta como consecuencia de la caída. Hay también tres casos en que la mujer va por delante del varón (la Hipóstasis de los arcontes, los iroqueses y, según Malo, el Kumulipo hawaiano), que no son igualdad ni subordinación. Los pasajes que no están arriba se ven en el nivel completo y en el más hondo.</w:t>
      </w:r>
    </w:p>
    <w:p>
      <w:r>
        <w:rPr>
          <w:b/>
        </w:rPr>
        <w:t>Lo que no se puede decir.</w:t>
      </w:r>
      <w:r>
        <w:t xml:space="preserve"> No se puede decir que el origen común sea una convergencia en el sentido de 0.5: las fechas son casi todas aproximadas (nivel C), y no está comprobado que India, Grecia, el judaísmo rabínico y el hermetismo no se conocieran. Tampoco se puede decir que la subordinación llegara después de una versión igualitaria: en Hesíodo, el Nihongi o Gn 2 ya está en el relato del origen, y el orden de composición de Gn 1 y Gn 2 se discute. Y las cuentas no sirven: la lista de pasajes incluyó los contrapuntos a propósito.</w:t>
      </w:r>
    </w:p>
    <w:p>
      <w:r>
        <w:rPr>
          <w:b/>
        </w:rPr>
        <w:t>Lectura del autor:</w:t>
      </w:r>
      <w:r>
        <w:t xml:space="preserve"> los antiguos no tenían la ciencia de hoy, y para explicar cómo de uno salen dos contaron la imagen de un solo ser que se divide en dos mitades complementarias. Complementarias: trabajamos para ser más y mejor, y nos unimos para dar vida. De ahí el aviso: cuidado con las uniones por interés. Y los textos que ponen a la mujer por debajo no son, para esta obra, la palabra divina, sino la palabra escrita, que arrastraba la costumbre de su tiempo. </w:t>
      </w:r>
      <w:r>
        <w:t>[palabras de Kiko, 9-oct-2026]</w:t>
      </w:r>
    </w:p>
    <w:p>
      <w:r>
        <w:t>[creación del hombre y de la mujer en 19 tradiciones: índice del agente de fuentes (07, 9-oct), pasajes leídos en sus archivos; borrador B2, 9-oct; 04p fila 12]</w:t>
      </w:r>
    </w:p>
    <w:p>
      <w:pPr>
        <w:pStyle w:val="Heading2"/>
      </w:pPr>
      <w:r>
        <w:t>2.4 El cuerpo, la conciencia y el respeto</w:t>
      </w:r>
    </w:p>
    <w:p>
      <w:pPr>
        <w:pBdr>
          <w:left w:val="single" w:sz="24" w:space="6" w:color="E2DED6"/>
        </w:pBdr>
        <w:shd w:val="clear" w:color="auto" w:fill="F1EEE8"/>
        <w:spacing w:before="80" w:after="160"/>
        <w:ind w:left="142" w:right="142"/>
      </w:pPr>
      <w:r>
        <w:rPr>
          <w:b/>
        </w:rPr>
        <w:t>La idea: si el cuerpo es el territorio de cada persona y la conciencia su gobierno, la única base para convivir entre personas libres es el respeto.</w:t>
      </w:r>
    </w:p>
    <w:p>
      <w:r>
        <w:t>Este apartado es la voz del autor: una reflexión personal sobre cómo convivir, no un informe jurídico ni una llamada a hacer nada. Nació de estudiar a un grupo que defiende tesis que esta obra no comparte (</w:t>
      </w:r>
      <w:r>
        <w:t>2.6</w:t>
      </w:r>
      <w:r>
        <w:t>).</w:t>
      </w:r>
    </w:p>
    <w:p>
      <w:r>
        <w:t>[08.00-0.1, sin el nombre del grupo]</w:t>
      </w:r>
    </w:p>
    <w:p>
      <w:r>
        <w:rPr>
          <w:b/>
        </w:rPr>
        <w:t>El territorio: el cuerpo.</w:t>
      </w:r>
      <w:r>
        <w:t xml:space="preserve"> Lectura del autor: cada persona habita dentro de los límites de su cuerpo. La piel es su frontera, y nadie decide por otro qué entra en él, cómo lo cuida o cómo lo vive. El derecho conoce esa idea desde antiguo: </w:t>
      </w:r>
      <w:r>
        <w:rPr>
          <w:i/>
        </w:rPr>
        <w:t>habeas corpus</w:t>
      </w:r>
      <w:r>
        <w:t xml:space="preserve"> significa «que tengas el cuerpo», y la Constitución manda un procedimiento «para producir la inmediata puesta a disposición judicial de toda persona detenida ilegalmente»</w:t>
      </w:r>
      <w:r>
        <w:t xml:space="preserve"> (Constitución, art. 17.4)</w:t>
      </w:r>
      <w:r>
        <w:br/>
      </w:r>
      <w:r>
        <w:rPr>
          <w:b/>
        </w:rPr>
        <w:t>leída en su fuente · Constitución, art. 17.4</w:t>
      </w:r>
      <w:r>
        <w:br/>
      </w:r>
      <w:r>
        <w:rPr>
          <w:b/>
        </w:rPr>
        <w:t>Archivo leído:</w:t>
      </w:r>
      <w:r>
        <w:t xml:space="preserve"> ce.html (ant\c1\ce.html) · contraste del archivo de pasajes: ✔</w:t>
      </w:r>
      <w:r>
        <w:br/>
      </w:r>
      <w:r>
        <w:rPr>
          <w:b/>
        </w:rPr>
        <w:t>Lugar:</w:t>
      </w:r>
      <w:r>
        <w:t xml:space="preserve"> Constitución, art. 17.4</w:t>
      </w:r>
      <w:r>
        <w:br/>
      </w:r>
      <w:r>
        <w:rPr>
          <w:b/>
        </w:rPr>
        <w:t>Tal como está en la fuente:</w:t>
      </w:r>
      <w:r>
        <w:t xml:space="preserve"> para producir la inmediata puesta a disposición judicial de toda persona detenida ilegalmente</w:t>
      </w:r>
      <w:r>
        <w:t>. También protege «la vida y [...] la integridad física y moral»</w:t>
      </w:r>
      <w:r>
        <w:t xml:space="preserve"> (Constitución, art. 15)</w:t>
      </w:r>
      <w:r>
        <w:br/>
      </w:r>
      <w:r>
        <w:rPr>
          <w:b/>
        </w:rPr>
        <w:t>leída en su fuente · Constitución, art. 15</w:t>
      </w:r>
      <w:r>
        <w:br/>
      </w:r>
      <w:r>
        <w:rPr>
          <w:b/>
        </w:rPr>
        <w:t>Archivo leído:</w:t>
      </w:r>
      <w:r>
        <w:t xml:space="preserve"> ce.html (ant\c1\ce.html) · contraste del archivo de pasajes: ✔</w:t>
      </w:r>
      <w:r>
        <w:br/>
      </w:r>
      <w:r>
        <w:rPr>
          <w:b/>
        </w:rPr>
        <w:t>Lugar:</w:t>
      </w:r>
      <w:r>
        <w:t xml:space="preserve"> Constitución, art. 15</w:t>
      </w:r>
      <w:r>
        <w:br/>
      </w:r>
      <w:r>
        <w:rPr>
          <w:b/>
        </w:rPr>
        <w:t>Tal como está en la fuente:</w:t>
      </w:r>
      <w:r>
        <w:t xml:space="preserve"> la vida y [...] la integridad física y moral</w:t>
      </w:r>
      <w:r>
        <w:t>.</w:t>
      </w:r>
    </w:p>
    <w:p>
      <w:r>
        <w:t>[08.00-1.1 y 7.2; Constitución leída en el BOE]</w:t>
      </w:r>
    </w:p>
    <w:p>
      <w:r>
        <w:rPr>
          <w:b/>
        </w:rPr>
        <w:t>El gobierno: la conciencia.</w:t>
      </w:r>
      <w:r>
        <w:t xml:space="preserve"> Si el cuerpo es el territorio, la conciencia lo gobierna: decide cómo actuar, fija los propios valores y juzga los propios actos. Kant lo llamó salir de la minoría de edad: «la Ilustración es la salida del ser humano de su minoría de edad, de la que él mismo es culpable. Minoría de edad es la incapacidad de servirse del propio entendimiento sin la guía de otro»</w:t>
      </w:r>
      <w:r>
        <w:t xml:space="preserve"> [original: «Aufklärung ist der Ausgang des Menschen aus seiner selbstverschuldeten Unmündigkeit. Unmündigkeit ist das Unvermögen, sich seines Verstandes ohne Leitung eines anderen zu bedienen»]</w:t>
      </w:r>
      <w:r>
        <w:t xml:space="preserve"> (Kant, ¿Qué es la Ilustración?, 1784)</w:t>
      </w:r>
      <w:r>
        <w:br/>
      </w:r>
      <w:r>
        <w:rPr>
          <w:b/>
        </w:rPr>
        <w:t>pasaje guardado · Kant, ¿Qué es la Ilustración?, 1784</w:t>
      </w:r>
      <w:r>
        <w:br/>
      </w:r>
      <w:r>
        <w:rPr>
          <w:b/>
        </w:rPr>
        <w:t>Archivo leído:</w:t>
      </w:r>
      <w:r>
        <w:t xml:space="preserve"> 10.00_Kant_Was_ist_Aufklaerung_Berlinische_Monatsschrift_1784_dewikisource.html (c6\10.00_Kant_Was_ist_Aufklaerung_Berlinische_Monatsschrift_1784_dewikisource.html) · contraste del archivo de pasajes: ✔</w:t>
      </w:r>
      <w:r>
        <w:br/>
      </w:r>
      <w:r>
        <w:rPr>
          <w:b/>
        </w:rPr>
        <w:t>Lugar:</w:t>
      </w:r>
      <w:r>
        <w:t xml:space="preserve"> Kant, ¿Qué es la Ilustración?, 1784</w:t>
      </w:r>
      <w:r>
        <w:br/>
      </w:r>
      <w:r>
        <w:rPr>
          <w:b/>
        </w:rPr>
        <w:t>Tal como está en la fuente:</w:t>
      </w:r>
      <w:r>
        <w:t xml:space="preserve"> Aufklärung ist der Ausgang des Menschen aus seiner selbstverschuldeten Unmündigkeit. Unmündigkeit ist das Unvermögen, sich seines Verstandes ohne Leitung eines anderen zu bedienen</w:t>
      </w:r>
      <w:r>
        <w:t xml:space="preserve">. Y su lema: </w:t>
      </w:r>
      <w:r>
        <w:rPr>
          <w:i/>
        </w:rPr>
        <w:t>Sapere aude!</w:t>
      </w:r>
      <w:r>
        <w:t>, «¡atrévete a saber! ¡Ten valor para servirte de tu propio entendimiento!»</w:t>
      </w:r>
      <w:r>
        <w:t xml:space="preserve"> [original: «Habe Muth dich deines eigenen Verstandes zu bedienen!»]</w:t>
      </w:r>
      <w:r>
        <w:t>.</w:t>
      </w:r>
    </w:p>
    <w:p>
      <w:r>
        <w:t>[08.00-2.1 y 2.2; Kant leído en alemán, edición de la Academia, VIII, 35]</w:t>
      </w:r>
    </w:p>
    <w:p>
      <w:r>
        <w:rPr>
          <w:b/>
        </w:rPr>
        <w:t>La brújula viene dada.</w:t>
      </w:r>
      <w:r>
        <w:t xml:space="preserve"> La conciencia no se inventa; las tradiciones dicen que se recibe:</w:t>
      </w:r>
    </w:p>
    <w:p>
      <w:pPr>
        <w:pStyle w:val="ListBullet"/>
      </w:pPr>
      <w:r>
        <w:t>Siete veces dice el Génesis que Dios vio que lo creado era bueno, y la séptima: «he aquí que era bueno en gran manera»</w:t>
      </w:r>
      <w:r>
        <w:t xml:space="preserve"> (Gn 1:31)</w:t>
      </w:r>
      <w:r>
        <w:br/>
      </w:r>
      <w:r>
        <w:rPr>
          <w:b/>
        </w:rPr>
        <w:t>leída en su fuente · Gn 1:31</w:t>
      </w:r>
      <w:r>
        <w:br/>
      </w:r>
      <w:r>
        <w:rPr>
          <w:b/>
        </w:rPr>
        <w:t>Archivo leído:</w:t>
      </w:r>
      <w:r>
        <w:t xml:space="preserve"> spaRV1909_texto_corrido.txt (biblia_rv1909\spaRV1909_texto_corrido.txt) · contraste del archivo de pasajes: ✔</w:t>
      </w:r>
      <w:r>
        <w:br/>
      </w:r>
      <w:r>
        <w:rPr>
          <w:b/>
        </w:rPr>
        <w:t>Lugar:</w:t>
      </w:r>
      <w:r>
        <w:t xml:space="preserve"> Gn 1:31</w:t>
      </w:r>
      <w:r>
        <w:br/>
      </w:r>
      <w:r>
        <w:rPr>
          <w:b/>
        </w:rPr>
        <w:t>Tal como está en la fuente:</w:t>
      </w:r>
      <w:r>
        <w:t xml:space="preserve"> he aquí que era bueno en gran manera</w:t>
      </w:r>
      <w:r>
        <w:t>.</w:t>
      </w:r>
    </w:p>
    <w:p>
      <w:pPr>
        <w:pStyle w:val="ListBullet"/>
      </w:pPr>
      <w:r>
        <w:t>Pablo: los que no tienen ley muestran «la obra de la ley escrita en sus corazones, dando testimonio juntamente sus conciencias»</w:t>
      </w:r>
      <w:r>
        <w:t xml:space="preserve"> (Rm 2:15)</w:t>
      </w:r>
      <w:r>
        <w:br/>
      </w:r>
      <w:r>
        <w:rPr>
          <w:b/>
        </w:rPr>
        <w:t>leída en su fuente · Rm 2:15</w:t>
      </w:r>
      <w:r>
        <w:br/>
      </w:r>
      <w:r>
        <w:rPr>
          <w:b/>
        </w:rPr>
        <w:t>Archivo leído:</w:t>
      </w:r>
      <w:r>
        <w:t xml:space="preserve"> spaRV1909_texto_corrido.txt (biblia_rv1909\spaRV1909_texto_corrido.txt) · contraste del archivo de pasajes: ✔</w:t>
      </w:r>
      <w:r>
        <w:br/>
      </w:r>
      <w:r>
        <w:rPr>
          <w:b/>
        </w:rPr>
        <w:t>Lugar:</w:t>
      </w:r>
      <w:r>
        <w:t xml:space="preserve"> Rm 2:15</w:t>
      </w:r>
      <w:r>
        <w:br/>
      </w:r>
      <w:r>
        <w:rPr>
          <w:b/>
        </w:rPr>
        <w:t>Tal como está en la fuente:</w:t>
      </w:r>
      <w:r>
        <w:t xml:space="preserve"> la obra de la ley escrita en sus corazones, dando testimonio juntamente sus conciencias</w:t>
      </w:r>
      <w:r>
        <w:t>.</w:t>
      </w:r>
    </w:p>
    <w:p>
      <w:pPr>
        <w:pStyle w:val="ListBullet"/>
      </w:pPr>
      <w:r>
        <w:t>El Corán: «¡Por el alma y Quien le ha dado forma armoniosa, instruyéndole sobre su propensión al pecado y su temor de Dios!»</w:t>
      </w:r>
      <w:r>
        <w:t xml:space="preserve"> (Corán 91:7-8, traducción de Julio Cortés)</w:t>
      </w:r>
      <w:r>
        <w:br/>
      </w:r>
      <w:r>
        <w:rPr>
          <w:b/>
        </w:rPr>
        <w:t>leída en su fuente · Corán 91:7-8, traducción de Julio Cortés</w:t>
      </w:r>
      <w:r>
        <w:br/>
      </w:r>
      <w:r>
        <w:rPr>
          <w:b/>
        </w:rPr>
        <w:t>Archivo leído:</w:t>
      </w:r>
      <w:r>
        <w:t xml:space="preserve"> coran_cortes_tanzil_completo.txt (c4\coran_cortes_texto_corrido.txt; c4\coran_cortes_tanzil_completo.txt) · contraste del archivo de pasajes: ✔</w:t>
      </w:r>
      <w:r>
        <w:br/>
      </w:r>
      <w:r>
        <w:rPr>
          <w:b/>
        </w:rPr>
        <w:t>Lugar:</w:t>
      </w:r>
      <w:r>
        <w:t xml:space="preserve"> Corán 91:7-8, traducción de Julio Cortés</w:t>
      </w:r>
      <w:r>
        <w:br/>
      </w:r>
      <w:r>
        <w:rPr>
          <w:b/>
        </w:rPr>
        <w:t>Tal como está en la fuente:</w:t>
      </w:r>
      <w:r>
        <w:t xml:space="preserve"> ¡Por el alma y Quien le ha dado forma armoniosa, instruyéndole sobre su propensión al pecado y su temor de Dios!</w:t>
      </w:r>
      <w:r>
        <w:t>.</w:t>
      </w:r>
    </w:p>
    <w:p>
      <w:pPr>
        <w:pStyle w:val="ListBullet"/>
      </w:pPr>
      <w:r>
        <w:t>Mencio: todo ser humano tiene el brote del sentido de lo justo (</w:t>
      </w:r>
      <w:r>
        <w:t>1.4</w:t>
      </w:r>
      <w:r>
        <w:t>).</w:t>
      </w:r>
    </w:p>
    <w:p>
      <w:pPr>
        <w:pStyle w:val="ListBullet"/>
      </w:pPr>
      <w:r>
        <w:t>Y el discernimiento se forma con la práctica: es de «los que por la costumbre tienen los sentidos ejercitados en el discernimiento del bien y del mal» (Heb 5:14).</w:t>
      </w:r>
    </w:p>
    <w:p>
      <w:r>
        <w:t>[00.00-2.18; Reina-Valera Antigua y Corán de Cortés, leídos el 5-oct]</w:t>
      </w:r>
    </w:p>
    <w:p>
      <w:r>
        <w:rPr>
          <w:b/>
        </w:rPr>
        <w:t>El código: el respeto.</w:t>
      </w:r>
      <w:r>
        <w:t xml:space="preserve"> La única base para una unión entre personas libres es el respeto: reconocer que el otro es un misterio que nunca se poseerá del todo, y no moldearlo a la propia imagen. Kant lo dijo así: «en el reino de los fines, todo tiene o un precio o una dignidad»</w:t>
      </w:r>
      <w:r>
        <w:t xml:space="preserve"> [original: «Im Reiche der Zwecke hat alles entweder einen Preis, oder eine Würde»]</w:t>
      </w:r>
      <w:r>
        <w:t xml:space="preserve"> (Kant, Fundamentación de la metafísica de las costumbres, 1785)</w:t>
      </w:r>
      <w:r>
        <w:br/>
      </w:r>
      <w:r>
        <w:rPr>
          <w:b/>
        </w:rPr>
        <w:t>leída en su fuente · Kant, Fundamentación de la metafísica de las costumbres, 1785</w:t>
      </w:r>
      <w:r>
        <w:br/>
      </w:r>
      <w:r>
        <w:rPr>
          <w:b/>
        </w:rPr>
        <w:t>Archivo leído:</w:t>
      </w:r>
      <w:r>
        <w:t xml:space="preserve"> kant_gms434.html (c2\kant_gms434.html) · contraste del archivo de pasajes: ✔</w:t>
      </w:r>
      <w:r>
        <w:br/>
      </w:r>
      <w:r>
        <w:rPr>
          <w:b/>
        </w:rPr>
        <w:t>Lugar:</w:t>
      </w:r>
      <w:r>
        <w:t xml:space="preserve"> Kant, Fundamentación de la metafísica de las costumbres, 1785</w:t>
      </w:r>
      <w:r>
        <w:br/>
      </w:r>
      <w:r>
        <w:rPr>
          <w:b/>
        </w:rPr>
        <w:t>Tal como está en la fuente:</w:t>
      </w:r>
      <w:r>
        <w:t xml:space="preserve"> Im Reiche der Zwecke hat alles entweder einen Preis, oder eine Würde</w:t>
      </w:r>
      <w:r>
        <w:t>. Lo que tiene precio se puede cambiar por otra cosa; lo que no admite nada a cambio tiene dignidad. Y de ahí su regla: «obra de tal modo que trates a la humanidad, tanto en tu persona como en la de cualquier otro, siempre a la vez como fin y nunca solo como medio»</w:t>
      </w:r>
      <w:r>
        <w:t xml:space="preserve"> [original: «Handle so, daß du die Menschheit sowohl in deiner Person, als in der Person eines jeden andern jederzeit zugleich als Zweck, niemals bloß als Mittel brauchst»]</w:t>
      </w:r>
      <w:r>
        <w:t xml:space="preserve"> (misma obra)</w:t>
      </w:r>
      <w:r>
        <w:br/>
      </w:r>
      <w:r>
        <w:rPr>
          <w:b/>
        </w:rPr>
        <w:t>pasaje guardado · misma obra</w:t>
      </w:r>
      <w:r>
        <w:br/>
      </w:r>
      <w:r>
        <w:rPr>
          <w:b/>
        </w:rPr>
        <w:t>Archivo leído:</w:t>
      </w:r>
      <w:r>
        <w:t xml:space="preserve"> kant_gms429.html (c2\kant_gms429.html) · contraste del archivo de pasajes: parcial</w:t>
      </w:r>
      <w:r>
        <w:br/>
      </w:r>
      <w:r>
        <w:rPr>
          <w:b/>
        </w:rPr>
        <w:t>Lugar:</w:t>
      </w:r>
      <w:r>
        <w:t xml:space="preserve"> misma obra</w:t>
      </w:r>
      <w:r>
        <w:br/>
      </w:r>
      <w:r>
        <w:rPr>
          <w:b/>
        </w:rPr>
        <w:t>Tal como está en la fuente:</w:t>
      </w:r>
      <w:r>
        <w:t xml:space="preserve"> Handle so, daß du die Menschheit sowohl in deiner Person, als in der Person eines jeden andern jederzeit zugleich als Zweck, niemals bloß als Mittel brauchst</w:t>
      </w:r>
      <w:r>
        <w:t>. Es la idea de 2.2: la dignidad no se concede, se reconoce.</w:t>
      </w:r>
    </w:p>
    <w:p>
      <w:r>
        <w:t>[08.00-3.1 y 3.2; Kant leído en alemán, edición de la Academia, IV, 429 y 434]</w:t>
      </w:r>
    </w:p>
    <w:p>
      <w:r>
        <w:rPr>
          <w:b/>
        </w:rPr>
        <w:t>El filtro y la permanencia.</w:t>
      </w:r>
      <w:r>
        <w:t xml:space="preserve"> Lectura del autor:</w:t>
      </w:r>
    </w:p>
    <w:p>
      <w:pPr>
        <w:pStyle w:val="ListBullet"/>
      </w:pPr>
      <w:r>
        <w:t>No toda conciencia puede sostener un pacto de respeto: la que todavía gobiernan el miedo, la ira o la manipulación no puede comprometerse de verdad. Por eso, para entrar en una unión así, el autor propone el aval de dos o tres personas que conozcan a quien se suma; no como examen, sino como corresponsabilidad: quien avala pone en juego su propio criterio. Y la inmadurez «nunca es una condena permanente».</w:t>
      </w:r>
    </w:p>
    <w:p>
      <w:pPr>
        <w:pStyle w:val="ListBullet"/>
      </w:pPr>
      <w:r>
        <w:t>La pertenencia no es un título de por vida, sino una práctica diaria: «Por sus frutos los conoceréis»</w:t>
      </w:r>
      <w:r>
        <w:t xml:space="preserve"> (Mt 7:16; </w:t>
      </w:r>
      <w:r>
        <w:t>0.5</w:t>
      </w:r>
      <w:r>
        <w:t>)</w:t>
      </w:r>
      <w:r>
        <w:br/>
      </w:r>
      <w:r>
        <w:rPr>
          <w:b/>
        </w:rPr>
        <w:t>leída en su fuente · Mt 7:16</w:t>
      </w:r>
      <w:r>
        <w:br/>
      </w:r>
      <w:r>
        <w:rPr>
          <w:b/>
        </w:rPr>
        <w:t>Archivo leído:</w:t>
      </w:r>
      <w:r>
        <w:t xml:space="preserve"> biblia_c1.html (ant\c1\biblia_c1.html) · contraste del archivo de pasajes: ✔</w:t>
      </w:r>
      <w:r>
        <w:br/>
      </w:r>
      <w:r>
        <w:rPr>
          <w:b/>
        </w:rPr>
        <w:t>Lugar:</w:t>
      </w:r>
      <w:r>
        <w:t xml:space="preserve"> Mt 7:16</w:t>
      </w:r>
      <w:r>
        <w:br/>
      </w:r>
      <w:r>
        <w:rPr>
          <w:b/>
        </w:rPr>
        <w:t>Tal como está en la fuente:</w:t>
      </w:r>
      <w:r>
        <w:t xml:space="preserve"> Por sus frutos los conoceréis</w:t>
      </w:r>
      <w:r>
        <w:t>. Si alguien dice una cosa y hace otra, el pacto se rompe solo, sin tribunal ni castigo. Coherencia es pensar, decir, sentir y hacer en la misma dirección.</w:t>
      </w:r>
    </w:p>
    <w:p>
      <w:r>
        <w:t>[08.00-4.1 y 5.1, corregido: la pieza decía «Por sus actos los conoceréis», y el versículo dice «Por sus frutos»]</w:t>
      </w:r>
    </w:p>
    <w:p>
      <w:r>
        <w:rPr>
          <w:b/>
        </w:rPr>
        <w:t>La objeción, con su respuesta.</w:t>
      </w:r>
      <w:r>
        <w:t xml:space="preserve"> El Estado diría que exigir avales es un filtro arbitrario: él reconoce los mismos derechos a todos, sin aval de nadie</w:t>
      </w:r>
      <w:r>
        <w:t xml:space="preserve"> (Constitución, art. 14)</w:t>
      </w:r>
      <w:r>
        <w:t>. Es una objeción seria, y la obra la recoge: su propuesta pública no usa avales, y el jurado del juicio popular se elige por sorteo (</w:t>
      </w:r>
      <w:r>
        <w:t>11.1</w:t>
      </w:r>
      <w:r>
        <w:t>). El aval es solo para una unión voluntaria, no para acceder a ningún derecho.</w:t>
      </w:r>
    </w:p>
    <w:p>
      <w:r>
        <w:t>[08.00-7.6 y 7.7]</w:t>
      </w:r>
    </w:p>
    <w:p>
      <w:r>
        <w:rPr>
          <w:b/>
        </w:rPr>
        <w:t>Lo que esto es y lo que no es.</w:t>
      </w:r>
      <w:r>
        <w:t xml:space="preserve"> Es una ética personal de convivencia. No es un procedimiento para inscribir nada ante ningún registro, ni una guía para tratar con la Administración, ni una tesis sobre la naturaleza jurídica del Estado. Una unión así cabe dentro de la ley, como asociación: «Se reconoce el derecho de asociación»</w:t>
      </w:r>
      <w:r>
        <w:t xml:space="preserve"> (Constitución, art. 22.1)</w:t>
      </w:r>
      <w:r>
        <w:br/>
      </w:r>
      <w:r>
        <w:rPr>
          <w:b/>
        </w:rPr>
        <w:t>leída en su fuente · Constitución, art. 22.1</w:t>
      </w:r>
      <w:r>
        <w:br/>
      </w:r>
      <w:r>
        <w:rPr>
          <w:b/>
        </w:rPr>
        <w:t>Archivo leído:</w:t>
      </w:r>
      <w:r>
        <w:t xml:space="preserve"> ce.html (ant\c1\ce.html) · contraste del archivo de pasajes: ✔</w:t>
      </w:r>
      <w:r>
        <w:br/>
      </w:r>
      <w:r>
        <w:rPr>
          <w:b/>
        </w:rPr>
        <w:t>Lugar:</w:t>
      </w:r>
      <w:r>
        <w:t xml:space="preserve"> Constitución, art. 22.1</w:t>
      </w:r>
      <w:r>
        <w:br/>
      </w:r>
      <w:r>
        <w:rPr>
          <w:b/>
        </w:rPr>
        <w:t>Tal como está en la fuente:</w:t>
      </w:r>
      <w:r>
        <w:t xml:space="preserve"> Se reconoce el derecho de asociación</w:t>
      </w:r>
      <w:r>
        <w:t>. Quien quiera dar ese paso necesita asesoramiento profesional.</w:t>
      </w:r>
    </w:p>
    <w:p>
      <w:r>
        <w:t>[08.00-6.1 y 7.5]</w:t>
      </w:r>
    </w:p>
    <w:p>
      <w:pPr>
        <w:pStyle w:val="Heading2"/>
      </w:pPr>
      <w:r>
        <w:t>2.5 Todos somos aprendices: el gobierno de uno mismo</w:t>
      </w:r>
    </w:p>
    <w:p>
      <w:pPr>
        <w:pBdr>
          <w:left w:val="single" w:sz="24" w:space="6" w:color="E2DED6"/>
        </w:pBdr>
        <w:shd w:val="clear" w:color="auto" w:fill="F1EEE8"/>
        <w:spacing w:before="80" w:after="160"/>
        <w:ind w:left="142" w:right="142"/>
      </w:pPr>
      <w:r>
        <w:rPr>
          <w:b/>
        </w:rPr>
        <w:t>La idea: nadie es maduro por declararlo. Todos somos aprendices, y la madurez se reconoce en los frutos.</w:t>
      </w:r>
    </w:p>
    <w:p>
      <w:r>
        <w:rPr>
          <w:b/>
        </w:rPr>
        <w:t>El punto de partida</w:t>
      </w:r>
      <w:r>
        <w:t xml:space="preserve"> no es «yo no soy así», que todavía mira al propio ego, sino algo más humilde y más sólido: todos somos aprendices. Lo dicen tradiciones sin contacto documentado entre sí:</w:t>
      </w:r>
    </w:p>
    <w:p>
      <w:pPr>
        <w:pStyle w:val="ListBullet"/>
      </w:pPr>
      <w:r>
        <w:rPr>
          <w:b/>
        </w:rPr>
        <w:t>Sócrates:</w:t>
      </w:r>
      <w:r>
        <w:t xml:space="preserve"> «este cree saber algo sin saberlo; yo, como no lo sé, tampoco creo saberlo»</w:t>
      </w:r>
      <w:r>
        <w:t xml:space="preserve"> [original: «οὗτος μὲν οἴεταί τι εἰδέναι οὐκ εἰδώς, ἐγὼ δέ, ὥσπερ οὖν οὐκ οἶδα, οὐδὲ οἴομαι»]</w:t>
      </w:r>
      <w:r>
        <w:t xml:space="preserve"> (Platón, Apología 21d)</w:t>
      </w:r>
      <w:r>
        <w:br/>
      </w:r>
      <w:r>
        <w:rPr>
          <w:b/>
        </w:rPr>
        <w:t>leída en su fuente · Platón, Apología 21d</w:t>
      </w:r>
      <w:r>
        <w:br/>
      </w:r>
      <w:r>
        <w:rPr>
          <w:b/>
        </w:rPr>
        <w:t>Original donde está:</w:t>
      </w:r>
      <w:r>
        <w:t xml:space="preserve"> apol21.html</w:t>
      </w:r>
      <w:r>
        <w:br/>
      </w:r>
      <w:r>
        <w:t>El pasaje literal no está en el archivo de pasajes con este comienzo; la auditoría lo halló en ese original.</w:t>
      </w:r>
      <w:r>
        <w:t>. Es lo que se resume en «solo sé que no sé nada».</w:t>
      </w:r>
    </w:p>
    <w:p>
      <w:pPr>
        <w:pStyle w:val="ListBullet"/>
      </w:pPr>
      <w:r>
        <w:rPr>
          <w:b/>
        </w:rPr>
        <w:t>Confucio:</w:t>
      </w:r>
      <w:r>
        <w:t xml:space="preserve"> «saber lo que se sabe, y saber que no se sabe lo que no se sabe: eso es saber»</w:t>
      </w:r>
      <w:r>
        <w:t xml:space="preserve"> [original: «知之爲知之，不知爲不知，是知也»]</w:t>
      </w:r>
      <w:r>
        <w:t xml:space="preserve"> (Analectas 2.17)</w:t>
      </w:r>
      <w:r>
        <w:br/>
      </w:r>
      <w:r>
        <w:rPr>
          <w:b/>
        </w:rPr>
        <w:t>leída en su fuente · Analectas 2.17</w:t>
      </w:r>
      <w:r>
        <w:br/>
      </w:r>
      <w:r>
        <w:rPr>
          <w:b/>
        </w:rPr>
        <w:t>Original donde está:</w:t>
      </w:r>
      <w:r>
        <w:t xml:space="preserve"> zhwikisource_Analectas_為政第二.txt</w:t>
      </w:r>
      <w:r>
        <w:br/>
      </w:r>
      <w:r>
        <w:t>El pasaje literal no está en el archivo de pasajes con este comienzo; la auditoría lo halló en ese original.</w:t>
      </w:r>
      <w:r>
        <w:t>.</w:t>
      </w:r>
    </w:p>
    <w:p>
      <w:pPr>
        <w:pStyle w:val="ListBullet"/>
      </w:pPr>
      <w:r>
        <w:rPr>
          <w:b/>
        </w:rPr>
        <w:t>Jesús:</w:t>
      </w:r>
      <w:r>
        <w:t xml:space="preserve"> «si no os volviereis, y fuereis como niños, no entraréis en el reino de los cielos. Así que, cualquiera que se humillare como este niño, éste es el mayor en el reino de los cielos»</w:t>
      </w:r>
      <w:r>
        <w:t xml:space="preserve"> (Mt 18:3-4)</w:t>
      </w:r>
      <w:r>
        <w:br/>
      </w:r>
      <w:r>
        <w:rPr>
          <w:b/>
        </w:rPr>
        <w:t>leída en su fuente · Mt 18:3-4</w:t>
      </w:r>
      <w:r>
        <w:br/>
      </w:r>
      <w:r>
        <w:rPr>
          <w:b/>
        </w:rPr>
        <w:t>Archivo leído:</w:t>
      </w:r>
      <w:r>
        <w:t xml:space="preserve"> spaRV1909_texto_corrido.txt (biblia_rv1909\spaRV1909_texto_corrido.txt) · contraste del archivo de pasajes: ✔</w:t>
      </w:r>
      <w:r>
        <w:br/>
      </w:r>
      <w:r>
        <w:rPr>
          <w:b/>
        </w:rPr>
        <w:t>Lugar:</w:t>
      </w:r>
      <w:r>
        <w:t xml:space="preserve"> 10 FUENTES LEIDAS/c9h (índice, entrada 40)</w:t>
      </w:r>
      <w:r>
        <w:br/>
      </w:r>
      <w:r>
        <w:rPr>
          <w:b/>
        </w:rPr>
        <w:t>Tal como está en la fuente:</w:t>
      </w:r>
      <w:r>
        <w:t xml:space="preserve"> De cierto os digo, que si no os volviereis, y fuereis como niños, no entraréis en el reino de los cielos. Así que, cualquiera que se humillare como este niño, éste es el mayor en el reino de los cielos.</w:t>
      </w:r>
      <w:r>
        <w:t>.</w:t>
      </w:r>
    </w:p>
    <w:p>
      <w:pPr>
        <w:pStyle w:val="ListBullet"/>
      </w:pPr>
      <w:r>
        <w:rPr>
          <w:b/>
        </w:rPr>
        <w:t>Laozi:</w:t>
      </w:r>
      <w:r>
        <w:t xml:space="preserve"> «知不知上，不知知病» (saber que no se sabe es lo más alto; no saber que no se sabe es una enfermedad; Daodejing 71).</w:t>
      </w:r>
    </w:p>
    <w:p>
      <w:pPr>
        <w:pStyle w:val="ListBullet"/>
      </w:pPr>
      <w:r>
        <w:rPr>
          <w:b/>
        </w:rPr>
        <w:t>Los Pirkei Avot:</w:t>
      </w:r>
      <w:r>
        <w:t xml:space="preserve"> «אֵיזֶהוּ חָכָם, הַלּוֹמֵד מִכָּל אָדָם» (¿quién es sabio? El que aprende de toda persona; 4:1, palabras de Ben Zoma).</w:t>
      </w:r>
    </w:p>
    <w:p>
      <w:pPr>
        <w:pStyle w:val="ListBullet"/>
      </w:pPr>
      <w:r>
        <w:rPr>
          <w:b/>
        </w:rPr>
        <w:t>El islam:</w:t>
      </w:r>
      <w:r>
        <w:t xml:space="preserve"> «وَمَا تَوَاضَعَ أَحَدٌ لِلَّهِ إِلاَّ رَفَعَهُ اللَّهُ» (nadie se humilla ante Dios sin que Dios lo eleve; Sahih Muslim 2588; fuente secundaria: copia de datos de la colección, pendiente de cotejar con la edición impresa).</w:t>
      </w:r>
    </w:p>
    <w:p>
      <w:pPr>
        <w:pStyle w:val="ListBullet"/>
      </w:pPr>
      <w:r>
        <w:rPr>
          <w:b/>
        </w:rPr>
        <w:t>Y Job,</w:t>
      </w:r>
      <w:r>
        <w:t xml:space="preserve"> tras la mayor revelación de su libro, no se declara justo: «De oídas te había oído; Mas ahora mis ojos te ven. Por tanto me aborrezco, y me arrepiento En el polvo y en la ceniza» (Job 42:5-6).</w:t>
      </w:r>
    </w:p>
    <w:p>
      <w:r>
        <w:t>[00.00-3.1 a 3.8, corregido: Mateo y Job con el texto literal de la Reina-Valera; todos leídos en su original]</w:t>
      </w:r>
    </w:p>
    <w:p>
      <w:r>
        <w:rPr>
          <w:b/>
        </w:rPr>
        <w:t>La lucha interior.</w:t>
      </w:r>
      <w:r>
        <w:t xml:space="preserve"> Dentro de cada persona hay una tensión entre lo que se hace por reacción y lo que se elige con calma, mirando los hechos. Ninguna tradición investigada dice que exista alguien en quien esa lucha esté resuelta del todo:</w:t>
      </w:r>
    </w:p>
    <w:p>
      <w:pPr>
        <w:pStyle w:val="ListBullet"/>
      </w:pPr>
      <w:r>
        <w:rPr>
          <w:b/>
        </w:rPr>
        <w:t>Pablo:</w:t>
      </w:r>
      <w:r>
        <w:t xml:space="preserve"> «no hago el bien que quiero; mas el mal que no quiero, éste hago»</w:t>
      </w:r>
      <w:r>
        <w:t xml:space="preserve"> (Rm 7:19)</w:t>
      </w:r>
      <w:r>
        <w:br/>
      </w:r>
      <w:r>
        <w:rPr>
          <w:b/>
        </w:rPr>
        <w:t>leída en su fuente · Rm 7:19</w:t>
      </w:r>
      <w:r>
        <w:br/>
      </w:r>
      <w:r>
        <w:rPr>
          <w:b/>
        </w:rPr>
        <w:t>Archivo leído:</w:t>
      </w:r>
      <w:r>
        <w:t xml:space="preserve"> ro_7_19_rva.html; ro_7_24_rva.html (c9h\ro_7_19_rva.html) · contraste del archivo de pasajes: ✔</w:t>
      </w:r>
      <w:r>
        <w:br/>
      </w:r>
      <w:r>
        <w:rPr>
          <w:b/>
        </w:rPr>
        <w:t>Lugar:</w:t>
      </w:r>
      <w:r>
        <w:t xml:space="preserve"> v. 19</w:t>
      </w:r>
      <w:r>
        <w:br/>
      </w:r>
      <w:r>
        <w:rPr>
          <w:b/>
        </w:rPr>
        <w:t>Dirección:</w:t>
      </w:r>
      <w:r>
        <w:t xml:space="preserve"> </w:t>
      </w:r>
      <w:r>
        <w:t>https://www.biblegateway.com/passage/?search=Romans+7%3A19&amp;version=RVA</w:t>
      </w:r>
      <w:r>
        <w:t xml:space="preserve"> ; </w:t>
      </w:r>
      <w:r>
        <w:t>https://www.biblegateway.com/passage/?search=Romans+7%3A24&amp;version=RVA</w:t>
      </w:r>
      <w:r>
        <w:br/>
      </w:r>
      <w:r>
        <w:rPr>
          <w:b/>
        </w:rPr>
        <w:t>Tal como está en la fuente:</w:t>
      </w:r>
      <w:r>
        <w:t xml:space="preserve"> Porque no hago el bien que quiero; mas el mal que no quiero, éste hago.</w:t>
      </w:r>
      <w:r>
        <w:t>. Ni el apóstol se presenta como perfecto.</w:t>
      </w:r>
    </w:p>
    <w:p>
      <w:pPr>
        <w:pStyle w:val="ListBullet"/>
      </w:pPr>
      <w:r>
        <w:rPr>
          <w:b/>
        </w:rPr>
        <w:t>Platón:</w:t>
      </w:r>
      <w:r>
        <w:t xml:space="preserve"> el alma es como un auriga con dos caballos, uno «hermoso y bueno» y el otro «de lo contrario y contrario», y por eso conducirlos es «cosa difícil y penosa»</w:t>
      </w:r>
      <w:r>
        <w:t xml:space="preserve"> [original: «ὁ μὲν αὐτῷ καλός τε καὶ ἀγαθὸς [...], ὁ δ᾽ ἐξ ἐναντίων τε καὶ ἐναντίος»; «χαλεπὴ δὴ καὶ δύσκολος»]</w:t>
      </w:r>
      <w:r>
        <w:t xml:space="preserve"> (Fedro 246b)</w:t>
      </w:r>
      <w:r>
        <w:t>.</w:t>
      </w:r>
    </w:p>
    <w:p>
      <w:pPr>
        <w:pStyle w:val="ListBullet"/>
      </w:pPr>
      <w:r>
        <w:rPr>
          <w:b/>
        </w:rPr>
        <w:t>China, sin contacto documentado con Occidente:</w:t>
      </w:r>
      <w:r>
        <w:t xml:space="preserve"> Mencio sostenía que la naturaleza humana nace buena (</w:t>
      </w:r>
      <w:r>
        <w:t>1.4</w:t>
      </w:r>
      <w:r>
        <w:t>); Xunzi, que «la naturaleza humana es mala; lo bueno en ella es obra del esfuerzo»</w:t>
      </w:r>
      <w:r>
        <w:t xml:space="preserve"> [original: «人之性惡，其善者僞也»]</w:t>
      </w:r>
      <w:r>
        <w:t xml:space="preserve"> (Xunzi 23)</w:t>
      </w:r>
      <w:r>
        <w:br/>
      </w:r>
      <w:r>
        <w:rPr>
          <w:b/>
        </w:rPr>
        <w:t>leída en su fuente · Xunzi 23</w:t>
      </w:r>
      <w:r>
        <w:br/>
      </w:r>
      <w:r>
        <w:rPr>
          <w:b/>
        </w:rPr>
        <w:t>Original donde está:</w:t>
      </w:r>
      <w:r>
        <w:t xml:space="preserve"> xunzi23.html</w:t>
      </w:r>
      <w:r>
        <w:br/>
      </w:r>
      <w:r>
        <w:t>El pasaje literal no está en el archivo de pasajes con este comienzo; la auditoría lo halló en ese original.</w:t>
      </w:r>
      <w:r>
        <w:t>.</w:t>
      </w:r>
    </w:p>
    <w:p>
      <w:pPr>
        <w:pStyle w:val="ListBullet"/>
      </w:pPr>
      <w:r>
        <w:t>Y además: «Miserable hombre de mí!» (Rm 7:24, así en la Reina-Valera); «¿Por qué me llamas bueno? Ninguno es bueno sino uno, es á saber, Dios» (Mt 19:17); y el desacuerdo de Agustín y Pelagio en la cristiandad, el mismo que el de Mencio y Xunzi: para Agustín, la naturaleza con la que nacemos «ya necesita médico, porque no está sana» (iam medico indiget, quia sana non est); Pelagio respondía: «yo digo que el hombre puede estar sin pecado» (Ego dico posse esse hominem sine peccato; De natura et gratia 3 y 7).</w:t>
      </w:r>
    </w:p>
    <w:p>
      <w:pPr>
        <w:pStyle w:val="ListBullet"/>
      </w:pPr>
      <w:r>
        <w:t>Y un testimonio moderno: Aleksandr Solzhenitsyn, que sobrevivió a los campos soviéticos, escribió que «la línea que separa el bien del mal no pasa entre Estados, ni entre clases, ni entre partidos: pasa por cada corazón humano, y por todos los corazones humanos»; que incluso en un corazón abrazado por el mal «se mantiene una pequeña cabeza de puente del bien», y en el más bueno, «un rincón de mal sin arrancar» (линия, разделяющая добро и зло, проходит не между государствами, не между классами, не между партиями, — она проходит через каждое человеческое сердце; Archipiélago Gulag, parte IV, cap. 1).</w:t>
      </w:r>
    </w:p>
    <w:p>
      <w:r>
        <w:t>[00.00-4.1 a 4.6, corregido: Romanos y Mateo con el texto literal de la Reina-Valera; Platón, Xunzi, Agustín (latín) y Solzhenitsyn (ruso) leídos en el original]</w:t>
      </w:r>
    </w:p>
    <w:p>
      <w:r>
        <w:t xml:space="preserve">Lo que pasa cuando un poder deja de sentirse aprendiz, y deja de corregirse, se verá en </w:t>
      </w:r>
      <w:r>
        <w:t>6.2</w:t>
      </w:r>
      <w:r>
        <w:t>.</w:t>
      </w:r>
    </w:p>
    <w:p>
      <w:r>
        <w:t>[00.00-3.9 y 4.9]</w:t>
      </w:r>
    </w:p>
    <w:p>
      <w:r>
        <w:rPr>
          <w:b/>
        </w:rPr>
        <w:t>Tres palabras, definidas una vez:</w:t>
      </w:r>
    </w:p>
    <w:p>
      <w:pPr>
        <w:pStyle w:val="ListBullet"/>
      </w:pPr>
      <w:r>
        <w:rPr>
          <w:b/>
        </w:rPr>
        <w:t>aprendiz:</w:t>
      </w:r>
      <w:r>
        <w:t xml:space="preserve"> todos lo somos. Nadie se declara maduro a sí mismo.</w:t>
      </w:r>
    </w:p>
    <w:p>
      <w:pPr>
        <w:pStyle w:val="ListBullet"/>
      </w:pPr>
      <w:r>
        <w:rPr>
          <w:b/>
        </w:rPr>
        <w:t>madurez:</w:t>
      </w:r>
      <w:r>
        <w:t xml:space="preserve"> la que se reconoce por los frutos, es decir, por discernir el bien del mal con la práctica</w:t>
      </w:r>
      <w:r>
        <w:t xml:space="preserve"> (Heb 5:14)</w:t>
      </w:r>
      <w:r>
        <w:t>. No es un título. «Cuando yo era niño, hablaba como niño, pensaba como niño, juzgaba como niño, mas cuando ya fuí hombre hecho, dejé lo que era de niño»</w:t>
      </w:r>
      <w:r>
        <w:t xml:space="preserve"> (1 Co 13:11)</w:t>
      </w:r>
      <w:r>
        <w:br/>
      </w:r>
      <w:r>
        <w:rPr>
          <w:b/>
        </w:rPr>
        <w:t>leída en su fuente · 1 Co 13:11</w:t>
      </w:r>
      <w:r>
        <w:br/>
      </w:r>
      <w:r>
        <w:rPr>
          <w:b/>
        </w:rPr>
        <w:t>Archivo leído:</w:t>
      </w:r>
      <w:r>
        <w:t xml:space="preserve"> spaRV1909_texto_corrido.txt (biblia_rv1909\spaRV1909_texto_corrido.txt) · contraste del archivo de pasajes: ✔</w:t>
      </w:r>
      <w:r>
        <w:br/>
      </w:r>
      <w:r>
        <w:rPr>
          <w:b/>
        </w:rPr>
        <w:t>Lugar:</w:t>
      </w:r>
      <w:r>
        <w:t xml:space="preserve"> 1 Co 13:11</w:t>
      </w:r>
      <w:r>
        <w:br/>
      </w:r>
      <w:r>
        <w:rPr>
          <w:b/>
        </w:rPr>
        <w:t>Tal como está en la fuente:</w:t>
      </w:r>
      <w:r>
        <w:t xml:space="preserve"> Cuando yo era niño, hablaba como niño, pensaba como niño, juzgaba como niño, mas cuando ya fuí hombre hecho, dejé lo que era de niño</w:t>
      </w:r>
      <w:r>
        <w:t>.</w:t>
      </w:r>
    </w:p>
    <w:p>
      <w:pPr>
        <w:pStyle w:val="ListBullet"/>
      </w:pPr>
      <w:r>
        <w:rPr>
          <w:b/>
        </w:rPr>
        <w:t>el límite del respeto:</w:t>
      </w:r>
      <w:r>
        <w:t xml:space="preserve"> todo es respetable mientras no dañe al hermano o a la hermana. Es el límite de Mill (</w:t>
      </w:r>
      <w:r>
        <w:t>2.3</w:t>
      </w:r>
      <w:r>
        <w:t>) y el segundo paso de la vara (</w:t>
      </w:r>
      <w:r>
        <w:t>0.5</w:t>
      </w:r>
      <w:r>
        <w:t>).</w:t>
      </w:r>
    </w:p>
    <w:p>
      <w:r>
        <w:t>[glosario 9.2]</w:t>
      </w:r>
    </w:p>
    <w:p>
      <w:r>
        <w:rPr>
          <w:b/>
        </w:rPr>
        <w:t>La dificultad enseña, con su límite.</w:t>
      </w:r>
      <w:r>
        <w:t xml:space="preserve"> El autor oyó a un marinero este dicho: «De aguas mansas nunca han hecho marineros bravos». Es un dicho que él oyó, no una cita documentada. Platón dijo algo parecido en el mito de Er: de las almas que elegían mal su vida siguiente, la mayoría venían del cielo, porque «nunca habían sido instruidas por la prueba»</w:t>
      </w:r>
      <w:r>
        <w:t xml:space="preserve"> [original: «they had never been schooled by trial»]</w:t>
      </w:r>
      <w:r>
        <w:t>; en cambio, las que venían de la tierra, «habiendo sufrido ellas mismas y visto sufrir a otros, no se precipitaban al elegir»</w:t>
      </w:r>
      <w:r>
        <w:t xml:space="preserve"> [original: «having themselves suffered and seen others suffer, were not in a hurry to choose»]</w:t>
      </w:r>
      <w:r>
        <w:t xml:space="preserve"> (República X, 619c-d, traducción inglesa de Jowett)</w:t>
      </w:r>
      <w:r>
        <w:br/>
      </w:r>
      <w:r>
        <w:rPr>
          <w:b/>
        </w:rPr>
        <w:t>leída en su fuente · República X, 619c-d, traducción inglesa de Jowett</w:t>
      </w:r>
      <w:r>
        <w:br/>
      </w:r>
      <w:r>
        <w:rPr>
          <w:b/>
        </w:rPr>
        <w:t>Archivo leído:</w:t>
      </w:r>
      <w:r>
        <w:t xml:space="preserve"> platon_republica_jowett_gutenberg_1497.txt (c9h\platon_republica_jowett_gutenberg_1497.txt) · contraste del archivo de pasajes: ✔</w:t>
      </w:r>
      <w:r>
        <w:br/>
      </w:r>
      <w:r>
        <w:rPr>
          <w:b/>
        </w:rPr>
        <w:t>Lugar:</w:t>
      </w:r>
      <w:r>
        <w:t xml:space="preserve"> República X, 619c-d, traducción inglesa de Jowett</w:t>
      </w:r>
      <w:r>
        <w:br/>
      </w:r>
      <w:r>
        <w:rPr>
          <w:b/>
        </w:rPr>
        <w:t>Tal como está en la fuente:</w:t>
      </w:r>
      <w:r>
        <w:t xml:space="preserve"> having themselves suffered and seen others suffer, were not in a hurry to choose</w:t>
      </w:r>
      <w:r>
        <w:t>. El límite: que la dificultad enseñe no justifica a quien la causa. El daño al prójimo se sigue midiendo con la vara (</w:t>
      </w:r>
      <w:r>
        <w:t>0.5</w:t>
      </w:r>
      <w:r>
        <w:t>).</w:t>
      </w:r>
    </w:p>
    <w:p>
      <w:r>
        <w:t>[glosario 9.2]</w:t>
      </w:r>
    </w:p>
    <w:p>
      <w:r>
        <w:rPr>
          <w:b/>
        </w:rPr>
        <w:t>El aprendizaje a lo largo de las vidas, y el juicio del corazón.</w:t>
      </w:r>
      <w:r>
        <w:t xml:space="preserve"> Que al final se juzga lo que hay en el corazón y en las obras coincide en Egipto, Israel, el islam, la India, el budismo tibetano y el taoísmo. Que se aprende de una vida a otra lo dicen la India, Grecia y, a su modo, el taoísmo; pero el cristianismo y el islam mayoritarios enseñan una sola vida, seguida del juicio y la resurrección. Por eso la reencarnación queda abierta.</w:t>
      </w:r>
    </w:p>
    <w:p>
      <w:r>
        <w:t>Los textos:</w:t>
      </w:r>
    </w:p>
    <w:p>
      <w:pPr>
        <w:pStyle w:val="ListBullet"/>
      </w:pPr>
      <w:r>
        <w:t>«Yo Jehová, que escudriño el corazón, que pruebo los riñones, para dar á cada uno según su camino, según el fruto de sus obras» (Jer 17:10);</w:t>
      </w:r>
    </w:p>
    <w:p>
      <w:pPr>
        <w:pStyle w:val="ListBullet"/>
      </w:pPr>
      <w:r>
        <w:t>el día del juicio «no aprovechen hacienda ni hijos varones, excepto a quien vaya a Alá con corazón sano» (Corán 26:88-89);</w:t>
      </w:r>
    </w:p>
    <w:p>
      <w:pPr>
        <w:pStyle w:val="ListBullet"/>
      </w:pPr>
      <w:r>
        <w:t>«yaṁ yaṁ vāpi smaran bhāvaṁ tyajaty ante kalevaram / taṁ tam evaiti» (el estado del ser que uno recuerda al dejar el cuerpo, ese mismo alcanza; Bhagavad Gita 8.6);</w:t>
      </w:r>
    </w:p>
    <w:p>
      <w:pPr>
        <w:pStyle w:val="ListBullet"/>
      </w:pPr>
      <w:r>
        <w:t>«aneka-janma-saṁsiddhas tato yāti parāṁ gatim» (perfeccionado a lo largo de muchos nacimientos, alcanza entonces la meta suprema; Gita 6.45).</w:t>
      </w:r>
    </w:p>
    <w:p>
      <w:r>
        <w:t>[glosario 9.2.1, leído en su fuente el 5-oct; Jeremías, en la Reina-Valera]</w:t>
      </w:r>
    </w:p>
    <w:p>
      <w:r>
        <w:rPr>
          <w:b/>
        </w:rPr>
        <w:t>Conclusión, lo que arrojan los datos:</w:t>
      </w:r>
      <w:r>
        <w:t xml:space="preserve"> sea en una vida o en muchas, lo que converge es el aprendizaje mismo: aprender a «discernir entre el bien y el mal, y así elegir siempre y en todas partes la vida mejor»</w:t>
      </w:r>
      <w:r>
        <w:t xml:space="preserve"> [original: «discern between good and evil, and so to choose always and everywhere the better life»]</w:t>
      </w:r>
      <w:r>
        <w:t xml:space="preserve"> (Platón, República X, 618c)</w:t>
      </w:r>
      <w:r>
        <w:br/>
      </w:r>
      <w:r>
        <w:rPr>
          <w:b/>
        </w:rPr>
        <w:t>leída en su fuente · Platón, República X, 618c</w:t>
      </w:r>
      <w:r>
        <w:br/>
      </w:r>
      <w:r>
        <w:rPr>
          <w:b/>
        </w:rPr>
        <w:t>Archivo leído:</w:t>
      </w:r>
      <w:r>
        <w:t xml:space="preserve"> platon_republica_jowett_gutenberg_1497.txt (c9h\platon_republica_jowett_gutenberg_1497.txt) · contraste del archivo de pasajes: ✔</w:t>
      </w:r>
      <w:r>
        <w:br/>
      </w:r>
      <w:r>
        <w:rPr>
          <w:b/>
        </w:rPr>
        <w:t>Lugar:</w:t>
      </w:r>
      <w:r>
        <w:t xml:space="preserve"> Platón, República X, 618c</w:t>
      </w:r>
      <w:r>
        <w:br/>
      </w:r>
      <w:r>
        <w:rPr>
          <w:b/>
        </w:rPr>
        <w:t>Tal como está en la fuente:</w:t>
      </w:r>
      <w:r>
        <w:t xml:space="preserve"> discern between good and evil, and so to choose always and everywhere the better life</w:t>
      </w:r>
      <w:r>
        <w:t>.</w:t>
      </w:r>
    </w:p>
    <w:p>
      <w:r>
        <w:rPr>
          <w:b/>
        </w:rPr>
        <w:t>Lectura del autor:</w:t>
      </w:r>
      <w:r>
        <w:t xml:space="preserve"> «La humanidad ha sufrido un aprendizaje a lo largo de toda su historia, y estamos en una fase donde existen seres más maduros y otros que siguen su nivel de despertar a la autoconciencia todavía con una mente más infantil. Esto es normal: todos partimos de niveles distintos según nuestras experiencias y según el nivel de consciencia que cada uno haya cultivado en sí mismo […]. Todo es respetable mientras no haga daño a su hermano o hermana». Y al oír la frase «vaciarse de uno mismo», el autor entendió esto: vaciarse del ego, la voz que reacciona, para que quede el observador consciente, aliado con lo que él llama la supraconciencia. De ahí nace no juzgar, y sí exponer los hechos: el mal no se combate con más mal; se ilumina, se expone y se le da la oportunidad de corregirse; y si persiste, queda registrado, y por sus frutos se sabe a quién sigue.</w:t>
      </w:r>
    </w:p>
    <w:p>
      <w:r>
        <w:t>[glosario 9.2; 00.00-4.8]</w:t>
      </w:r>
    </w:p>
    <w:p>
      <w:r>
        <w:rPr>
          <w:b/>
        </w:rPr>
        <w:t>El grano y la paja, con su condición.</w:t>
      </w:r>
      <w:r>
        <w:t xml:space="preserve"> Lectura del autor: la vara se aplica a los dos lados, también a quien audita. Grano es quien, por repetición, hace el bien, lo siente, lo reconoce y se rige por principios morales; paja, quien por repetición muestra con sus hechos que sigue al padre de la mentira</w:t>
      </w:r>
      <w:r>
        <w:t xml:space="preserve"> (Jn 8:44)</w:t>
      </w:r>
      <w:r>
        <w:t>. «Así, todo buen árbol lleva buenos frutos; mas el árbol maleado lleva malos frutos»</w:t>
      </w:r>
      <w:r>
        <w:t xml:space="preserve"> (Mt 7:17)</w:t>
      </w:r>
      <w:r>
        <w:br/>
      </w:r>
      <w:r>
        <w:rPr>
          <w:b/>
        </w:rPr>
        <w:t>leída en su fuente · Mt 7:17</w:t>
      </w:r>
      <w:r>
        <w:br/>
      </w:r>
      <w:r>
        <w:rPr>
          <w:b/>
        </w:rPr>
        <w:t>Archivo leído:</w:t>
      </w:r>
      <w:r>
        <w:t xml:space="preserve"> mt_7_17-18_rva.html; mt_7_17-18_rvr1960.html (c9h\mt_7_17-18_rva.html) · contraste del archivo de pasajes: ✔</w:t>
      </w:r>
      <w:r>
        <w:br/>
      </w:r>
      <w:r>
        <w:rPr>
          <w:b/>
        </w:rPr>
        <w:t>Lugar:</w:t>
      </w:r>
      <w:r>
        <w:t xml:space="preserve"> RVA, v. 17</w:t>
      </w:r>
      <w:r>
        <w:br/>
      </w:r>
      <w:r>
        <w:rPr>
          <w:b/>
        </w:rPr>
        <w:t>Dirección:</w:t>
      </w:r>
      <w:r>
        <w:t xml:space="preserve"> </w:t>
      </w:r>
      <w:r>
        <w:t>https://www.biblegateway.com/passage/?search=Matthew+7%3A17-18&amp;version=RVA</w:t>
      </w:r>
      <w:r>
        <w:t xml:space="preserve"> ; </w:t>
      </w:r>
      <w:r>
        <w:t>…&amp;version=RVR1960</w:t>
      </w:r>
      <w:r>
        <w:br/>
      </w:r>
      <w:r>
        <w:rPr>
          <w:b/>
        </w:rPr>
        <w:t>Tal como está en la fuente:</w:t>
      </w:r>
      <w:r>
        <w:t xml:space="preserve"> Así, todo buen árbol lleva buenos frutos; mas el árbol maleado lleva malos frutos.</w:t>
      </w:r>
      <w:r>
        <w:t>. Con la condición del propio texto: «Dejad crecer juntamente lo uno y lo otro hasta la siega»</w:t>
      </w:r>
      <w:r>
        <w:t xml:space="preserve"> (Mt 13:30)</w:t>
      </w:r>
      <w:r>
        <w:br/>
      </w:r>
      <w:r>
        <w:rPr>
          <w:b/>
        </w:rPr>
        <w:t>leída en su fuente · Mt 13:30</w:t>
      </w:r>
      <w:r>
        <w:br/>
      </w:r>
      <w:r>
        <w:rPr>
          <w:b/>
        </w:rPr>
        <w:t>Archivo leído:</w:t>
      </w:r>
      <w:r>
        <w:t xml:space="preserve"> mt_13_29_rva.html (13:29); mt_13_30_rva.html; rvr1960_mt_13_29-30.html (c9g\mt_13_30_rva.html; c9g\rvr1960_mt_13_29-30.html) · contraste del archivo de pasajes: ✔</w:t>
      </w:r>
      <w:r>
        <w:br/>
      </w:r>
      <w:r>
        <w:rPr>
          <w:b/>
        </w:rPr>
        <w:t>Lugar:</w:t>
      </w:r>
      <w:r>
        <w:t xml:space="preserve"> RVA 13:29</w:t>
      </w:r>
      <w:r>
        <w:br/>
      </w:r>
      <w:r>
        <w:rPr>
          <w:b/>
        </w:rPr>
        <w:t>Dirección:</w:t>
      </w:r>
      <w:r>
        <w:t xml:space="preserve"> </w:t>
      </w:r>
      <w:r>
        <w:t>https://www.biblegateway.com/passage/?search=Matthew+13%3A30&amp;version=RVA</w:t>
      </w:r>
      <w:r>
        <w:br/>
      </w:r>
      <w:r>
        <w:rPr>
          <w:b/>
        </w:rPr>
        <w:t>Tal como está en la fuente:</w:t>
      </w:r>
      <w:r>
        <w:t xml:space="preserve"> Dejad crecer juntamente lo uno y lo otro hasta la siega; y al tiempo de la siega yo diré á los segadores: Coged primero la cizaña, y atadla en manojos para quemarla; mas recoged el trigo en mi alfolí.</w:t>
      </w:r>
      <w:r>
        <w:t>, y «la siega es el fin del mundo, y los segadores son los ángeles»</w:t>
      </w:r>
      <w:r>
        <w:t xml:space="preserve"> (Mt 13:39)</w:t>
      </w:r>
      <w:r>
        <w:br/>
      </w:r>
      <w:r>
        <w:rPr>
          <w:b/>
        </w:rPr>
        <w:t>leída en su fuente · Mt 13:39</w:t>
      </w:r>
      <w:r>
        <w:br/>
      </w:r>
      <w:r>
        <w:rPr>
          <w:b/>
        </w:rPr>
        <w:t>Archivo leído:</w:t>
      </w:r>
      <w:r>
        <w:t xml:space="preserve"> spaRV1909_vpl.txt (biblia_rv1909\spaRV1909_vpl.txt) · contraste del archivo de pasajes: ✔</w:t>
      </w:r>
      <w:r>
        <w:br/>
      </w:r>
      <w:r>
        <w:rPr>
          <w:b/>
        </w:rPr>
        <w:t>Lugar:</w:t>
      </w:r>
      <w:r>
        <w:t xml:space="preserve"> Mt 13:39 (RV1909)</w:t>
      </w:r>
      <w:r>
        <w:br/>
      </w:r>
      <w:r>
        <w:rPr>
          <w:b/>
        </w:rPr>
        <w:t>Tal como está en la fuente:</w:t>
      </w:r>
      <w:r>
        <w:t xml:space="preserve"> Y el enemigo que la sembró, es el diablo; y la siega es el fin del mundo, y los segadores son los ángeles.</w:t>
      </w:r>
      <w:r>
        <w:t>. Por eso la obra no arranca a nadie: discierne caso a caso, con pruebas, y la siega final no es nuestra. Que «ha llegado este tiempo» es lectura del autor: es el tiempo del desvelamiento y del discernimiento, no de la siega.</w:t>
      </w:r>
    </w:p>
    <w:p>
      <w:r>
        <w:t>[00.00-2.20; glosario 9.2; Reina-Valera Antigua]</w:t>
      </w:r>
    </w:p>
    <w:p>
      <w:r>
        <w:rPr>
          <w:b/>
        </w:rPr>
        <w:t>La buena fe y la necesidad.</w:t>
      </w:r>
      <w:r>
        <w:t xml:space="preserve"> Lectura del autor: la buena fe se presume en toda persona, y la ley la presume en quien posee algo: «La buena fe se presume siempre, y al que afirma la mala fe de un poseedor corresponde la prueba»</w:t>
      </w:r>
      <w:r>
        <w:t xml:space="preserve"> (Código Civil, art. 434)</w:t>
      </w:r>
      <w:r>
        <w:br/>
      </w:r>
      <w:r>
        <w:rPr>
          <w:b/>
        </w:rPr>
        <w:t>leída en su fuente · Código Civil, art. 434</w:t>
      </w:r>
      <w:r>
        <w:br/>
      </w:r>
      <w:r>
        <w:rPr>
          <w:b/>
        </w:rPr>
        <w:t>Archivo leído:</w:t>
      </w:r>
      <w:r>
        <w:t xml:space="preserve"> …Codigo_Civil_consolidado.html (ant\c1\cc.html) · contraste del archivo de pasajes: ✔</w:t>
      </w:r>
      <w:r>
        <w:br/>
      </w:r>
      <w:r>
        <w:rPr>
          <w:b/>
        </w:rPr>
        <w:t>Lugar:</w:t>
      </w:r>
      <w:r>
        <w:t xml:space="preserve"> Art. 434</w:t>
      </w:r>
      <w:r>
        <w:br/>
      </w:r>
      <w:r>
        <w:rPr>
          <w:b/>
        </w:rPr>
        <w:t>Dirección:</w:t>
      </w:r>
      <w:r>
        <w:t xml:space="preserve"> </w:t>
      </w:r>
      <w:r>
        <w:t>https://www.boe.es/buscar/act.php?id=BOE-A-1889-4763#art434</w:t>
      </w:r>
      <w:r>
        <w:br/>
      </w:r>
      <w:r>
        <w:rPr>
          <w:b/>
        </w:rPr>
        <w:t>Tal como está en la fuente:</w:t>
      </w:r>
      <w:r>
        <w:t xml:space="preserve"> La buena fe se presume siempre, y al que afirma la mala fe de un poseedor corresponde la prueba.</w:t>
      </w:r>
      <w:r>
        <w:t>. Donde la miseria ahoga, ya no hay ni moral ni juicio, solo supervivencia. Por eso el Código Penal exime de responsabilidad a quien, «en estado de necesidad, para evitar un mal propio o ajeno lesione un bien jurídico de otra persona o infrinja un deber», si el mal que causa no es mayor que el que evita</w:t>
      </w:r>
      <w:r>
        <w:t xml:space="preserve"> (Código Penal, art. 20.5.º)</w:t>
      </w:r>
      <w:r>
        <w:t>. Pero no responde igual quien sabe que quien no sabe: «á cualquiera que fué dado mucho, mucho será vuelto á demandar de él»</w:t>
      </w:r>
      <w:r>
        <w:t xml:space="preserve"> (Lc 12:48)</w:t>
      </w:r>
      <w:r>
        <w:br/>
      </w:r>
      <w:r>
        <w:rPr>
          <w:b/>
        </w:rPr>
        <w:t>leída en su fuente · Lc 12:48</w:t>
      </w:r>
      <w:r>
        <w:br/>
      </w:r>
      <w:r>
        <w:rPr>
          <w:b/>
        </w:rPr>
        <w:t>Archivo leído:</w:t>
      </w:r>
      <w:r>
        <w:t xml:space="preserve"> lc_12_47-48_rva.html (c9c\lc_12_47-48_rva.html) · contraste del archivo de pasajes: ✔</w:t>
      </w:r>
      <w:r>
        <w:br/>
      </w:r>
      <w:r>
        <w:rPr>
          <w:b/>
        </w:rPr>
        <w:t>Dirección:</w:t>
      </w:r>
      <w:r>
        <w:t xml:space="preserve"> </w:t>
      </w:r>
      <w:r>
        <w:t>https://www.biblegateway.com/passage/?search=Luke+12%3A47-48&amp;version=RVA</w:t>
      </w:r>
      <w:r>
        <w:br/>
      </w:r>
      <w:r>
        <w:rPr>
          <w:b/>
        </w:rPr>
        <w:t>Tal como está en la fuente:</w:t>
      </w:r>
      <w:r>
        <w:t xml:space="preserve"> 47 Porque el siervo que entendió la voluntad de su señor, y no se apercibió, ni hizo conforme á su voluntad, será azotado mucho. 48 Mas el que no entendió, é hizo cosas dignas de azotes, será azotado poco: porque á cualquiera que fué dado mucho, mucho será vuelto á demandar de él; y al que encomendaron mucho, más le será pedido.</w:t>
      </w:r>
      <w:r>
        <w:t>.</w:t>
      </w:r>
    </w:p>
    <w:p>
      <w:r>
        <w:t>Proverbios lo dice así: «No tienen en poco al ladrón, cuando hurtare Para saciar su alma teniendo hambre: Empero tomado, paga las setenas» (Pr 6:30-31).</w:t>
      </w:r>
    </w:p>
    <w:p>
      <w:r>
        <w:t>[00.00-2.21, corregido: Proverbios con el texto literal; Código Civil y Código Penal leídos en el BOE]</w:t>
      </w:r>
    </w:p>
    <w:p>
      <w:pPr>
        <w:pStyle w:val="Heading2"/>
      </w:pPr>
      <w:r>
        <w:t>2.6 El camino que sigue esta obra, y el que deja</w:t>
      </w:r>
    </w:p>
    <w:p>
      <w:pPr>
        <w:pBdr>
          <w:left w:val="single" w:sz="24" w:space="6" w:color="E2DED6"/>
        </w:pBdr>
        <w:shd w:val="clear" w:color="auto" w:fill="F1EEE8"/>
        <w:spacing w:before="80" w:after="160"/>
        <w:ind w:left="142" w:right="142"/>
      </w:pPr>
      <w:r>
        <w:rPr>
          <w:b/>
        </w:rPr>
        <w:t>La idea: esta obra parte de la misma raíz que muchas personas que defienden su soberanía, pero sigue un camino distinto, el de la prueba: lo que no tiene documento es una presunción, y no se admite.</w:t>
      </w:r>
    </w:p>
    <w:p>
      <w:r>
        <w:rPr>
          <w:b/>
        </w:rPr>
        <w:t>El camino.</w:t>
      </w:r>
      <w:r>
        <w:t xml:space="preserve"> Esta obra empezó con la documentación que reúnen personas de distintos países que defienden su soberanía. Se intentó comprobar sus fuentes, una por una. Se vio que seguían un camino en el que tienen razón en lo esencial, pero que no era el correcto. Por eso la obra sigue otro, que sale del mismo punto y se aparta donde falta la prueba: la constancia escrita, el juicio popular de la verdad y la metamorfosis del Estado (</w:t>
      </w:r>
      <w:r>
        <w:t>capítulo 10</w:t>
      </w:r>
      <w:r>
        <w:t>). Ese camino acaba en el bien común, donde todos somos soberanos. Y es, además, un método de medir que va tomando forma: descorre el velo entre lo que algo es y lo que aparenta ser, y sirve en todos los estratos o niveles de percepción.</w:t>
      </w:r>
    </w:p>
    <w:p>
      <w:r>
        <w:t>[09.00-0.1]</w:t>
      </w:r>
    </w:p>
    <w:p>
      <w:r>
        <w:rPr>
          <w:b/>
        </w:rPr>
        <w:t>El patrón.</w:t>
      </w:r>
      <w:r>
        <w:t xml:space="preserve"> Ninguna de las afirmaciones sin documento que circulan por ese camino necesita mala fe para hacer daño: basta con que alguien las crea y actúe en consecuencia, y eso lo expone, de buena fe, a riesgos reales: multas, condenas y pérdida de bienes. La estructura se repite: un hecho real sirve de apoyo para una conclusión que ese hecho nunca sostuvo. Entre los casos estudiados están una costumbre de escritura de la Roma antigua, una ley inglesa de 1666 y una fianza que en Estados Unidos deben depositar algunos cargos públicos. Los casos completos, con sus fuentes, están en el </w:t>
      </w:r>
      <w:r>
        <w:t>anexo E</w:t>
      </w:r>
      <w:r>
        <w:t>.</w:t>
      </w:r>
    </w:p>
    <w:p>
      <w:r>
        <w:t>[09.00-6.1]</w:t>
      </w:r>
    </w:p>
    <w:p>
      <w:r>
        <w:rPr>
          <w:b/>
        </w:rPr>
        <w:t>El riesgo real en España.</w:t>
      </w:r>
      <w:r>
        <w:t xml:space="preserve"> Quien cree que «el libre tránsito no requiere carné de conducir» se expone a un delito. El Código Penal castiga a quien conduce un vehículo de motor «sin haber obtenido nunca permiso o licencia de conducción» con «la pena de prisión de tres a seis meses o con la de multa de doce a veinticuatro meses o con la de trabajos en beneficio de la comunidad de treinta y uno a noventa días»</w:t>
      </w:r>
      <w:r>
        <w:t xml:space="preserve"> (Código Penal, art. 384)</w:t>
      </w:r>
      <w:r>
        <w:br/>
      </w:r>
      <w:r>
        <w:rPr>
          <w:b/>
        </w:rPr>
        <w:t>leída en su fuente · Código Penal, art. 384</w:t>
      </w:r>
      <w:r>
        <w:br/>
      </w:r>
      <w:r>
        <w:rPr>
          <w:b/>
        </w:rPr>
        <w:t>Archivo leído:</w:t>
      </w:r>
      <w:r>
        <w:t xml:space="preserve"> cp.html (c2\cp.html) · contraste del archivo de pasajes: ✔</w:t>
      </w:r>
      <w:r>
        <w:br/>
      </w:r>
      <w:r>
        <w:rPr>
          <w:b/>
        </w:rPr>
        <w:t>Lugar:</w:t>
      </w:r>
      <w:r>
        <w:t xml:space="preserve"> Código Penal, art. 384</w:t>
      </w:r>
      <w:r>
        <w:br/>
      </w:r>
      <w:r>
        <w:rPr>
          <w:b/>
        </w:rPr>
        <w:t>Tal como está en la fuente:</w:t>
      </w:r>
      <w:r>
        <w:t xml:space="preserve"> la pena de prisión de tres a seis meses o con la de multa de doce a veinticuatro meses o con la de trabajos en beneficio de la comunidad de treinta y uno a noventa días</w:t>
      </w:r>
      <w:r>
        <w:t>. No se ha encontrado ninguna sentencia española que nombre estas teorías por su nombre.</w:t>
      </w:r>
    </w:p>
    <w:p>
      <w:r>
        <w:t>[09.00-5.1 y 5.2; Código Penal leído en el BOE]</w:t>
      </w:r>
    </w:p>
    <w:p>
      <w:r>
        <w:rPr>
          <w:b/>
        </w:rPr>
        <w:t>El método es el mismo.</w:t>
      </w:r>
      <w:r>
        <w:t xml:space="preserve"> Lo que sirve para comprobar una verdad sirve igual para examinar una afirmación sin documento: preguntar por la fuente primaria y comprobar si dice lo que se afirma que dice. Si no hay fuente, es una presunción (</w:t>
      </w:r>
      <w:r>
        <w:t>0.4</w:t>
      </w:r>
      <w:r>
        <w:t>), y se pide a quien la sostiene que aporte dónde nace.</w:t>
      </w:r>
    </w:p>
    <w:p>
      <w:r>
        <w:t>[09.00-6.1]</w:t>
      </w:r>
    </w:p>
    <w:p>
      <w:r>
        <w:rPr>
          <w:b/>
        </w:rPr>
        <w:t>Lo que esta obra no es.</w:t>
      </w:r>
      <w:r>
        <w:t xml:space="preserve"> No exime de ninguna obligación vigente: «Los ciudadanos y los poderes públicos están sujetos a la Constitución y al resto del ordenamiento jurídico»</w:t>
      </w:r>
      <w:r>
        <w:t xml:space="preserve"> (Constitución, art. 9.1)</w:t>
      </w:r>
      <w:r>
        <w:br/>
      </w:r>
      <w:r>
        <w:rPr>
          <w:b/>
        </w:rPr>
        <w:t>leída en su fuente · Constitución, art. 9.1</w:t>
      </w:r>
      <w:r>
        <w:br/>
      </w:r>
      <w:r>
        <w:rPr>
          <w:b/>
        </w:rPr>
        <w:t>Archivo leído:</w:t>
      </w:r>
      <w:r>
        <w:t xml:space="preserve"> constitucion_1978.html (c5\constitucion_1978.html) · contraste del archivo de pasajes: ✔</w:t>
      </w:r>
      <w:r>
        <w:br/>
      </w:r>
      <w:r>
        <w:rPr>
          <w:b/>
        </w:rPr>
        <w:t>Lugar:</w:t>
      </w:r>
      <w:r>
        <w:t xml:space="preserve"> Art. 9.1 (#a9)</w:t>
      </w:r>
      <w:r>
        <w:br/>
      </w:r>
      <w:r>
        <w:rPr>
          <w:b/>
        </w:rPr>
        <w:t>Dirección:</w:t>
      </w:r>
      <w:r>
        <w:t xml:space="preserve"> </w:t>
      </w:r>
      <w:r>
        <w:t>https://www.boe.es/buscar/act.php?id=BOE-A-1978-31229</w:t>
      </w:r>
      <w:r>
        <w:br/>
      </w:r>
      <w:r>
        <w:rPr>
          <w:b/>
        </w:rPr>
        <w:t>Tal como está en la fuente:</w:t>
      </w:r>
      <w:r>
        <w:t xml:space="preserve"> 1. Los ciudadanos y los poderes públicos están sujetos a la Constitución y al resto del ordenamiento jurídico.</w:t>
      </w:r>
      <w:r>
        <w:t>. No invita a desobedecer. Su vía es la constancia escrita, la petición documentada y el juicio popular de la verdad, que juzga instituciones, no personas (</w:t>
      </w:r>
      <w:r>
        <w:t>0.2</w:t>
      </w:r>
      <w:r>
        <w:t>).</w:t>
      </w:r>
    </w:p>
    <w:p>
      <w:r>
        <w:t>[libro de estilo §4; 09.00-7.9]</w:t>
      </w:r>
    </w:p>
    <w:p>
      <w:pPr>
        <w:pStyle w:val="Heading2"/>
      </w:pPr>
      <w:r>
        <w:t>Límite honesto de la prueba</w:t>
      </w:r>
    </w:p>
    <w:p>
      <w:pPr>
        <w:pStyle w:val="ListBullet"/>
      </w:pPr>
      <w:r>
        <w:rPr>
          <w:b/>
        </w:rPr>
        <w:t>La Declaración Universal no es un tratado.</w:t>
      </w:r>
      <w:r>
        <w:t xml:space="preserve"> Es una resolución de la Asamblea General. En España sirve de guía obligada para interpretar los derechos que reconoce la Constitución</w:t>
      </w:r>
      <w:r>
        <w:t xml:space="preserve"> (Constitución, art. 10.2)</w:t>
      </w:r>
      <w:r>
        <w:t xml:space="preserve">, y la mayoría de esos derechos están, además, en la propia Constitución. </w:t>
      </w:r>
      <w:r>
        <w:t>[03.00-30.2; Constitución leída en el BOE]</w:t>
      </w:r>
    </w:p>
    <w:p>
      <w:pPr>
        <w:pStyle w:val="ListBullet"/>
      </w:pPr>
      <w:r>
        <w:rPr>
          <w:b/>
        </w:rPr>
        <w:t>No todos los derechos se pueden exigir igual.</w:t>
      </w:r>
      <w:r>
        <w:t xml:space="preserve"> Los del capítulo de los principios rectores (la seguridad social, la salud, la vivienda, la tercera edad o la cultura) «Sólo podrán ser alegados ante la Jurisdicción ordinaria de acuerdo con lo que dispongan las leyes que los desarrollen»</w:t>
      </w:r>
      <w:r>
        <w:t xml:space="preserve"> (Constitución, art. 53.3)</w:t>
      </w:r>
      <w:r>
        <w:br/>
      </w:r>
      <w:r>
        <w:rPr>
          <w:b/>
        </w:rPr>
        <w:t>leída en su fuente · Constitución, art. 53.3</w:t>
      </w:r>
      <w:r>
        <w:br/>
      </w:r>
      <w:r>
        <w:rPr>
          <w:b/>
        </w:rPr>
        <w:t>Archivo leído:</w:t>
      </w:r>
      <w:r>
        <w:t xml:space="preserve"> constitucion_1978.html (c5\constitucion_1978.html) · contraste del archivo de pasajes: ✔</w:t>
      </w:r>
      <w:r>
        <w:br/>
      </w:r>
      <w:r>
        <w:rPr>
          <w:b/>
        </w:rPr>
        <w:t>Lugar:</w:t>
      </w:r>
      <w:r>
        <w:t xml:space="preserve"> Art. 53.3 (#a53)</w:t>
      </w:r>
      <w:r>
        <w:br/>
      </w:r>
      <w:r>
        <w:rPr>
          <w:b/>
        </w:rPr>
        <w:t>Dirección:</w:t>
      </w:r>
      <w:r>
        <w:t xml:space="preserve"> </w:t>
      </w:r>
      <w:r>
        <w:t>https://www.boe.es/buscar/act.php?id=BOE-A-1978-31229</w:t>
      </w:r>
      <w:r>
        <w:br/>
      </w:r>
      <w:r>
        <w:rPr>
          <w:b/>
        </w:rPr>
        <w:t>Tal como está en la fuente:</w:t>
      </w:r>
      <w:r>
        <w:t xml:space="preserve"> Sólo podrán ser alegados ante la Jurisdicción ordinaria de acuerdo con lo que dispongan</w:t>
      </w:r>
      <w:r>
        <w:t xml:space="preserve">. </w:t>
      </w:r>
      <w:r>
        <w:t>[03.00-34.4 y 34.5]</w:t>
      </w:r>
    </w:p>
    <w:p>
      <w:pPr>
        <w:pStyle w:val="ListBullet"/>
      </w:pPr>
      <w:r>
        <w:rPr>
          <w:b/>
        </w:rPr>
        <w:t>Las libertades públicas tienen amparo.</w:t>
      </w:r>
      <w:r>
        <w:t xml:space="preserve"> Cualquier ciudadano puede pedir su tutela ante los tribunales ordinarios «y, en su caso, a través del recurso de amparo ante el Tribunal Constitucional»</w:t>
      </w:r>
      <w:r>
        <w:t xml:space="preserve"> (Constitución, art. 53.2)</w:t>
      </w:r>
      <w:r>
        <w:br/>
      </w:r>
      <w:r>
        <w:rPr>
          <w:b/>
        </w:rPr>
        <w:t>leída en su fuente · Constitución, art. 53.2</w:t>
      </w:r>
      <w:r>
        <w:br/>
      </w:r>
      <w:r>
        <w:rPr>
          <w:b/>
        </w:rPr>
        <w:t>Archivo leído:</w:t>
      </w:r>
      <w:r>
        <w:t xml:space="preserve"> c6 (ídem) (ant\c1\ce.html) · contraste del archivo de pasajes: ✔</w:t>
      </w:r>
      <w:r>
        <w:br/>
      </w:r>
      <w:r>
        <w:rPr>
          <w:b/>
        </w:rPr>
        <w:t>Tal como está en la fuente:</w:t>
      </w:r>
      <w:r>
        <w:t xml:space="preserve"> y, en su caso, a través del recurso de amparo ante el Tribunal Constitucional</w:t>
      </w:r>
      <w:r>
        <w:t xml:space="preserve">. </w:t>
      </w:r>
      <w:r>
        <w:t>[03.00-34.6 y 34.7]</w:t>
      </w:r>
    </w:p>
    <w:p>
      <w:pPr>
        <w:pStyle w:val="ListBullet"/>
      </w:pPr>
      <w:r>
        <w:rPr>
          <w:b/>
        </w:rPr>
        <w:t>El cuerpo ya está protegido por la ley</w:t>
      </w:r>
      <w:r>
        <w:t xml:space="preserve"> (Constitución, arts. 15 y 17.4)</w:t>
      </w:r>
      <w:r>
        <w:t xml:space="preserve">, y el </w:t>
      </w:r>
      <w:r>
        <w:rPr>
          <w:i/>
        </w:rPr>
        <w:t>habeas corpus</w:t>
      </w:r>
      <w:r>
        <w:t xml:space="preserve"> existe para eso. </w:t>
      </w:r>
      <w:r>
        <w:t>[08.00-7.2 y 7.3]</w:t>
      </w:r>
    </w:p>
    <w:p>
      <w:pPr>
        <w:pStyle w:val="ListBullet"/>
      </w:pPr>
      <w:r>
        <w:rPr>
          <w:b/>
        </w:rPr>
        <w:t>«Soberanos somos todos» no exime de la ley</w:t>
      </w:r>
      <w:r>
        <w:t xml:space="preserve"> ni da autoridad frente a nadie</w:t>
      </w:r>
      <w:r>
        <w:t xml:space="preserve"> (Constitución, art. 9.1)</w:t>
      </w:r>
      <w:r>
        <w:t xml:space="preserve">. </w:t>
      </w:r>
      <w:r>
        <w:t>[00.00-1.3]</w:t>
      </w:r>
    </w:p>
    <w:p>
      <w:pPr>
        <w:pStyle w:val="ListBullet"/>
      </w:pPr>
      <w:r>
        <w:rPr>
          <w:b/>
        </w:rPr>
        <w:t>La unión basada en el respeto no sustituye al Estado.</w:t>
      </w:r>
      <w:r>
        <w:t xml:space="preserve"> Es una ética personal; si alguien quiere darle forma legal, cabe como asociación</w:t>
      </w:r>
      <w:r>
        <w:t xml:space="preserve"> (Constitución, art. 22.1)</w:t>
      </w:r>
      <w:r>
        <w:t xml:space="preserve">. </w:t>
      </w:r>
      <w:r>
        <w:t>[08.00-7.4 y 7.5]</w:t>
      </w:r>
    </w:p>
    <w:p>
      <w:pPr>
        <w:pStyle w:val="ListBullet"/>
      </w:pPr>
      <w:r>
        <w:rPr>
          <w:b/>
        </w:rPr>
        <w:t>Lo que no tiene documento no se admite, y en eso el Estado tiene razón</w:t>
      </w:r>
      <w:r>
        <w:t xml:space="preserve"> (</w:t>
      </w:r>
      <w:r>
        <w:t>2.6</w:t>
      </w:r>
      <w:r>
        <w:t xml:space="preserve">). Pero que una afirmación no tenga documento no hace verdadero lo contrario. </w:t>
      </w:r>
      <w:r>
        <w:t>[09.00-7.2, 7.3, 7.8 y 7.9]</w:t>
      </w:r>
    </w:p>
    <w:p>
      <w:pPr>
        <w:pStyle w:val="ListBullet"/>
      </w:pPr>
      <w:r>
        <w:rPr>
          <w:b/>
        </w:rPr>
        <w:t>Las fuentes que no se han podido leer en el original</w:t>
      </w:r>
      <w:r>
        <w:t xml:space="preserve"> van marcadas como «fuente secundaria»: la </w:t>
      </w:r>
      <w:r>
        <w:rPr>
          <w:i/>
        </w:rPr>
        <w:t>persona ficta</w:t>
      </w:r>
      <w:r>
        <w:t xml:space="preserve"> atribuida a Inocencio IV, la crítica de Mboti a Ubuntu y el hadiz de Muslim, leído en una copia de datos de la colección.</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«una unión basada solo en el respeto es una utopía», «a un Estado no se le juzga por la coherencia de sus actos», «si esas afirmaciones no tienen documento, la desconfianza es infundada» y «las normas que esas afirmaciones invitan a desobedecer protegen a todos»;</w:t>
      </w:r>
    </w:p>
    <w:p>
      <w:pPr>
        <w:pStyle w:val="ListBullet"/>
      </w:pPr>
      <w:r>
        <w:rPr>
          <w:b/>
        </w:rPr>
        <w:t xml:space="preserve">en el </w:t>
      </w:r>
      <w:r>
        <w:rPr>
          <w:b/>
        </w:rPr>
        <w:t>cargo 2</w:t>
      </w:r>
      <w:r>
        <w:rPr>
          <w:b/>
        </w:rPr>
        <w:t xml:space="preserve"> («Nada por encima de la Constitución»):</w:t>
      </w:r>
      <w:r>
        <w:t xml:space="preserve"> «todos están sujetos a la Constitución»;</w:t>
      </w:r>
    </w:p>
    <w:p>
      <w:pPr>
        <w:pStyle w:val="ListBullet"/>
      </w:pPr>
      <w:r>
        <w:rPr>
          <w:b/>
        </w:rPr>
        <w:t xml:space="preserve">en el </w:t>
      </w:r>
      <w:r>
        <w:rPr>
          <w:b/>
        </w:rPr>
        <w:t>cargo 10</w:t>
      </w:r>
      <w:r>
        <w:rPr>
          <w:b/>
        </w:rPr>
        <w:t xml:space="preserve"> («El Estado social»):</w:t>
      </w:r>
      <w:r>
        <w:t xml:space="preserve"> «cada derecho tiene su ancla: España cumple la Declaración», «los derechos sociales son principios rectores, no derechos exigibles», «las libertades públicas están garantizadas» y «el cuerpo ya está protegido por la ley»;</w:t>
      </w:r>
    </w:p>
    <w:p>
      <w:pPr>
        <w:pStyle w:val="ListBullet"/>
      </w:pPr>
      <w:r>
        <w:rPr>
          <w:b/>
        </w:rPr>
        <w:t xml:space="preserve">en el </w:t>
      </w:r>
      <w:r>
        <w:rPr>
          <w:b/>
        </w:rPr>
        <w:t>cargo 13</w:t>
      </w:r>
      <w:r>
        <w:rPr>
          <w:b/>
        </w:rPr>
        <w:t xml:space="preserve"> («El cobro sin juez»):</w:t>
      </w:r>
      <w:r>
        <w:t xml:space="preserve"> «la propiedad está reconocida y protegida»;</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r>
        <w:t>[clasificación de las defensas, aprobada; glosario 8.13]</w:t>
      </w:r>
    </w:p>
    <w:p>
      <w:pPr>
        <w:pStyle w:val="Heading2"/>
      </w:pPr>
      <w:r>
        <w:t>Para recordar</w:t>
      </w:r>
    </w:p>
    <w:p>
      <w:pPr>
        <w:pStyle w:val="ListBullet"/>
      </w:pPr>
      <w:r>
        <w:t>La persona nace; la persona jurídica se constituye. A la primera la ley la encuentra; a la segunda la hace.</w:t>
      </w:r>
    </w:p>
    <w:p>
      <w:pPr>
        <w:pStyle w:val="ListBullet"/>
      </w:pPr>
      <w:r>
        <w:t>Los derechos que preceden al Estado no los da la ley: los reconoce. La Declaración Universal los llama «inalienables» y la Constitución, «inherentes».</w:t>
      </w:r>
    </w:p>
    <w:p>
      <w:pPr>
        <w:pStyle w:val="ListBullet"/>
      </w:pPr>
      <w:r>
        <w:t>«Soberanos somos todos»: cada persona es dueña de sí misma, nadie lo es de otra, y nadie queda por eso fuera de la ley.</w:t>
      </w:r>
    </w:p>
    <w:p>
      <w:pPr>
        <w:pStyle w:val="ListBullet"/>
      </w:pPr>
      <w:r>
        <w:t>El cuerpo es el territorio de cada persona; la conciencia, su gobierno; el respeto, la única base para convivir.</w:t>
      </w:r>
    </w:p>
    <w:p>
      <w:pPr>
        <w:pStyle w:val="ListBullet"/>
      </w:pPr>
      <w:r>
        <w:t>Todos somos aprendices: la madurez no se declara, se ve en los frutos.</w:t>
      </w:r>
    </w:p>
    <w:p>
      <w:pPr>
        <w:pStyle w:val="ListBullet"/>
      </w:pPr>
      <w:r>
        <w:t>Lo que se afirma sin documento es una presunción y no se admite; la vía de esta obra es la constancia escrita y el juicio popular de la verdad.</w:t>
      </w:r>
    </w:p>
    <w:p>
      <w:pPr>
        <w:pStyle w:val="ListBullet"/>
      </w:pPr>
      <w:r>
        <w:rPr>
          <w:b/>
        </w:rPr>
        <w:t>Lo que aquí se expone que hay que podar (lectura del autor):</w:t>
      </w:r>
      <w:r>
        <w:t xml:space="preserve"> la creencia de que los derechos de la persona los da la ley, y de que un ente sin cuerpo puede quitar lo que ella trae al nacer; y también toda presunción sin documento, la diga quien la diga.</w:t>
      </w:r>
    </w:p>
    <w:p>
      <w:pPr>
        <w:pStyle w:val="ListBullet"/>
      </w:pPr>
      <w:r>
        <w:rPr>
          <w:b/>
        </w:rPr>
        <w:t>Lo siguiente:</w:t>
      </w:r>
      <w:r>
        <w:t xml:space="preserve"> la ley de Dios, abierta: el Arca, lo que los pueblos guardaron como ley por encima de toda ley (</w:t>
      </w:r>
      <w:r>
        <w:t>capítulo 3</w:t>
      </w:r>
      <w:r>
        <w:t>).</w:t>
      </w:r>
    </w:p>
    <w:p>
      <w:r>
        <w:br w:type="page"/>
      </w:r>
    </w:p>
    <w:p>
      <w:pPr>
        <w:pStyle w:val="Heading1"/>
      </w:pPr>
      <w:r>
        <w:t>3 Lo que todas las tradiciones guardaron: el Arca</w:t>
      </w:r>
    </w:p>
    <w:p>
      <w:pPr>
        <w:spacing w:after="200"/>
      </w:pPr>
      <w:r>
        <w:rPr>
          <w:rFonts w:ascii="Segoe UI" w:hAnsi="Segoe UI" w:eastAsia="Segoe UI" w:cs="Segoe UI"/>
          <w:color w:val="6B665E"/>
          <w:sz w:val="17"/>
        </w:rPr>
        <w:t>Primera versión: 5 de octubre de 2026 · Última revisión: 12 de octubre de 2026 · Cambios anotados en el capítulo: 22 · Citas leídas en su fuente: 175</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(orden de 08.30, fila 722 de 08/01, comprobado en la RV1909 local): en 3.4, Pablo «estaba preso del mismo Imperio» pasa a «acabó preso del mismo Imperio»: Romanos se escribió antes de la custodia (Rm 15:25) y la custodia de Hch 28:16 es después, en Roma; las dos fuentes citadas no cambian (07/herramientas/aplicar_acabo_preso_3_4.py). Ninguna otra palabra cambia. Cambio del 12-oct-2026, el cierre, dentro del paso 3 (B13: Kiko, chat de 08.18, 06:3x, «si» a la forma «sin contacto documentado entre sí»; orden de 08.29, filas 709 y 710 de 08/01, tras la auditoría de 10.36): las 4 frases en este capítulo con la forma de antes pasan a decir «sin contacto documentado» (07/herramientas/aplicar_contacto_documentado.py). Ninguna otra palabra cambia. Cambio del 12-oct-2026, el cierre, paso 2 (Kiko, chat de 08.28, 19:4x: «SI» a los flecos del cierre; orden firme de 08.28 y ADELANTE de 08.29; Kiko, chat de 08, 20:2x, al texto: «SI CONFIRMO»): en 3.7, al final del punto «El juicio último no es del hombre», su otra cara, sin resolverla: 1 Co 6:2, «los santos han de juzgar al mundo», con 1 Co 6:1 para decir a qué viene; las palabras, de la RV1909 local (07/herramientas/aplicar_1co6_2.py). Ninguna otra palabra cambia. Cambio del 12-oct-2026, los Jubileos leídos (Kiko, a la línea de 05 FLECOS del paso 1, tal cual: «Aquí pone que falta por leer. Pues que se lea.»; leído en local por 08.29 y su orden): en 3.5, en «Conclusión, lo que arrojan los datos», vuelve la lista atribuida a los papas, sin el siglo, que no lo dice ninguna fuente: el Decreto Gelasiano (ant/canon/gel_en.html) y R. H. Charles, 1902 (c4/jubileos_charles_1902.txt), con sus marcas; y los dos, en la línea de las fuentes. Ninguna otra palabra cambia. Cambio del 12-oct-2026, los flecos del cierre (Kiko, chat de 08.28, 19:4x, a «¿sí a los seis flecos tal cual? Recomendación: sí a los seis», tal cual: «SI»; orden firme de 08.28): en 3.5, en «Conclusión, lo que arrojan los datos», sale «En el siglo VI, una lista atribuida a los papas puso Jubileos entre los apócrifos.», porque ni el siglo ni que el libro sea el de los Jubileos están leídos en su fuente (el Decreto Gelasiano, ant/canon/gel_en.html, dice «Leptogeneseos»; va a 06/05 FLECOS); y la línea de las fuentes nombra las de los otros dos pasos, leídas en su archivo del lote del canon: Tertuliano, De cultu feminarum I, 3 (tert_cultu_en.html), que defiende el libro de Enoc y dice que no está en el canon judío, y el edicto de Tesalónica, Código Teodosiano XVI, 1, 2 (cth16.html). La frase resumen se queda: san Agustín, ya citado (La ciudad de Dios XV, 23), llama apócrifos a los escritos de Enoc. Ninguna otra palabra cambia. Cambio del 12-oct-2026 (Kiko, chat de 08.27, 17:5x, a la propuesta de 08.27 de una frase más en el párrafo «El Arca» de 3.0, hecha solo con lo que dice la Reina-Valera en local y el guiño sin explicarlo, tal cual: «SI CONCUERDO»; orden firme y ADELANTE de 08.27; borrador B24, construido por programa desde la Reina-Valera Antigua local): en 3.0, en el párrafo «El Arca», detrás de Dt 10:5, una frase: las tablas eran «las palabras de la alianza» (Ex 34:28) y en el arca no había más que las dos tablas de piedra de Horeb, donde Jehová hizo la alianza (1 R 8:9); y el guiño, sin explicarlo: si lo que reúne es la ley de Dios, bien podría llamarse el arca de la alianza con Dios. Ningún título cambia. Sin palabra nueva.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de 08.26 y ADELANTE de 08.27, con su retoque de 1 S 16:13; borrador B23, construido por programa desde los índices verificados D y E de el_camino_y_el_aviso): en 3.7, detrás de la conclusión «todo se ve y, en la mayoría, queda escrito» y de su línea de fuente, y delante de «Lectura del autor: aviso a navegantes», que no cambia, una conclusión de dato: el ungido, tal como lo dice el texto («Cristo» es «ungido», un título y no un apellido; ungir es untar con aceite para un oficio; el Espíritu lo muda; de unos pocos, y prometido a todos; converge en las tres patas, con la diferencia nombrada y con sus límites); los pasajes, en F.9, punto 16. Y, por dos mensajes de Kiko en el chat de 11.10 (12-oct, 17:4x, pasados por 11.10 tal cual; orden firme de 08.27), dos retoques en lo del séptimo sello de 3.7: al final de la enumeración de «Donde la fuente dice otra cosa», que la Reina-Valera dice «desatar» los siete sellos donde el griego del Apocalipsis dice solo «abrir» (Kiko: «Un detalle: en el griego el verbo es abrir; la Reina-Valera añade «desatar». Esto me parece un detalle importante. Añade esta información donde corresponda.»); y el título del punto del juicio pasa de «El juicio es de Dios y del Cordero, según sus obras» a «El juicio es de Dios y del Cordero, y a cada uno según sus obras», porque se leía como si las obras fueran las de Dios y del Cordero (Kiko: «El juicio es de Dios y del Cordero, según sus obras Tampoco entiendo el significado porque el juicio es de Dios y del Cordero.»). Sin palabra nueva.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y ADELANTE de 08.26; borrador B22, construido por programa desde el índice verificado el_septimo_sello): en 3.7, detrás de la conclusión «el aviso y quién juzga» y de su línea de fuente, una conclusión de dato: el séptimo sello, tal como lo dice el texto (quién abre y con qué verbo; un silencio que abre las trompetas, no el final; el juicio, de Dios y del Cordero, según sus obras, con su otra cara, Ap 20:4; y el cuándo en sus dos caras, de donde el texto saca velar); los pasajes, en F.9, punto 15. Sin palabra nueva. Ninguna otra palabra cambia. Cambio del 12-oct-2026 (Kiko, chat de 08.24, 15:0x, pasado por 08.24 tal cual: «SI CONCUERDO» a la línea de dato junto al «¿qué vas a hacer cuando nadie te mira?», fila 569 de 08/01; ADELANTE de 08.25, 15:1x): en 3.7, justo antes de «Lectura del autor: aviso a navegantes», una conclusión de dato: todo se ve, en diez de las trece tradiciones leídas y en las tres patas; queda escrito, en ocho, pero solo en una pata, Israel; para qué, y la frase de los cabellos contados; y lo que va en contra (borrador construido por programa: cada pasaje, en F.9, punto 14). Ninguna otra palabra cambia. Cambio del 12-oct-2026 (Kiko, chat de 08.22, 12:1x, pasado por 08.22 tal cual: «si concuerdo» y «concuerdo si» al B19, filas 527 y 528 de 08/01; el cribado, con sus dos decisiones del parlamento 08/23, apartado 10: «si asi es concuerdo», 13:5x, y «si estoy de acuerdo es que se escribe asi... acepto tu recomendacion si», 14:0x, con el remate de 14:1x; orden firme de 08.24, 14:2x, y su «ADELANTE», 14:4x): un apartado nuevo, 3.7 «Arqueología en busca de las reglas del juego de la vida», detrás de 3.6 (el patrón en tres tiempos, la tabla de doce tradiciones, la cuenta como dato, lo que no encaja, la orden de Zeus dicha exacta y lo que converge sobre el aviso y quién juzga, como dato; el cribado con la pesa y el aviso a navegantes, como lectura del autor); su línea en 3.0 (la de 3.6 acaba ahora en punto y coma); un punto en «En pocas palabras», otro en el «Límite honesto» y otro en «Para recordar», antes de «Lo siguiente» (borrador B19, construido por programa: cada pasaje, en F.9). De paso, en «Para recordar», «sin que los pueblos se leyeran» pasa a «en pueblos sin contacto documentado entre sí», la forma que Kiko aprobó en el B13 (copia omitida entonces).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un punto nuevo: «Lo siguiente», el puente al capítulo 4 (borrador B16). Ninguna otra palabra cambia. Cambio del 12-oct-2026 (B13, punto 7 en otra forma; decisión de 08.18 sobre la frase que Kiko aprobó en el chat de 08.18, 06:3x: «si»; la vio 10.29): en 3.1, «al menos tres que no se leyeron entre sí (la Biblia, Hesíodo y el budismo)» pasa a «sin contacto documentado entre sí»; en 3.6, «Israel, China y la India no se leyeron entre sí» pasa a «Entre Israel, China y la India no hay contacto documentado». Ninguna otra palabra cambia. Cambio del 12-oct-2026 (Kiko, chat de 08.18, 06:3x, pasado por 08.18 tal cual, a «¿das el sí a los nueve cambios de 07.6?»: «si»; borrador B13, el barrido de los cuantificadores vagos en las frases con dato): «pueblos que nunca se leyeron» pasa a «pueblos sin contacto documentado entre sí» en «En pocas palabras» y en «La idea» de 3.2; la conclusión de 3.2 ya no llama «sin contacto entre sí» a una lista que junta a Israel, Persia, Mesopotamia, Egipto y Grecia (el límite honesto ya dice que la pata que depende de otra no cuenta aparte): «civilizaciones de todos los continentes […], cada uno con tres o más patas independientes»; en 3.1, «La esclavitud estuvo en casi todos los pueblos» pasa a «estuvo muy extendida»; y «La idea» de 3.3 nombra quién condenó la usura, como su conclusión: Israel, Grecia y el islam, y la India la limitó (antes, «casi todas las tradiciones»). Ninguna otra palabra cambia. Cambio del 9-oct-2026 (Kiko: «Sí, ponlo en 1.5»; fila 29 de 04p): en 3.2, en «La condición: lo que se repite no es por eso ley», una frase tras el caso de la esclavitud que añade el robo hacia fuera de unos germanos y la mutilación genital femenina y remite a 1.5. Cambio del 9-oct-2026 (cierre de los avisos de las patas del Arca, tras el informe del agente de fuentes; Kiko: «sigue con el agente y cierra lo pendiente»): en 3.2, los avisos de P1 (Gran Ley de la Paz: Parker 1916, The Canadian Encyclopedia y Britannica), P2, P3, P4 y P5; en P4 se añaden el Canon de Shun (Shujing) y el Yueling (Liji), con la traducción de Legge; en 3.3, el aviso sobre Etiopía, Nicea y España se apoya en el texto de Mercado de 1569; y los dos puntos del «Límite honesto de la prueba». Se quita Wikipedia como fuente (00b §6), se retiran las fechas que la página citada no sostenía y se apoya cada aviso en una fuente leída o lo dice. Cambio del 9-oct-2026 (Kiko: «si Etiopía converge tiene que ser nombrada; tiene que ser nombrada todo aquello que converja, a no ser que exista una diferencia complementaria, que también se anota»): la conclusión de 3.3 nombra de frente a Etiopía, Nicea y España («las recogen también… que parten de la Biblia»), en vez de ponerlas entre paréntesis. Siguen sin contar como patas independientes de la regla de las tres, porque citan la Biblia, y el aviso de 3.3 lo dice. Ningún texto se quita. Cambio del 9-oct-2026 (Kiko: «sí a las tres» el 8-oct y «para todo lo demás, queda confirmado» el 9-oct; filas 6 a 11 de 04p, ajustes 1 a 6 de la línea del tiempo): avisos de dependencia y de fecha: en 3.2, una frase al abrir y un «Aviso» en P1 (Gran Ley de la Paz), P2 (1 Samuel y 1 Reyes), P3 (Ptahhotep), P4 (Analectas 20.1) y P5 (Éxodo 22:7-8); en 3.3, un aviso sobre Etiopía, Nicea y España, que repiten la Biblia, y la conclusión sin Etiopía entre las tradiciones; y un punto nuevo en el «Límite honesto de la prueba». Las fechas y los parecidos entre textos son de enciclopedia (fuente secundaria, nivel B); no se ha cambiado ninguna cita ni ningún texto original. Cambio del 8-oct-2026 (fase de reparación, traducciones sin original, cuarta tanda): puestos los originales del Mahabharata 12.89 (edición crítica de Pune, GRETIL) y de Hesíodo, Trabajos y días 263-264 (griego de Perseus y Evelyn-White). Cambio del 8-oct-2026 (fase de reparación, traducciones sin original, tercera tanda; Kiko: «sí a las tres»): puestos los originales de Mozi (非樂上, Wikisource chino) y del Anguttara 6.45 (pali de SuttaCentral y Sujato). Ya no queda ninguna cita de las listas «Y además» del capítulo 3 sin su original, salvo las de fuente española. Cambio del 8-oct-2026 (fase de reparación, traducciones sin original, segunda tanda): puestos los originales de Manu VII 143 y VIII 152 (Bühler y GRETIL) y de Platón, Leyes IV 715b y 715d (Bury, en Perseus). Siguen sin original en las listas «Y además» el Mozi y el Anguttara 6.45 (libreta 80). Cambio del 8-oct-2026 (fase de reparación, traducciones sin original): puestos los originales leídos hoy en archivos locales junto a las citas de las listas «Y además» (Horayot 10b, Bava Kamma 9:5, Cicerón De officiis I 23, Avot 1:9 y 1:1, Séneca De ira I 18, Merikare en la traducción de Erman y Blackman, Bava Metsiá 5:11 y Sheviit 10:1). Quedan sin original Manu, Platón, Mozi, Hesíodo y el Anguttara 6.45 (libreta 80). Cambio del 8-oct-2026 (fase de reparación, auditoría de las citas): puesto el original inglés (King) junto a la cita del Código de Hammurabi §230. ESTADO: APROBADO por Kiko el 5-oct-2026 («sí a las tres»). Su material está marcado en el inventario (04 CAPITULOS/marcas/marcas del capitulo 3.txt). Cualquier cambio posterior, con su aprobación. Añadido el 5-oct, con su aprobación: los flecos leídos en su fuente (informe 05b; libreta 72, punto 135). Añadido el 5-oct, con su aprobación: 3.6, «El hilo del Arca: servir» (libreta 72, punto 131). Corregido el 7-oct (Kiko): en «Dónde se oye la defensa del Estado» se quita la promesa del cargo 10 («el trato igual» y «la desigualdad legítima»): eran defensas de la pieza 06.00, retirada por consenso por no concluyente, y no se recuperan. Renumerado el 5-oct: los antiguos 3.5 y 3.6 son ahora 3.4 y 3.5 (libreta 72, punto 121). Escrito en tres niveles y con remisiones enlazables. Corregido también en la Biblioteca y en la app el 5-oct (Kiko: «sí»): César sobre los druidas (07.00) y Mesopotamia (01.00); y en el capítulo 2, el hadiz de Muslim, marcado como fuente secundaria. Trazabilidad: al final de cada párrafo o bloque, entre corchetes (se ve en el nivel completo). Fuentes: el archivo del Arca (01 GLOSARIO UNICO, «EL ARCA - REFUERZO DE CADA LEY POR TRADICIONES», cinco bloques verificados el 5-oct) y la libreta 64 (base P1 a P9, verificada el 3-oct) no se han vuelto a revisar. El glosario 5.4 y el 12 (Nicea, Enoc y Jubileos), tampoco. Leído hoy en su original: Biblia (Reina-Valera Antigua: Dt 15:1-2, 23:19-20 y 24:16; Lv 19:35-36, 25:10 y 25:36-37; Ex 22:7-8 y 22:25; Gn 3:19; Jue 20:16; Mt 20:25-26 y 23:4; Lc 3:12-13; 1 Sam 8:15-17; Pr 11:1); Aristóteles, Política I, 1258b (Perseus, griego); Hesíodo, Trabajos y días 311 (Perseus); Liddell-Scott, ἁμαρτάνω (Perseus); Jueces 20:16 en hebreo y Nedarim 49b (Sefaria); Samyutta Nikaya 45.8 (SuttaCentral, pali); Bujari 2072 (copia de datos de la colección, árabe e inglés: fuente secundaria, como en el archivo del Arca); César, La guerra de las Galias VI, 14, y Suetonio, Claudio 25 (The Latin Library); Ley de 23 de julio de 1908, art. 1 (BOE); Enmienda XIII de Estados Unidos (archives.gov); y la Ley Áurea de Brasil (planalto.gov.br). Correcciones halladas (la Biblioteca lo dice de otra manera): César da dos razones de los druidas para no escribir, no «reverencia»: que su enseñanza no llegara al pueblo y que los alumnos no descuidaran la memoria (07.00); la Biblioteca dice que la antigua Mesopotamia «rara vez codificó» sus leyes, y el archivo del Arca lee los códigos de Ur-Namma y Hammurabi (01.00-13.1). Lo que pasa a otro sitio: la «Cláusula de rectificación y buena fe» (07.00-19), a 10.5; los órdenes de costumbre de la primera prueba de la 07.00 (inuit, mexicas, brehon, xeer, incas, Althing, maoríes…) y tres textos del «pan propio» (Shuruppak, Ptahhotep, Musonio Rufo), al anexo F, leídos en su fuente (F.4 y F.7); la Constitución de Bolivia (Pórtico IV), a 10.2; el principio de la quinta prueba (la ley del gobernante, bajo un orden superior) ya está en el capítulo 1. Conceptos que ancla: el Arca (la ley de Dios, en todos los pueblos; ancla movida de 3.2 a 3.0, porque se define al abrir el capítulo); los nueve principios; quién escribe la pata coja; errar el blanco. Cambio aprobado por Kiko el 7-oct-2026 («poner la cita entera»): Ex 23:8, en P8, con su segunda mitad, «y pervierte las palabras justas», leída en la Reina-Valera Antigua (c3); el cargo 24 del capítulo 11 la cita entera. Cambio aprobado por Kiko el 7-oct-2026, al aprobar el anexo F («si a las dos preguntas»): las notas que daban por pendientes de leer en su fuente Shuruppak, Ptahhotep, Musonio Rufo y los órdenes de costumbre remiten ahora al anexo F (F.4 y F.7), donde están leídos (informes del 5-oct, 10 FUENTES LEIDAS/g); y, del mismo modo, la de las demás lenguas de «errar el blanco» (el sánscrito, en F.8). El texto del capítulo no cambia.</w:t>
      </w:r>
    </w:p>
    <w:p>
      <w:pPr>
        <w:pBdr>
          <w:left w:val="single" w:sz="24" w:space="6" w:color="E2DED6"/>
        </w:pBdr>
        <w:shd w:val="clear" w:color="auto" w:fill="F1EEE8"/>
        <w:spacing w:before="80" w:after="160"/>
        <w:ind w:left="142" w:right="142"/>
      </w:pPr>
      <w:r>
        <w:rPr>
          <w:b/>
        </w:rPr>
        <w:t>En pocas palabras:</w:t>
      </w:r>
    </w:p>
    <w:p>
      <w:pPr>
        <w:pStyle w:val="ListBullet"/>
      </w:pPr>
      <w:r>
        <w:t>El Arca es la ley de Dios tal como la guardaron todas las tradiciones, sea cual sea el nombre que cada pueblo dé a Dios.</w:t>
      </w:r>
    </w:p>
    <w:p>
      <w:pPr>
        <w:pStyle w:val="ListBullet"/>
      </w:pPr>
      <w:r>
        <w:t>Nueve principios se repiten en pueblos sin contacto documentado entre sí: el gobernante existe para el pueblo; impuestos moderados; no quitar al pueblo su tiempo; pesas y medidas justas; devolver lo confiado; no a la usura; cada uno responde de lo suyo; el castigo no es un negocio; y más leyes, más pobreza.</w:t>
      </w:r>
    </w:p>
    <w:p>
      <w:pPr>
        <w:pStyle w:val="ListBullet"/>
      </w:pPr>
      <w:r>
        <w:t>Cada principio tiene también su pata coja, el texto que dice lo contrario. Casi siempre lo escribió quien mandaba, o se escribió para él.</w:t>
      </w:r>
    </w:p>
    <w:p>
      <w:pPr>
        <w:pStyle w:val="ListBullet"/>
      </w:pPr>
      <w:r>
        <w:t>Si es tan antigua, ¿por qué casi nadie la conoce? Porque no se escribió, porque se escribió en latín o porque quedó fuera de las listas.</w:t>
      </w:r>
    </w:p>
    <w:p>
      <w:pPr>
        <w:pStyle w:val="ListBullet"/>
      </w:pPr>
      <w:r>
        <w:t>Todos los principios tienen un mismo hilo: hemos venido a servir. El que manda sirve, quien sirve no pierde, y lo que no sirve se separa.</w:t>
      </w:r>
    </w:p>
    <w:p>
      <w:pPr>
        <w:pStyle w:val="ListBullet"/>
      </w:pPr>
      <w:r>
        <w:t>Doce tradiciones cuentan que se recibió una ley, una enseñanza o una sabiduría para vivir; nueve, que se perdió o que muchos se apartan de ella; y diez, que hay un camino de vuelta.</w:t>
      </w:r>
    </w:p>
    <w:p>
      <w:pPr>
        <w:pStyle w:val="Heading2"/>
      </w:pPr>
      <w:r>
        <w:t>3.0 Propósito</w:t>
      </w:r>
    </w:p>
    <w:p>
      <w:r>
        <w:t xml:space="preserve">El </w:t>
      </w:r>
      <w:r>
        <w:t>capítulo 1</w:t>
      </w:r>
      <w:r>
        <w:t xml:space="preserve"> dijo que por encima de todo está la ley de Dios. Este capítulo la abre: muestra lo que todos los pueblos guardaron como ley por encima de toda ley.</w:t>
      </w:r>
    </w:p>
    <w:p>
      <w:r>
        <w:rPr>
          <w:b/>
        </w:rPr>
        <w:t>El Arca.</w:t>
      </w:r>
      <w:r>
        <w:t xml:space="preserve"> Desde aquí, la edición llama así a la ley de Dios, venga de la tradición que venga. El arca de la alianza guardaba «el testimonio» que Dios iba a dar</w:t>
      </w:r>
      <w:r>
        <w:t xml:space="preserve"> (Ex 25:16)</w:t>
      </w:r>
      <w:r>
        <w:t>, y Moisés: «puse las tablas en el arca que había hecho; y allí están»</w:t>
      </w:r>
      <w:r>
        <w:t xml:space="preserve"> (Dt 10:5)</w:t>
      </w:r>
      <w:r>
        <w:br/>
      </w:r>
      <w:r>
        <w:rPr>
          <w:b/>
        </w:rPr>
        <w:t>leída en su fuente · Dt 10:5</w:t>
      </w:r>
      <w:r>
        <w:br/>
      </w:r>
      <w:r>
        <w:rPr>
          <w:b/>
        </w:rPr>
        <w:t>Archivo leído:</w:t>
      </w:r>
      <w:r>
        <w:t xml:space="preserve"> spaRV1909_texto_corrido.txt (biblia_rv1909\spaRV1909_texto_corrido.txt) · contraste del archivo de pasajes: ✔</w:t>
      </w:r>
      <w:r>
        <w:br/>
      </w:r>
      <w:r>
        <w:rPr>
          <w:b/>
        </w:rPr>
        <w:t>Lugar:</w:t>
      </w:r>
      <w:r>
        <w:t xml:space="preserve"> Dt 10:5</w:t>
      </w:r>
      <w:r>
        <w:br/>
      </w:r>
      <w:r>
        <w:rPr>
          <w:b/>
        </w:rPr>
        <w:t>Tal como está en la fuente:</w:t>
      </w:r>
      <w:r>
        <w:t xml:space="preserve"> puse las tablas en el arca que había hecho; y allí están</w:t>
      </w:r>
      <w:r>
        <w:t>. Las tablas eran «las palabras de la alianza, las diez palabras»</w:t>
      </w:r>
      <w:r>
        <w:t xml:space="preserve"> (Ex 34:28)</w:t>
      </w:r>
      <w:r>
        <w:br/>
      </w:r>
      <w:r>
        <w:rPr>
          <w:b/>
        </w:rPr>
        <w:t>leída en su fuente · Ex 34:28</w:t>
      </w:r>
      <w:r>
        <w:br/>
      </w:r>
      <w:r>
        <w:rPr>
          <w:b/>
        </w:rPr>
        <w:t>Archivo leído:</w:t>
      </w:r>
      <w:r>
        <w:t xml:space="preserve"> spaRV1909_texto_corrido.txt (biblia_rv1909\spaRV1909_texto_corrido.txt) · contraste del archivo de pasajes: ✔</w:t>
      </w:r>
      <w:r>
        <w:br/>
      </w:r>
      <w:r>
        <w:rPr>
          <w:b/>
        </w:rPr>
        <w:t>Lugar:</w:t>
      </w:r>
      <w:r>
        <w:t xml:space="preserve"> Ex 34:28</w:t>
      </w:r>
      <w:r>
        <w:br/>
      </w:r>
      <w:r>
        <w:rPr>
          <w:b/>
        </w:rPr>
        <w:t>Tal como está en la fuente:</w:t>
      </w:r>
      <w:r>
        <w:t xml:space="preserve"> las palabras de la alianza, las diez palabras</w:t>
      </w:r>
      <w:r>
        <w:t>, y en el arca no había «más de las dos tablas de piedra que había allí puesto Moisés en Horeb, donde Jehová hizo la alianza con los hijos de Israel»</w:t>
      </w:r>
      <w:r>
        <w:t xml:space="preserve"> (1 R 8:9)</w:t>
      </w:r>
      <w:r>
        <w:br/>
      </w:r>
      <w:r>
        <w:rPr>
          <w:b/>
        </w:rPr>
        <w:t>leída en su fuente · 1 R 8:9</w:t>
      </w:r>
      <w:r>
        <w:br/>
      </w:r>
      <w:r>
        <w:rPr>
          <w:b/>
        </w:rPr>
        <w:t>Archivo leído:</w:t>
      </w:r>
      <w:r>
        <w:t xml:space="preserve"> spaRV1909_texto_corrido.txt (biblia_rv1909\spaRV1909_texto_corrido.txt) · contraste del archivo de pasajes: ✔</w:t>
      </w:r>
      <w:r>
        <w:br/>
      </w:r>
      <w:r>
        <w:rPr>
          <w:b/>
        </w:rPr>
        <w:t>Lugar:</w:t>
      </w:r>
      <w:r>
        <w:t xml:space="preserve"> 1 R 8:9</w:t>
      </w:r>
      <w:r>
        <w:br/>
      </w:r>
      <w:r>
        <w:rPr>
          <w:b/>
        </w:rPr>
        <w:t>Tal como está en la fuente:</w:t>
      </w:r>
      <w:r>
        <w:t xml:space="preserve"> más de las dos tablas de piedra que había allí puesto Moisés en Horeb, donde Jehová hizo la alianza con los hijos de Israel</w:t>
      </w:r>
      <w:r>
        <w:t>: si lo que reúne es la ley de Dios, bien podría llamarse el arca de la alianza con Dios. El Arca, la ley de Dios, la han guardado todas las tradiciones. Algunos de sus textos quedaron fuera de las listas de Occidente, y la Iglesia etíope los conservó (</w:t>
      </w:r>
      <w:r>
        <w:t>3.5</w:t>
      </w:r>
      <w:r>
        <w:t>). Por eso aquí se leen todos, con la misma vara: por sus frutos.</w:t>
      </w:r>
    </w:p>
    <w:p>
      <w:r>
        <w:t>[glosario 12, fórmula del Arca aprobada por Kiko el 5-oct; Reina-Valera Antigua]</w:t>
      </w:r>
    </w:p>
    <w:p>
      <w:r>
        <w:rPr>
          <w:b/>
        </w:rPr>
        <w:t>Las tradiciones leídas para este capítulo,</w:t>
      </w:r>
      <w:r>
        <w:t xml:space="preserve"> cada texto en su original o en una traducción reconocida:</w:t>
      </w:r>
    </w:p>
    <w:p>
      <w:pPr>
        <w:pStyle w:val="ListBullet"/>
      </w:pPr>
      <w:r>
        <w:rPr>
          <w:b/>
        </w:rPr>
        <w:t>Israel y el cristianismo:</w:t>
      </w:r>
      <w:r>
        <w:t xml:space="preserve"> la Biblia, la Mishná y el Talmud;</w:t>
      </w:r>
    </w:p>
    <w:p>
      <w:pPr>
        <w:pStyle w:val="ListBullet"/>
      </w:pPr>
      <w:r>
        <w:rPr>
          <w:b/>
        </w:rPr>
        <w:t>el islam:</w:t>
      </w:r>
      <w:r>
        <w:t xml:space="preserve"> el Corán y los hadices;</w:t>
      </w:r>
    </w:p>
    <w:p>
      <w:pPr>
        <w:pStyle w:val="ListBullet"/>
      </w:pPr>
      <w:r>
        <w:rPr>
          <w:b/>
        </w:rPr>
        <w:t>Persia:</w:t>
      </w:r>
      <w:r>
        <w:t xml:space="preserve"> el Avesta;</w:t>
      </w:r>
    </w:p>
    <w:p>
      <w:pPr>
        <w:pStyle w:val="ListBullet"/>
      </w:pPr>
      <w:r>
        <w:rPr>
          <w:b/>
        </w:rPr>
        <w:t>la India:</w:t>
      </w:r>
      <w:r>
        <w:t xml:space="preserve"> las Leyes de Manu, el Mahabharata, el Arthashastra, el canon budista en pali, el jainismo y el sijismo;</w:t>
      </w:r>
    </w:p>
    <w:p>
      <w:pPr>
        <w:pStyle w:val="ListBullet"/>
      </w:pPr>
      <w:r>
        <w:rPr>
          <w:b/>
        </w:rPr>
        <w:t>China:</w:t>
      </w:r>
      <w:r>
        <w:t xml:space="preserve"> Confucio, Mencio, Xunzi, Laozi, Mozi, Zhuangzi y la escuela legista;</w:t>
      </w:r>
    </w:p>
    <w:p>
      <w:pPr>
        <w:pStyle w:val="ListBullet"/>
      </w:pPr>
      <w:r>
        <w:rPr>
          <w:b/>
        </w:rPr>
        <w:t>Mesopotamia y Egipto:</w:t>
      </w:r>
      <w:r>
        <w:t xml:space="preserve"> Urukagina, Ur-Namma, Hammurabi, Ptahhotep y el Libro de los Muertos;</w:t>
      </w:r>
    </w:p>
    <w:p>
      <w:pPr>
        <w:pStyle w:val="ListBullet"/>
      </w:pPr>
      <w:r>
        <w:rPr>
          <w:b/>
        </w:rPr>
        <w:t>Grecia y Roma:</w:t>
      </w:r>
      <w:r>
        <w:t xml:space="preserve"> Hesíodo, Platón, Aristóteles, Isócrates, Cicerón, Séneca y Tácito;</w:t>
      </w:r>
    </w:p>
    <w:p>
      <w:pPr>
        <w:pStyle w:val="ListBullet"/>
      </w:pPr>
      <w:r>
        <w:rPr>
          <w:b/>
        </w:rPr>
        <w:t>África, América y Oceanía:</w:t>
      </w:r>
      <w:r>
        <w:t xml:space="preserve"> la Kebra Nagast etíope, los yoruba, los ashanti y los basutos; los iroqueses, los mexicas y los incas; y Hawái.</w:t>
      </w:r>
    </w:p>
    <w:p>
      <w:r>
        <w:t>[archivo del Arca, cinco bloques verificados el 5-oct; libreta 64]</w:t>
      </w:r>
    </w:p>
    <w:p>
      <w:r>
        <w:t>Este capítulo dice:</w:t>
      </w:r>
    </w:p>
    <w:p>
      <w:pPr>
        <w:pStyle w:val="ListBullet"/>
      </w:pPr>
      <w:r>
        <w:rPr>
          <w:b/>
        </w:rPr>
        <w:t>3.1</w:t>
      </w:r>
      <w:r>
        <w:t xml:space="preserve"> por qué lo que converge es ley, y lo que solo se repite, no;</w:t>
      </w:r>
    </w:p>
    <w:p>
      <w:pPr>
        <w:pStyle w:val="ListBullet"/>
      </w:pPr>
      <w:r>
        <w:rPr>
          <w:b/>
        </w:rPr>
        <w:t>3.2</w:t>
      </w:r>
      <w:r>
        <w:t xml:space="preserve"> los nueve principios del Arca, uno por uno, con su pata coja;</w:t>
      </w:r>
    </w:p>
    <w:p>
      <w:pPr>
        <w:pStyle w:val="ListBullet"/>
      </w:pPr>
      <w:r>
        <w:rPr>
          <w:b/>
        </w:rPr>
        <w:t>3.3</w:t>
      </w:r>
      <w:r>
        <w:t xml:space="preserve"> la usura, la línea roja más antigua;</w:t>
      </w:r>
    </w:p>
    <w:p>
      <w:pPr>
        <w:pStyle w:val="ListBullet"/>
      </w:pPr>
      <w:r>
        <w:rPr>
          <w:b/>
        </w:rPr>
        <w:t>3.4</w:t>
      </w:r>
      <w:r>
        <w:t xml:space="preserve"> quién escribe la pata coja;</w:t>
      </w:r>
    </w:p>
    <w:p>
      <w:pPr>
        <w:pStyle w:val="ListBullet"/>
      </w:pPr>
      <w:r>
        <w:rPr>
          <w:b/>
        </w:rPr>
        <w:t>3.5</w:t>
      </w:r>
      <w:r>
        <w:t xml:space="preserve"> por qué casi nadie la conoce;</w:t>
      </w:r>
    </w:p>
    <w:p>
      <w:pPr>
        <w:pStyle w:val="ListBullet"/>
      </w:pPr>
      <w:r>
        <w:rPr>
          <w:b/>
        </w:rPr>
        <w:t>3.6</w:t>
      </w:r>
      <w:r>
        <w:t xml:space="preserve"> el hilo que lo une todo: servir;</w:t>
      </w:r>
    </w:p>
    <w:p>
      <w:pPr>
        <w:pStyle w:val="ListBullet"/>
      </w:pPr>
      <w:r>
        <w:rPr>
          <w:b/>
        </w:rPr>
        <w:t>3.7</w:t>
      </w:r>
      <w:r>
        <w:t xml:space="preserve"> y la arqueología en busca de las reglas del juego de la vida: lo que se dio, lo que se perdió y el camino de vuelta.</w:t>
      </w:r>
    </w:p>
    <w:p>
      <w:pPr>
        <w:pStyle w:val="Heading2"/>
      </w:pPr>
      <w:r>
        <w:t>3.1 La convergencia y la pata coja</w:t>
      </w:r>
    </w:p>
    <w:p>
      <w:pPr>
        <w:pBdr>
          <w:left w:val="single" w:sz="24" w:space="6" w:color="E2DED6"/>
        </w:pBdr>
        <w:shd w:val="clear" w:color="auto" w:fill="F1EEE8"/>
        <w:spacing w:before="80" w:after="160"/>
        <w:ind w:left="142" w:right="142"/>
      </w:pPr>
      <w:r>
        <w:rPr>
          <w:b/>
        </w:rPr>
        <w:t>La idea: lo que pueblos sin contacto documentado coinciden en guardar, y además pasa la vara, es ley de Dios. Lo que solo se repite puede ser costumbre torcida.</w:t>
      </w:r>
    </w:p>
    <w:p>
      <w:r>
        <w:t>La regla de la convergencia ya está dicha (</w:t>
      </w:r>
      <w:r>
        <w:t>0.5</w:t>
      </w:r>
      <w:r>
        <w:t>): una afirmación es sólida cuando aparece en tres o más tradiciones sin contacto, y solo después de haber buscado la que dice lo contrario, la pata coja. Aquí se explica por qué lo que converge es ley.</w:t>
      </w:r>
    </w:p>
    <w:p>
      <w:r>
        <w:rPr>
          <w:b/>
        </w:rPr>
        <w:t>La cadena, con sus fuentes:</w:t>
      </w:r>
    </w:p>
    <w:p>
      <w:pPr>
        <w:pStyle w:val="ListBullet"/>
      </w:pPr>
      <w:r>
        <w:rPr>
          <w:b/>
        </w:rPr>
        <w:t>Cicerón:</w:t>
      </w:r>
      <w:r>
        <w:t xml:space="preserve"> ningún pueblo es tan fiero que no tenga la idea de lo divino, y eso no lo produjo ninguna asamblea ni ninguna ley: «en todo, el consenso de todos los pueblos ha de tenerse por ley de la naturaleza»</w:t>
      </w:r>
      <w:r>
        <w:t xml:space="preserve"> [original: «omni autem in re consensio omnium gentium lex naturae putanda est»]</w:t>
      </w:r>
      <w:r>
        <w:t xml:space="preserve"> (Tusculanas I, 30)</w:t>
      </w:r>
      <w:r>
        <w:br/>
      </w:r>
      <w:r>
        <w:rPr>
          <w:b/>
        </w:rPr>
        <w:t>leída en su fuente · Tusculanas I, 30</w:t>
      </w:r>
      <w:r>
        <w:br/>
      </w:r>
      <w:r>
        <w:rPr>
          <w:b/>
        </w:rPr>
        <w:t>Archivo leído:</w:t>
      </w:r>
      <w:r>
        <w:t xml:space="preserve"> ciceron_tusculanae_I_thelatinlibrary.html (reparacion_citas\ciceron_tusculanae_I_thelatinlibrary.html) · contraste del archivo de pasajes: ✔</w:t>
      </w:r>
      <w:r>
        <w:br/>
      </w:r>
      <w:r>
        <w:rPr>
          <w:b/>
        </w:rPr>
        <w:t>Lugar:</w:t>
      </w:r>
      <w:r>
        <w:t xml:space="preserve"> Tusculanas I, 30</w:t>
      </w:r>
      <w:r>
        <w:br/>
      </w:r>
      <w:r>
        <w:rPr>
          <w:b/>
        </w:rPr>
        <w:t>Tal como está en la fuente:</w:t>
      </w:r>
      <w:r>
        <w:t xml:space="preserve"> omni autem in re consensio omnium gentium lex naturae putanda est</w:t>
      </w:r>
      <w:r>
        <w:t>.</w:t>
      </w:r>
    </w:p>
    <w:p>
      <w:pPr>
        <w:pStyle w:val="ListBullet"/>
      </w:pPr>
      <w:r>
        <w:rPr>
          <w:b/>
        </w:rPr>
        <w:t>Pablo:</w:t>
      </w:r>
      <w:r>
        <w:t xml:space="preserve"> los que no tienen la ley escrita «naturalmente haciendo lo que es de la ley, los tales, aunque no tengan ley, ellos son ley á sí mismos: Mostrando la obra de la ley escrita en sus corazones»</w:t>
      </w:r>
      <w:r>
        <w:t xml:space="preserve"> (Rm 2:14-15)</w:t>
      </w:r>
      <w:r>
        <w:br/>
      </w:r>
      <w:r>
        <w:rPr>
          <w:b/>
        </w:rPr>
        <w:t>leída en su fuente · Rm 2:14-15</w:t>
      </w:r>
      <w:r>
        <w:br/>
      </w:r>
      <w:r>
        <w:rPr>
          <w:b/>
        </w:rPr>
        <w:t>Archivo leído:</w:t>
      </w:r>
      <w:r>
        <w:t xml:space="preserve"> spaRV1909_texto_corrido.txt (biblia_rv1909\spaRV1909_texto_corrido.txt) · contraste del archivo de pasajes: ✔</w:t>
      </w:r>
      <w:r>
        <w:br/>
      </w:r>
      <w:r>
        <w:rPr>
          <w:b/>
        </w:rPr>
        <w:t>Lugar:</w:t>
      </w:r>
      <w:r>
        <w:t xml:space="preserve"> Rm 2:14-15</w:t>
      </w:r>
      <w:r>
        <w:br/>
      </w:r>
      <w:r>
        <w:rPr>
          <w:b/>
        </w:rPr>
        <w:t>Tal como está en la fuente:</w:t>
      </w:r>
      <w:r>
        <w:t xml:space="preserve"> naturalmente haciendo lo que es de la ley, los tales, aunque no tengan ley, ellos son ley á sí mismos: Mostrando la obra de la ley escrita en sus corazones</w:t>
      </w:r>
      <w:r>
        <w:t>.</w:t>
      </w:r>
    </w:p>
    <w:p>
      <w:pPr>
        <w:pStyle w:val="ListBullet"/>
      </w:pPr>
      <w:r>
        <w:rPr>
          <w:b/>
        </w:rPr>
        <w:t>Aquino:</w:t>
      </w:r>
      <w:r>
        <w:t xml:space="preserve"> la ley natural es la participación de la ley eterna en la criatura racional (</w:t>
      </w:r>
      <w:r>
        <w:t>1.1</w:t>
      </w:r>
      <w:r>
        <w:t>).</w:t>
      </w:r>
    </w:p>
    <w:p>
      <w:r>
        <w:t>Muchas tradiciones sin contacto documentado coinciden, y eso es ley de la naturaleza; está escrita en los corazones; y es la participación de la ley de Dios.</w:t>
      </w:r>
    </w:p>
    <w:p>
      <w:r>
        <w:t>[glosario 5.4, leído en su fuente el 5-oct]</w:t>
      </w:r>
    </w:p>
    <w:p>
      <w:r>
        <w:rPr>
          <w:b/>
        </w:rPr>
        <w:t>Lectura del autor:</w:t>
      </w:r>
      <w:r>
        <w:t xml:space="preserve"> «Después de revisar toda la historia y los textos sagrados, recopilamos la información pertinente, y si existen muchas convergencias quiere decir que es la ley de Dios; no lo he inventado yo». </w:t>
      </w:r>
      <w:r>
        <w:t>[glosario 5.4, palabras de Kiko del 5-oct]</w:t>
      </w:r>
    </w:p>
    <w:p>
      <w:r>
        <w:rPr>
          <w:b/>
        </w:rPr>
        <w:t>Un ejemplo: el pan propio.</w:t>
      </w:r>
      <w:r>
        <w:t xml:space="preserve"> Que el pan se gana con el propio trabajo, y no con el ajeno, lo dicen tradiciones distintas, y al menos tres sin contacto documentado entre sí (la Biblia, Hesíodo y el budismo):</w:t>
      </w:r>
    </w:p>
    <w:p>
      <w:pPr>
        <w:pStyle w:val="ListBullet"/>
      </w:pPr>
      <w:r>
        <w:rPr>
          <w:b/>
        </w:rPr>
        <w:t>la Biblia:</w:t>
      </w:r>
      <w:r>
        <w:t xml:space="preserve"> «En el sudor de tu rostro comerás el pan»</w:t>
      </w:r>
      <w:r>
        <w:t xml:space="preserve"> (Gn 3:19)</w:t>
      </w:r>
      <w:r>
        <w:br/>
      </w:r>
      <w:r>
        <w:rPr>
          <w:b/>
        </w:rPr>
        <w:t>leída en su fuente · Gn 3:19</w:t>
      </w:r>
      <w:r>
        <w:br/>
      </w:r>
      <w:r>
        <w:rPr>
          <w:b/>
        </w:rPr>
        <w:t>Archivo leído:</w:t>
      </w:r>
      <w:r>
        <w:t xml:space="preserve"> spaRV1909_texto_corrido.txt (biblia_rv1909\spaRV1909_texto_corrido.txt) · contraste del archivo de pasajes: ✔</w:t>
      </w:r>
      <w:r>
        <w:br/>
      </w:r>
      <w:r>
        <w:rPr>
          <w:b/>
        </w:rPr>
        <w:t>Lugar:</w:t>
      </w:r>
      <w:r>
        <w:t xml:space="preserve"> Gn 3:19</w:t>
      </w:r>
      <w:r>
        <w:br/>
      </w:r>
      <w:r>
        <w:rPr>
          <w:b/>
        </w:rPr>
        <w:t>Tal como está en la fuente:</w:t>
      </w:r>
      <w:r>
        <w:t xml:space="preserve"> En el sudor de tu rostro comerás el pan</w:t>
      </w:r>
      <w:r>
        <w:t>;</w:t>
      </w:r>
    </w:p>
    <w:p>
      <w:pPr>
        <w:pStyle w:val="ListBullet"/>
      </w:pPr>
      <w:r>
        <w:rPr>
          <w:b/>
        </w:rPr>
        <w:t>Hesíodo:</w:t>
      </w:r>
      <w:r>
        <w:t xml:space="preserve"> «el trabajo no es ninguna deshonra; la ociosidad sí es deshonra»</w:t>
      </w:r>
      <w:r>
        <w:t xml:space="preserve"> [original: «ἔργον δ᾽ οὐδὲν ὄνειδος, ἀεργίη δέ τ᾽ ὄνειδος»]</w:t>
      </w:r>
      <w:r>
        <w:t xml:space="preserve"> (Trabajos y días 311)</w:t>
      </w:r>
      <w:r>
        <w:br/>
      </w:r>
      <w:r>
        <w:rPr>
          <w:b/>
        </w:rPr>
        <w:t>leída en su fuente · Trabajos y días 311</w:t>
      </w:r>
      <w:r>
        <w:br/>
      </w:r>
      <w:r>
        <w:rPr>
          <w:b/>
        </w:rPr>
        <w:t>Original donde está:</w:t>
      </w:r>
      <w:r>
        <w:t xml:space="preserve"> hesiodo_311.html</w:t>
      </w:r>
      <w:r>
        <w:br/>
      </w:r>
      <w:r>
        <w:t>El pasaje literal no está en el archivo de pasajes con este comienzo; la auditoría lo halló en ese original.</w:t>
      </w:r>
      <w:r>
        <w:t>;</w:t>
      </w:r>
    </w:p>
    <w:p>
      <w:pPr>
        <w:pStyle w:val="ListBullet"/>
      </w:pPr>
      <w:r>
        <w:rPr>
          <w:b/>
        </w:rPr>
        <w:t>el Talmud:</w:t>
      </w:r>
      <w:r>
        <w:t xml:space="preserve"> «grande es el trabajo, que honra a quien lo hace»</w:t>
      </w:r>
      <w:r>
        <w:t xml:space="preserve"> [original: «גדולה מלאכה שמכבדת את בעליה»]</w:t>
      </w:r>
      <w:r>
        <w:t xml:space="preserve"> (Nedarim 49b)</w:t>
      </w:r>
      <w:r>
        <w:br/>
      </w:r>
      <w:r>
        <w:rPr>
          <w:b/>
        </w:rPr>
        <w:t>leída en su fuente · Nedarim 49b</w:t>
      </w:r>
      <w:r>
        <w:br/>
      </w:r>
      <w:r>
        <w:rPr>
          <w:b/>
        </w:rPr>
        <w:t>Original donde está:</w:t>
      </w:r>
      <w:r>
        <w:t xml:space="preserve"> nedarim49b.json</w:t>
      </w:r>
      <w:r>
        <w:br/>
      </w:r>
      <w:r>
        <w:t>El pasaje literal no está en el archivo de pasajes con este comienzo; la auditoría lo halló en ese original.</w:t>
      </w:r>
      <w:r>
        <w:t>;</w:t>
      </w:r>
    </w:p>
    <w:p>
      <w:pPr>
        <w:pStyle w:val="ListBullet"/>
      </w:pPr>
      <w:r>
        <w:rPr>
          <w:b/>
        </w:rPr>
        <w:t>el budismo:</w:t>
      </w:r>
      <w:r>
        <w:t xml:space="preserve"> el discípulo noble «deja el modo de vida torcido y se gana la vida con el recto»</w:t>
      </w:r>
      <w:r>
        <w:t xml:space="preserve"> [original: «micchāājīvaṁ pahāya sammāājīvena jīvitaṁ kappeti»]</w:t>
      </w:r>
      <w:r>
        <w:t xml:space="preserve"> (Samyutta Nikaya 45.8)</w:t>
      </w:r>
      <w:r>
        <w:br/>
      </w:r>
      <w:r>
        <w:rPr>
          <w:b/>
        </w:rPr>
        <w:t>leída en su fuente · Samyutta Nikaya 45.8</w:t>
      </w:r>
      <w:r>
        <w:br/>
      </w:r>
      <w:r>
        <w:rPr>
          <w:b/>
        </w:rPr>
        <w:t>Archivo leído:</w:t>
      </w:r>
      <w:r>
        <w:t xml:space="preserve"> sn45_8.json (c3\sn45_8.json) · contraste del archivo de pasajes: ✔</w:t>
      </w:r>
      <w:r>
        <w:br/>
      </w:r>
      <w:r>
        <w:rPr>
          <w:b/>
        </w:rPr>
        <w:t>Lugar:</w:t>
      </w:r>
      <w:r>
        <w:t xml:space="preserve"> Samyutta Nikaya 45.8</w:t>
      </w:r>
      <w:r>
        <w:br/>
      </w:r>
      <w:r>
        <w:rPr>
          <w:b/>
        </w:rPr>
        <w:t>Tal como está en la fuente:</w:t>
      </w:r>
      <w:r>
        <w:t xml:space="preserve"> micchāājīvaṁ pahāya sammāājīvena jīvitaṁ kappeti</w:t>
      </w:r>
      <w:r>
        <w:t>;</w:t>
      </w:r>
    </w:p>
    <w:p>
      <w:pPr>
        <w:pStyle w:val="ListBullet"/>
      </w:pPr>
      <w:r>
        <w:rPr>
          <w:b/>
        </w:rPr>
        <w:t>el islam:</w:t>
      </w:r>
      <w:r>
        <w:t xml:space="preserve"> «nadie ha comido nunca un alimento mejor que el que gana con el trabajo de sus manos; y el profeta de Dios David comía del trabajo de sus manos» (fuente secundaria)</w:t>
      </w:r>
      <w:r>
        <w:t xml:space="preserve"> [original: «مَا أَكَلَ أَحَدٌ طَعَامًا قَطُّ خَيْرًا مِنْ أَنْ يَأْكُلَ مِنْ عَمَلِ يَدِهِ، وَإِنَّ نَبِيَّ اللَّهِ دَاوُدَ […] كَانَ يَأْكُلُ مِنْ عَمَلِ يَدِهِ»]</w:t>
      </w:r>
      <w:r>
        <w:t xml:space="preserve"> (Sahih al-Bujari 2072)</w:t>
      </w:r>
      <w:r>
        <w:br/>
      </w:r>
      <w:r>
        <w:rPr>
          <w:b/>
        </w:rPr>
        <w:t>leída en su fuente · Sahih al-Bujari 2072</w:t>
      </w:r>
      <w:r>
        <w:br/>
      </w:r>
      <w:r>
        <w:rPr>
          <w:b/>
        </w:rPr>
        <w:t>Original donde está:</w:t>
      </w:r>
      <w:r>
        <w:t xml:space="preserve"> hadith_api_ara-bukhari.json</w:t>
      </w:r>
      <w:r>
        <w:br/>
      </w:r>
      <w:r>
        <w:t>El pasaje literal no está en el archivo de pasajes con este comienzo; la auditoría lo halló en ese original.</w:t>
      </w:r>
      <w:r>
        <w:t>.</w:t>
      </w:r>
    </w:p>
    <w:p>
      <w:r>
        <w:t>[07.00-1.1 y 1.2, corregido: de las ocho tradiciones de la pieza entran aquí cinco; Shuruppak, Ptahhotep y Musonio Rufo, leídos en su fuente, están en el anexo F (F.4)]</w:t>
      </w:r>
    </w:p>
    <w:p>
      <w:r>
        <w:rPr>
          <w:b/>
        </w:rPr>
        <w:t>La condición: lo que se repite no es por eso ley.</w:t>
      </w:r>
      <w:r>
        <w:t xml:space="preserve"> Una práctica muy extendida no es buena por estarlo. La esclavitud estuvo muy extendida y fue legal durante siglos, y no pasa la vara: daña al prójimo y no hay reciprocidad. Tampoco pasan la vara el robo hacia fuera que unos germanos tenían por honroso y la mutilación genital femenina de hoy (</w:t>
      </w:r>
      <w:r>
        <w:t>1.5</w:t>
      </w:r>
      <w:r>
        <w:t>). El propio Cicerón avisa de que «muchos piensan cosas torcidas sobre los dioses»</w:t>
      </w:r>
      <w:r>
        <w:t xml:space="preserve"> [original: «multi de diis prava sentiunt»]</w:t>
      </w:r>
      <w:r>
        <w:t>, y eso, «por mala costumbre»</w:t>
      </w:r>
      <w:r>
        <w:t xml:space="preserve"> [original: «vitioso more»]</w:t>
      </w:r>
      <w:r>
        <w:t xml:space="preserve"> (Tusculanas I, 30)</w:t>
      </w:r>
      <w:r>
        <w:t xml:space="preserve">. </w:t>
      </w:r>
      <w:r>
        <w:t>[glosario 5.4]</w:t>
      </w:r>
    </w:p>
    <w:p>
      <w:r>
        <w:rPr>
          <w:b/>
        </w:rPr>
        <w:t>Y el propio poder lo reconoció por escrito,</w:t>
      </w:r>
      <w:r>
        <w:t xml:space="preserve"> al abolirla:</w:t>
      </w:r>
    </w:p>
    <w:p>
      <w:pPr>
        <w:pStyle w:val="ListBullet"/>
      </w:pPr>
      <w:r>
        <w:t>«Ni la esclavitud ni la servidumbre involuntaria, salvo como castigo por un delito del que la parte haya sido debidamente condenada, existirán en los Estados Unidos»</w:t>
      </w:r>
      <w:r>
        <w:t xml:space="preserve"> [original: «Neither slavery nor involuntary servitude, except as a punishment for crime whereof the party shall have been duly convicted, shall exist within the United States»]</w:t>
      </w:r>
      <w:r>
        <w:t xml:space="preserve"> (Constitución de los Estados Unidos, Enmienda XIII, 1865)</w:t>
      </w:r>
      <w:r>
        <w:br/>
      </w:r>
      <w:r>
        <w:rPr>
          <w:b/>
        </w:rPr>
        <w:t>leída en su fuente · Constitución de los Estados Unidos, Enmienda XIII, 1865</w:t>
      </w:r>
      <w:r>
        <w:br/>
      </w:r>
      <w:r>
        <w:rPr>
          <w:b/>
        </w:rPr>
        <w:t>Archivo leído:</w:t>
      </w:r>
      <w:r>
        <w:t xml:space="preserve"> enmienda13.html (c3\enmienda13.html) · contraste del archivo de pasajes: ✔</w:t>
      </w:r>
      <w:r>
        <w:br/>
      </w:r>
      <w:r>
        <w:rPr>
          <w:b/>
        </w:rPr>
        <w:t>Lugar:</w:t>
      </w:r>
      <w:r>
        <w:t xml:space="preserve"> Constitución de los Estados Unidos, Enmienda XIII, 1865</w:t>
      </w:r>
      <w:r>
        <w:br/>
      </w:r>
      <w:r>
        <w:rPr>
          <w:b/>
        </w:rPr>
        <w:t>Tal como está en la fuente:</w:t>
      </w:r>
      <w:r>
        <w:t xml:space="preserve"> Neither slavery nor involuntary servitude, except as a punishment for crime whereof the party shall have been duly convicted, shall exist within the United States</w:t>
      </w:r>
      <w:r>
        <w:t>. La excepción del castigo penal sigue en el texto.</w:t>
      </w:r>
    </w:p>
    <w:p>
      <w:pPr>
        <w:pStyle w:val="ListBullet"/>
      </w:pPr>
      <w:r>
        <w:t>«Queda declarada extinguida, desde la fecha de esta ley, la esclavitud en Brasil»</w:t>
      </w:r>
      <w:r>
        <w:t xml:space="preserve"> [original: «E’ declarada extincta, desde a data desta Lei, a escravidão no Brazil», así en el texto oficial]</w:t>
      </w:r>
      <w:r>
        <w:t xml:space="preserve"> (Ley Áurea, 13 de mayo de 1888, art. 1)</w:t>
      </w:r>
      <w:r>
        <w:br/>
      </w:r>
      <w:r>
        <w:rPr>
          <w:b/>
        </w:rPr>
        <w:t>leída en su fuente · Ley Áurea, 13 de mayo de 1888, art. 1</w:t>
      </w:r>
      <w:r>
        <w:br/>
      </w:r>
      <w:r>
        <w:rPr>
          <w:b/>
        </w:rPr>
        <w:t>Archivo leído:</w:t>
      </w:r>
      <w:r>
        <w:t xml:space="preserve"> lei_aurea.html (c3\lei_aurea.html) · contraste del archivo de pasajes: ✔</w:t>
      </w:r>
      <w:r>
        <w:br/>
      </w:r>
      <w:r>
        <w:rPr>
          <w:b/>
        </w:rPr>
        <w:t>Lugar:</w:t>
      </w:r>
      <w:r>
        <w:t xml:space="preserve"> Ley Áurea, 13 de mayo de 1888, art. 1</w:t>
      </w:r>
      <w:r>
        <w:br/>
      </w:r>
      <w:r>
        <w:rPr>
          <w:b/>
        </w:rPr>
        <w:t>Tal como está en la fuente:</w:t>
      </w:r>
      <w:r>
        <w:t xml:space="preserve"> E’ declarada extincta, desde a data desta Lei, a escravidão no Brazil</w:t>
      </w:r>
      <w:r>
        <w:t>.</w:t>
      </w:r>
    </w:p>
    <w:p>
      <w:pPr>
        <w:pStyle w:val="ListBullet"/>
      </w:pPr>
      <w:r>
        <w:t>El Reino Unido la declaró «utterly and for ever abolished» (abolida del todo y para siempre) desde el 1 de agosto de 1834, y dio a los propietarios, no a las víctimas, «Twenty Millions Pounds Sterling» (veinte millones de libras esterlinas)</w:t>
      </w:r>
      <w:r>
        <w:t xml:space="preserve"> (Slavery Abolition Act, de 28 de agosto de 1833, secciones XII y XXIV)</w:t>
      </w:r>
      <w:r>
        <w:br/>
      </w:r>
      <w:r>
        <w:rPr>
          <w:b/>
        </w:rPr>
        <w:t>leída en su fuente · Slavery Abolition Act, de 28 de agosto de 1833, secciones XII y XXIV</w:t>
      </w:r>
      <w:r>
        <w:br/>
      </w:r>
      <w:r>
        <w:rPr>
          <w:b/>
        </w:rPr>
        <w:t>Archivo leído:</w:t>
      </w:r>
      <w:r>
        <w:t xml:space="preserve"> 07.00-11.5_Slavery_Abolition_Act_1833_original_legislation-gov-uk.pdf (flecos\07.00-11.5_Slavery_Abolition_Act_1833_original_legislation-gov-uk.pdf) · contraste del archivo de pasajes: ✔</w:t>
      </w:r>
      <w:r>
        <w:br/>
      </w:r>
      <w:r>
        <w:rPr>
          <w:b/>
        </w:rPr>
        <w:t>Lugar:</w:t>
      </w:r>
      <w:r>
        <w:t xml:space="preserve"> 3 &amp; 4 Will. IV c. 73 (texto original, 27 p.): pdf p. 1, título</w:t>
      </w:r>
      <w:r>
        <w:br/>
      </w:r>
      <w:r>
        <w:rPr>
          <w:b/>
        </w:rPr>
        <w:t>Dirección:</w:t>
      </w:r>
      <w:r>
        <w:t xml:space="preserve"> </w:t>
      </w:r>
      <w:r>
        <w:t>https://www.legislation.gov.uk/ukpga/Will4/3-4/73/pdfs/ukpga_18330073_en.pdf</w:t>
      </w:r>
      <w:r>
        <w:br/>
      </w:r>
      <w:r>
        <w:rPr>
          <w:b/>
        </w:rPr>
        <w:t>Tal como está en la fuente:</w:t>
      </w:r>
      <w:r>
        <w:t xml:space="preserve"> His Majesty the Sum of Twenty Millions Pounds Sterling</w:t>
      </w:r>
      <w:r>
        <w:t>.</w:t>
      </w:r>
    </w:p>
    <w:p>
      <w:pPr>
        <w:pStyle w:val="ListBullet"/>
      </w:pPr>
      <w:r>
        <w:t>Francia la abolió en 1794, la mantuvo de nuevo en 1802 («l'esclavage sera maintenu», la esclavitud se mantendrá) y la abolió otra vez en 1848: «L'esclavage sera entièrement aboli dans toutes les colonies» (la esclavitud quedará abolida del todo en todas las colonias)</w:t>
      </w:r>
      <w:r>
        <w:t xml:space="preserve"> (decretos de 16 pluvioso del año II y de 27 de abril de 1848; ley de 30 floreal del año X)</w:t>
      </w:r>
      <w:r>
        <w:br/>
      </w:r>
      <w:r>
        <w:rPr>
          <w:b/>
        </w:rPr>
        <w:t>leída en su fuente · decretos de 16 pluvioso del año II y de 27 de abril de 1848; ley de 30 floreal del año X</w:t>
      </w:r>
      <w:r>
        <w:br/>
      </w:r>
      <w:r>
        <w:rPr>
          <w:b/>
        </w:rPr>
        <w:t>Archivo leído:</w:t>
      </w:r>
      <w:r>
        <w:t xml:space="preserve"> 07.00-11.4_Decret_27_avril_1848_abolition_esclavage_frwikisource.html (flecos\07.00-11.4_Decret_27_avril_1848_abolition_esclavage_frwikisource.html) · contraste del archivo de pasajes: ✔</w:t>
      </w:r>
      <w:r>
        <w:br/>
      </w:r>
      <w:r>
        <w:rPr>
          <w:b/>
        </w:rPr>
        <w:t>Lugar:</w:t>
      </w:r>
      <w:r>
        <w:t xml:space="preserve"> decretos de 16 pluvioso del año II y de 27 de abril de 1848; ley de 30 floreal del año X</w:t>
      </w:r>
      <w:r>
        <w:br/>
      </w:r>
      <w:r>
        <w:rPr>
          <w:b/>
        </w:rPr>
        <w:t>Tal como está en la fuente:</w:t>
      </w:r>
      <w:r>
        <w:t xml:space="preserve"> L'esclavage sera entièrement aboli dans toutes les colonies</w:t>
      </w:r>
      <w:r>
        <w:br/>
      </w:r>
      <w:r>
        <w:rPr>
          <w:b/>
        </w:rPr>
        <w:t>Traducción guardada:</w:t>
      </w:r>
      <w:r>
        <w:t xml:space="preserve"> la esclavitud quedará abolida del todo en todas las colonias</w:t>
      </w:r>
      <w:r>
        <w:t>.</w:t>
      </w:r>
    </w:p>
    <w:p>
      <w:pPr>
        <w:pStyle w:val="ListBullet"/>
      </w:pPr>
      <w:r>
        <w:t>España: «Queda abolida para siempre la esclavitud en la isla de Puerto-Rico»</w:t>
      </w:r>
      <w:r>
        <w:t xml:space="preserve"> (Ley de 22 de marzo de 1873, art. 1)</w:t>
      </w:r>
      <w:r>
        <w:br/>
      </w:r>
      <w:r>
        <w:rPr>
          <w:b/>
        </w:rPr>
        <w:t>pasaje guardado · Ley de 22 de marzo de 1873, art. 1</w:t>
      </w:r>
      <w:r>
        <w:br/>
      </w:r>
      <w:r>
        <w:rPr>
          <w:b/>
        </w:rPr>
        <w:t>Archivo leído:</w:t>
      </w:r>
      <w:r>
        <w:t xml:space="preserve"> 07.00-11.6_Gaceta_1873-03-26_Ley_abolicion_esclavitud_Puerto_Rico.pdf.txt (flecos\txt\07.00-11.6_Gaceta_1873-03-26_Ley_abolicion_esclavitud_Puerto_Rico.pdf.txt) · contraste del archivo de pasajes: ✔</w:t>
      </w:r>
      <w:r>
        <w:br/>
      </w:r>
      <w:r>
        <w:rPr>
          <w:b/>
        </w:rPr>
        <w:t>Lugar:</w:t>
      </w:r>
      <w:r>
        <w:t xml:space="preserve"> Ley de 22 de marzo de 1873, art. 1</w:t>
      </w:r>
      <w:r>
        <w:br/>
      </w:r>
      <w:r>
        <w:rPr>
          <w:b/>
        </w:rPr>
        <w:t>Tal como está en la fuente:</w:t>
      </w:r>
      <w:r>
        <w:t xml:space="preserve"> Queda abolida para siempre la esclavitud en la isla de Puerto-Rico</w:t>
      </w:r>
      <w:r>
        <w:t>; pero los libertos quedaron obligados a contratos de al menos tres años, y a los propietarios se les pagaron 35 millones de pesetas con un empréstito a cargo de las rentas de la propia isla (arts. 2 a 4). En Cuba, la ley de 13 de febrero de 1880 declaró el cese de la esclavitud, pero dejó a los liberados bajo el «patronato» de sus antiguos dueños, que conservaban «el derecho de utilizar el trabajo de sus patrocinados» (arts. 2 y 3); el patronato cesó por real decreto de 7 de octubre de 1886.</w:t>
      </w:r>
    </w:p>
    <w:p>
      <w:pPr>
        <w:pStyle w:val="ListBullet"/>
      </w:pPr>
      <w:r>
        <w:t>Y hoy es delito de lesa humanidad someter a una persona a esclavitud, si es parte de un ataque «generalizado o sistemático» contra la población; la ley la define como ejercer sobre alguien «los atributos del derecho de propiedad, como comprarla, venderla, prestarla o darla en trueque»</w:t>
      </w:r>
      <w:r>
        <w:t xml:space="preserve"> (Código Penal, art. 607 bis)</w:t>
      </w:r>
      <w:r>
        <w:br/>
      </w:r>
      <w:r>
        <w:rPr>
          <w:b/>
        </w:rPr>
        <w:t>leída en su fuente · Código Penal, art. 607 bis</w:t>
      </w:r>
      <w:r>
        <w:br/>
      </w:r>
      <w:r>
        <w:rPr>
          <w:b/>
        </w:rPr>
        <w:t>Archivo leído:</w:t>
      </w:r>
      <w:r>
        <w:t xml:space="preserve"> cp.html (c2\cp.html) · contraste del archivo de pasajes: ✔</w:t>
      </w:r>
      <w:r>
        <w:br/>
      </w:r>
      <w:r>
        <w:rPr>
          <w:b/>
        </w:rPr>
        <w:t>Lugar:</w:t>
      </w:r>
      <w:r>
        <w:t xml:space="preserve"> Código Penal, art. 607 bis</w:t>
      </w:r>
      <w:r>
        <w:br/>
      </w:r>
      <w:r>
        <w:rPr>
          <w:b/>
        </w:rPr>
        <w:t>Tal como está en la fuente:</w:t>
      </w:r>
      <w:r>
        <w:t xml:space="preserve"> los atributos del derecho de propiedad, como comprarla, venderla, prestarla o darla en trueque</w:t>
      </w:r>
      <w:r>
        <w:t>.</w:t>
      </w:r>
    </w:p>
    <w:p>
      <w:r>
        <w:t>[07.00-11.1 a 11.11; Enmienda XIII y Ley Áurea leídas en su texto oficial; las leyes del Reino Unido, Francia, Puerto Rico y Cuba y el Código Penal, leídos el 5-oct; la Biblioteca decía que España la abolió en Cuba en 1886 y en la Península el 23 de mayo de 1837, fecha que no aparece en la Gaceta]</w:t>
      </w:r>
    </w:p>
    <w:p>
      <w:r>
        <w:rPr>
          <w:b/>
        </w:rPr>
        <w:t>Conclusión, lo que arrojan los datos:</w:t>
      </w:r>
      <w:r>
        <w:t xml:space="preserve"> lo que fue legal durante siglos no era justo, y lo confesó el mismo poder que lo había hecho legal, al derogarlo. Lo legal, por sí solo, no prueba que algo sea justo (</w:t>
      </w:r>
      <w:r>
        <w:t>1.6</w:t>
      </w:r>
      <w:r>
        <w:t>).</w:t>
      </w:r>
    </w:p>
    <w:p>
      <w:r>
        <w:rPr>
          <w:b/>
        </w:rPr>
        <w:t>La pata coja, siempre dicha.</w:t>
      </w:r>
      <w:r>
        <w:t xml:space="preserve"> Cada principio de este capítulo tiene la suya: el texto, a veces de la misma tradición, que dice lo contrario. No se calla: se pone al lado, y en </w:t>
      </w:r>
      <w:r>
        <w:t>3.4</w:t>
      </w:r>
      <w:r>
        <w:t xml:space="preserve"> se pregunta quién la escribió.</w:t>
      </w:r>
    </w:p>
    <w:p>
      <w:r>
        <w:rPr>
          <w:b/>
        </w:rPr>
        <w:t>Los órdenes de costumbre.</w:t>
      </w:r>
      <w:r>
        <w:t xml:space="preserve"> La pieza 07.00 reúne también órdenes de costumbre de pueblos sin contacto documentado entre sí: los inuit, los pueblos de las llanuras, los mexicas, el derecho </w:t>
      </w:r>
      <w:r>
        <w:rPr>
          <w:i/>
        </w:rPr>
        <w:t>brehon</w:t>
      </w:r>
      <w:r>
        <w:t xml:space="preserve"> irlandés, el </w:t>
      </w:r>
      <w:r>
        <w:rPr>
          <w:i/>
        </w:rPr>
        <w:t>xeer</w:t>
      </w:r>
      <w:r>
        <w:t xml:space="preserve"> somalí, los incas, los aborígenes australianos, el Althing islandés y los maoríes. Leídos en su fuente, están en el </w:t>
      </w:r>
      <w:r>
        <w:t>anexo F</w:t>
      </w:r>
      <w:r>
        <w:t xml:space="preserve"> (</w:t>
      </w:r>
      <w:r>
        <w:t>F.7</w:t>
      </w:r>
      <w:r>
        <w:t xml:space="preserve">). </w:t>
      </w:r>
      <w:r>
        <w:t>[07.00-2.1 a 10.1]</w:t>
      </w:r>
    </w:p>
    <w:p>
      <w:pPr>
        <w:pStyle w:val="Heading2"/>
      </w:pPr>
      <w:r>
        <w:t>3.2 El Arca: la ley de Dios, principio por principio</w:t>
      </w:r>
    </w:p>
    <w:p>
      <w:pPr>
        <w:pBdr>
          <w:left w:val="single" w:sz="24" w:space="6" w:color="E2DED6"/>
        </w:pBdr>
        <w:shd w:val="clear" w:color="auto" w:fill="F1EEE8"/>
        <w:spacing w:before="80" w:after="160"/>
        <w:ind w:left="142" w:right="142"/>
      </w:pPr>
      <w:r>
        <w:rPr>
          <w:b/>
        </w:rPr>
        <w:t>La idea: nueve principios se repiten en pueblos sin contacto documentado entre sí, cada uno con tres o más patas, y cada uno con su pata coja.</w:t>
      </w:r>
    </w:p>
    <w:p>
      <w:r>
        <w:t xml:space="preserve">Para cada principio van aquí las pruebas más fuertes, de civilizaciones distintas. Todos los textos, con su fuente, están en el </w:t>
      </w:r>
      <w:r>
        <w:t>anexo F</w:t>
      </w:r>
      <w:r>
        <w:t>. Un texto que repite a otro, que es de la misma obra o que se parece a un código vecino se dice, pero no cuenta como pata aparte; y si su fecha se discute, se avisa.</w:t>
      </w:r>
    </w:p>
    <w:p>
      <w:r>
        <w:t>[archivo del Arca; libreta 64; 00.0-4.1]</w:t>
      </w:r>
    </w:p>
    <w:p>
      <w:pPr>
        <w:pStyle w:val="Heading3"/>
      </w:pPr>
      <w:r>
        <w:t>P1. El gobernante existe para el pueblo</w:t>
      </w:r>
    </w:p>
    <w:p>
      <w:pPr>
        <w:pStyle w:val="ListBullet"/>
      </w:pPr>
      <w:r>
        <w:rPr>
          <w:b/>
        </w:rPr>
        <w:t>China:</w:t>
      </w:r>
      <w:r>
        <w:t xml:space="preserve"> «el Cielo no engendró al pueblo por causa del gobernante; el Cielo instituyó al gobernante por causa del pueblo»</w:t>
      </w:r>
      <w:r>
        <w:t xml:space="preserve"> [original: «天之生民，非為君也；天之立君，以為民也»]</w:t>
      </w:r>
      <w:r>
        <w:t xml:space="preserve"> (Xunzi, 大略)</w:t>
      </w:r>
      <w:r>
        <w:br/>
      </w:r>
      <w:r>
        <w:rPr>
          <w:b/>
        </w:rPr>
        <w:t>leída en su fuente · Xunzi, 大略</w:t>
      </w:r>
      <w:r>
        <w:br/>
      </w:r>
      <w:r>
        <w:rPr>
          <w:b/>
        </w:rPr>
        <w:t>Original donde está:</w:t>
      </w:r>
      <w:r>
        <w:t xml:space="preserve"> zhwikisource_Xunzi_Dalue.txt</w:t>
      </w:r>
      <w:r>
        <w:br/>
      </w:r>
      <w:r>
        <w:t>El pasaje literal no está en el archivo de pasajes con este comienzo; la auditoría lo halló en ese original.</w:t>
      </w:r>
      <w:r>
        <w:t>. Y Mencio: «El pueblo es lo más valioso; los altares del Estado le siguen; el gobernante es lo de menos», y «si un señor pone en peligro los altares del Estado, se le sustituye»</w:t>
      </w:r>
      <w:r>
        <w:t xml:space="preserve"> [original: «民為貴，社稷次之，君為輕»; «諸侯危社稷，則變置»]</w:t>
      </w:r>
      <w:r>
        <w:t xml:space="preserve"> (Mencio 7B14)</w:t>
      </w:r>
      <w:r>
        <w:br/>
      </w:r>
      <w:r>
        <w:rPr>
          <w:b/>
        </w:rPr>
        <w:t>leída en su fuente · Mencio 7B14</w:t>
      </w:r>
      <w:r>
        <w:br/>
      </w:r>
      <w:r>
        <w:rPr>
          <w:b/>
        </w:rPr>
        <w:t>Original donde está:</w:t>
      </w:r>
      <w:r>
        <w:t xml:space="preserve"> zhwikisource_Mencio_盡心下.txt</w:t>
      </w:r>
      <w:r>
        <w:br/>
      </w:r>
      <w:r>
        <w:t>El pasaje literal no está en el archivo de pasajes con este comienzo; la auditoría lo halló en ese original.</w:t>
      </w:r>
      <w:r>
        <w:t>.</w:t>
      </w:r>
    </w:p>
    <w:p>
      <w:pPr>
        <w:pStyle w:val="ListBullet"/>
      </w:pPr>
      <w:r>
        <w:rPr>
          <w:b/>
        </w:rPr>
        <w:t>Israel:</w:t>
      </w:r>
      <w:r>
        <w:t xml:space="preserve"> «Sabéis que los príncipes de los Gentiles se enseñorean sobre ellos […] Mas entre vosotros no será así; sino el que quisiere entre vosotros hacerse grande, será vuestro servidor»</w:t>
      </w:r>
      <w:r>
        <w:t xml:space="preserve"> (Mt 20:25-26)</w:t>
      </w:r>
      <w:r>
        <w:br/>
      </w:r>
      <w:r>
        <w:rPr>
          <w:b/>
        </w:rPr>
        <w:t>leída en su fuente · Mt 20:25-26</w:t>
      </w:r>
      <w:r>
        <w:br/>
      </w:r>
      <w:r>
        <w:rPr>
          <w:b/>
        </w:rPr>
        <w:t>Archivo leído:</w:t>
      </w:r>
      <w:r>
        <w:t xml:space="preserve"> rva_c3.txt; rvr1960_mt_20_25-26.html (c3\rva_c3.txt) · contraste del archivo de pasajes: ✔</w:t>
      </w:r>
      <w:r>
        <w:br/>
      </w:r>
      <w:r>
        <w:rPr>
          <w:b/>
        </w:rPr>
        <w:t>Lugar:</w:t>
      </w:r>
      <w:r>
        <w:t xml:space="preserve"> RVA</w:t>
      </w:r>
      <w:r>
        <w:br/>
      </w:r>
      <w:r>
        <w:rPr>
          <w:b/>
        </w:rPr>
        <w:t>Dirección:</w:t>
      </w:r>
      <w:r>
        <w:t xml:space="preserve"> </w:t>
      </w:r>
      <w:r>
        <w:t>https://www.biblegateway.com/passage/?search=Matthew+20%3A25-26&amp;version=RVA</w:t>
      </w:r>
      <w:r>
        <w:br/>
      </w:r>
      <w:r>
        <w:rPr>
          <w:b/>
        </w:rPr>
        <w:t>Tal como está en la fuente:</w:t>
      </w:r>
      <w:r>
        <w:t xml:space="preserve"> Sabéis que los príncipes de los Gentiles se enseñorean sobre ellos, y los que son grandes ejercen sobre ellos potestad. Mas entre vosotros no será así; sino el que quisiere entre vosotros hacerse grande, será vuestro servidor;</w:t>
      </w:r>
      <w:r>
        <w:t>.</w:t>
      </w:r>
    </w:p>
    <w:p>
      <w:pPr>
        <w:pStyle w:val="ListBullet"/>
      </w:pPr>
      <w:r>
        <w:rPr>
          <w:b/>
        </w:rPr>
        <w:t>Mesopotamia:</w:t>
      </w:r>
      <w:r>
        <w:t xml:space="preserve"> los dioses llamaron a Hammurabi para implantar la justicia «para que el fuerte no dañe al débil»</w:t>
      </w:r>
      <w:r>
        <w:t xml:space="preserve"> [original: «so that the strong should not harm the weak», en la traducción de King]</w:t>
      </w:r>
      <w:r>
        <w:t xml:space="preserve"> (Código de Hammurabi, prólogo)</w:t>
      </w:r>
      <w:r>
        <w:br/>
      </w:r>
      <w:r>
        <w:rPr>
          <w:b/>
        </w:rPr>
        <w:t>leída en su fuente · Código de Hammurabi, prólogo</w:t>
      </w:r>
      <w:r>
        <w:br/>
      </w:r>
      <w:r>
        <w:rPr>
          <w:b/>
        </w:rPr>
        <w:t>Archivo leído:</w:t>
      </w:r>
      <w:r>
        <w:t xml:space="preserve"> ham.txt (ant\ham.txt) · contraste del archivo de pasajes: ✔</w:t>
      </w:r>
      <w:r>
        <w:br/>
      </w:r>
      <w:r>
        <w:rPr>
          <w:b/>
        </w:rPr>
        <w:t>Lugar:</w:t>
      </w:r>
      <w:r>
        <w:t xml:space="preserve"> Código de Hammurabi, prólogo</w:t>
      </w:r>
      <w:r>
        <w:br/>
      </w:r>
      <w:r>
        <w:rPr>
          <w:b/>
        </w:rPr>
        <w:t>Tal como está en la fuente:</w:t>
      </w:r>
      <w:r>
        <w:t xml:space="preserve"> so that the strong should not harm the weak</w:t>
      </w:r>
      <w:r>
        <w:t>.</w:t>
      </w:r>
    </w:p>
    <w:p>
      <w:pPr>
        <w:pStyle w:val="ListBullet"/>
      </w:pPr>
      <w:r>
        <w:rPr>
          <w:b/>
        </w:rPr>
        <w:t>América:</w:t>
      </w:r>
      <w:r>
        <w:t xml:space="preserve"> si un señor de la Confederación iroquesa no tiene en mente el bien del pueblo, se le amonesta tres veces y, si persiste, se le despoja de su título</w:t>
      </w:r>
      <w:r>
        <w:t xml:space="preserve"> [original: «has not in mind the welfare of the people»; «divest the erring Lord of his title», en la traducción de Parker]</w:t>
      </w:r>
      <w:r>
        <w:t xml:space="preserve"> (Gran Ley de la Paz, art. 19)</w:t>
      </w:r>
      <w:r>
        <w:t xml:space="preserve">. </w:t>
      </w:r>
      <w:r>
        <w:rPr>
          <w:b/>
        </w:rPr>
        <w:t>Aviso:</w:t>
      </w:r>
      <w:r>
        <w:t xml:space="preserve"> la fecha de la Gran Ley se discute. La Enciclopedia Canadiense dice que las estimaciones varían mucho, con muchos que la sitúan a mediados del siglo XVI, y que en 1997 Barbara Mann y Jerry Fields propusieron el 31 de agosto de 1142</w:t>
      </w:r>
      <w:r>
        <w:t xml:space="preserve"> (P. G. Ramsden, «Haudenosaunee (Iroquois)», The Canadian Encyclopedia, ed. de 15-V-2024; fuente secundaria)</w:t>
      </w:r>
      <w:r>
        <w:t>; Britannica la sitúa entre 1570 y 1600</w:t>
      </w:r>
      <w:r>
        <w:t xml:space="preserve"> (Encyclopaedia Britannica, «Iroquois Confederacy»; fuente secundaria)</w:t>
      </w:r>
      <w:r>
        <w:t>. Se transmitió de palabra, con cinturones de wampum que servían para recordar cada ley, y los iroqueses no intentaron ponerla por escrito hasta hace poco: «Hasta hace poco los iroqueses no han intentado poner su código por escrito»</w:t>
      </w:r>
      <w:r>
        <w:t xml:space="preserve"> [original: «Not until recently have the Iroquois attempted to put their code in written form»]</w:t>
      </w:r>
      <w:r>
        <w:t xml:space="preserve"> (A. C. Parker, The Constitution of the Five Nations, Albany, 1916, introducción)</w:t>
      </w:r>
      <w:r>
        <w:br/>
      </w:r>
      <w:r>
        <w:rPr>
          <w:b/>
        </w:rPr>
        <w:t>leída en su fuente · A. C. Parker, The Constitution of the Five Nations, Albany, 1916, introducción</w:t>
      </w:r>
      <w:r>
        <w:br/>
      </w:r>
      <w:r>
        <w:rPr>
          <w:b/>
        </w:rPr>
        <w:t>Archivo leído:</w:t>
      </w:r>
      <w:r>
        <w:t xml:space="preserve"> constitutionoffi00park.txt (ant\constitutionoffi00park.txt) · contraste del archivo de pasajes: ✔</w:t>
      </w:r>
      <w:r>
        <w:br/>
      </w:r>
      <w:r>
        <w:rPr>
          <w:b/>
        </w:rPr>
        <w:t>Lugar:</w:t>
      </w:r>
      <w:r>
        <w:t xml:space="preserve"> A. C. Parker, The Constitution of the Five Nations, Albany, 1916, introducción</w:t>
      </w:r>
      <w:r>
        <w:br/>
      </w:r>
      <w:r>
        <w:rPr>
          <w:b/>
        </w:rPr>
        <w:t>Tal como está en la fuente:</w:t>
      </w:r>
      <w:r>
        <w:t xml:space="preserve"> Not until recently have the Iroquois attempted to put their code in written form</w:t>
      </w:r>
      <w:r>
        <w:t>. La versión que aquí se cita es la de Parker, de 1916. La fecha del papel no prueba la del contenido.</w:t>
      </w:r>
    </w:p>
    <w:p>
      <w:pPr>
        <w:pStyle w:val="ListBullet"/>
      </w:pPr>
      <w:r>
        <w:t>Y además: el rey que no protege a sus súbditos «es un rey muerto y no vivo»</w:t>
      </w:r>
      <w:r>
        <w:t xml:space="preserve"> [original: «mṛtaḥ sa na tu jīvati»; Bühler: «is a dead and not a living (king)»]</w:t>
      </w:r>
      <w:r>
        <w:t xml:space="preserve"> (Leyes de Manu VII, 143); «no son verdaderas leyes» las que no se dan en interés de todo el Estado</w:t>
      </w:r>
      <w:r>
        <w:t xml:space="preserve"> [original: «laws are true laws unless they are enacted in the interest of the common weal of the whole State», en la traducción de Bury]</w:t>
      </w:r>
      <w:r>
        <w:t>, y los magistrados son «servidores de la ley»</w:t>
      </w:r>
      <w:r>
        <w:t xml:space="preserve"> [original: «the magistrates are servants to the law», en la traducción de Bury]</w:t>
      </w:r>
      <w:r>
        <w:t xml:space="preserve"> (Platón, Leyes IV, 715b y 715d); Gamliel, al dar autoridad a dos sabios: «¿creéis que os doy autoridad? Servidumbre os doy»</w:t>
      </w:r>
      <w:r>
        <w:t xml:space="preserve"> [original: «עַבְדוּת אֲנִי נוֹתֵן לָכֶם»]</w:t>
      </w:r>
      <w:r>
        <w:t xml:space="preserve"> (Talmud, Horayot 10b); la administración del Estado, como una tutela, se ejerce en provecho de los que están confiados a ella (Cicerón, De officiis I, 85); el primer gobernante, el «Elegido del Pueblo» (Digha Nikaya 27); es deber del rey procurar el bien del pueblo llano, porque este constituye el cuerpo político (Malo, Antigüedades hawaianas XXXVIII, 67).</w:t>
      </w:r>
    </w:p>
    <w:p>
      <w:pPr>
        <w:pStyle w:val="ListBullet"/>
      </w:pPr>
      <w:r>
        <w:rPr>
          <w:b/>
        </w:rPr>
        <w:t>La pata coja:</w:t>
      </w:r>
      <w:r>
        <w:t xml:space="preserve"> «pueblo débil, Estado fuerte; pueblo fuerte, Estado débil»</w:t>
      </w:r>
      <w:r>
        <w:t xml:space="preserve"> [original: «民弱國強，民強國弱»]</w:t>
      </w:r>
      <w:r>
        <w:t xml:space="preserve"> (Libro del señor Shang, 弱民)</w:t>
      </w:r>
      <w:r>
        <w:br/>
      </w:r>
      <w:r>
        <w:rPr>
          <w:b/>
        </w:rPr>
        <w:t>leída en su fuente · Libro del señor Shang, 弱民</w:t>
      </w:r>
      <w:r>
        <w:br/>
      </w:r>
      <w:r>
        <w:rPr>
          <w:b/>
        </w:rPr>
        <w:t>Original donde está:</w:t>
      </w:r>
      <w:r>
        <w:t xml:space="preserve"> zhwikisource_Shangjun_shu_5.txt</w:t>
      </w:r>
      <w:r>
        <w:br/>
      </w:r>
      <w:r>
        <w:t>El pasaje literal no está en el archivo de pasajes con este comienzo; la auditoría lo halló en ese original.</w:t>
      </w:r>
      <w:r>
        <w:t>. Y el rey, aunque sea un niño, «es una gran deidad en forma humana»</w:t>
      </w:r>
      <w:r>
        <w:t xml:space="preserve"> [original: «is a great deity in human form», en la traducción de Bühler]</w:t>
      </w:r>
      <w:r>
        <w:t xml:space="preserve"> (Leyes de Manu VII, 8)</w:t>
      </w:r>
      <w:r>
        <w:br/>
      </w:r>
      <w:r>
        <w:rPr>
          <w:b/>
        </w:rPr>
        <w:t>leída en su fuente · Leyes de Manu VII, 8</w:t>
      </w:r>
      <w:r>
        <w:br/>
      </w:r>
      <w:r>
        <w:rPr>
          <w:b/>
        </w:rPr>
        <w:t>Archivo leído:</w:t>
      </w:r>
      <w:r>
        <w:t xml:space="preserve"> lawsofman00manu.txt (ant\india\lawsofman00manu.txt) · contraste del archivo de pasajes: ✔</w:t>
      </w:r>
      <w:r>
        <w:br/>
      </w:r>
      <w:r>
        <w:rPr>
          <w:b/>
        </w:rPr>
        <w:t>Lugar:</w:t>
      </w:r>
      <w:r>
        <w:t xml:space="preserve"> Leyes de Manu VII, 8</w:t>
      </w:r>
      <w:r>
        <w:br/>
      </w:r>
      <w:r>
        <w:rPr>
          <w:b/>
        </w:rPr>
        <w:t>Tal como está en la fuente:</w:t>
      </w:r>
      <w:r>
        <w:t xml:space="preserve"> is a great deity in human form</w:t>
      </w:r>
      <w:r>
        <w:t>.</w:t>
      </w:r>
    </w:p>
    <w:p>
      <w:r>
        <w:t>[archivo del Arca, bloques de China, Antiguo Oriente, India y África-América-Oceanía; libreta 64, P1]</w:t>
      </w:r>
    </w:p>
    <w:p>
      <w:pPr>
        <w:pStyle w:val="Heading3"/>
      </w:pPr>
      <w:r>
        <w:t>P2. Impuestos moderados</w:t>
      </w:r>
    </w:p>
    <w:p>
      <w:pPr>
        <w:pStyle w:val="ListBullet"/>
      </w:pPr>
      <w:r>
        <w:rPr>
          <w:b/>
        </w:rPr>
        <w:t>China:</w:t>
      </w:r>
      <w:r>
        <w:t xml:space="preserve"> «El pueblo pasa hambre porque los de arriba consumen demasiados impuestos»</w:t>
      </w:r>
      <w:r>
        <w:t xml:space="preserve"> [original: «民之饑，以其上食稅之多，是以饑»]</w:t>
      </w:r>
      <w:r>
        <w:t xml:space="preserve"> (Daodejing 75)</w:t>
      </w:r>
      <w:r>
        <w:br/>
      </w:r>
      <w:r>
        <w:rPr>
          <w:b/>
        </w:rPr>
        <w:t>leída en su fuente · Daodejing 75</w:t>
      </w:r>
      <w:r>
        <w:br/>
      </w:r>
      <w:r>
        <w:rPr>
          <w:b/>
        </w:rPr>
        <w:t>Original donde está:</w:t>
      </w:r>
      <w:r>
        <w:t xml:space="preserve"> zhwikisource_Daodejing_WangBi.txt</w:t>
      </w:r>
      <w:r>
        <w:br/>
      </w:r>
      <w:r>
        <w:t>El pasaje literal no está en el archivo de pasajes con este comienzo; la auditoría lo halló en ese original.</w:t>
      </w:r>
      <w:r>
        <w:t>.</w:t>
      </w:r>
    </w:p>
    <w:p>
      <w:pPr>
        <w:pStyle w:val="ListBullet"/>
      </w:pPr>
      <w:r>
        <w:rPr>
          <w:b/>
        </w:rPr>
        <w:t>Israel:</w:t>
      </w:r>
      <w:r>
        <w:t xml:space="preserve"> el profeta advierte de lo que hará el rey: «El diezmará vuestras simientes y vuestras viñas […] Diezmará también vuestro rebaño, y seréis sus siervos»</w:t>
      </w:r>
      <w:r>
        <w:t xml:space="preserve"> (1 Sam 8:15-17)</w:t>
      </w:r>
      <w:r>
        <w:br/>
      </w:r>
      <w:r>
        <w:rPr>
          <w:b/>
        </w:rPr>
        <w:t>leída en su fuente · 1 Sam 8:15-17</w:t>
      </w:r>
      <w:r>
        <w:br/>
      </w:r>
      <w:r>
        <w:rPr>
          <w:b/>
        </w:rPr>
        <w:t>Archivo leído:</w:t>
      </w:r>
      <w:r>
        <w:t xml:space="preserve"> jud6.html (ant\canon\jud6.html) · contraste del archivo de pasajes: ✔</w:t>
      </w:r>
      <w:r>
        <w:br/>
      </w:r>
      <w:r>
        <w:rPr>
          <w:b/>
        </w:rPr>
        <w:t>Lugar:</w:t>
      </w:r>
      <w:r>
        <w:t xml:space="preserve"> 1 Sam 8:15-17</w:t>
      </w:r>
      <w:r>
        <w:br/>
      </w:r>
      <w:r>
        <w:rPr>
          <w:b/>
        </w:rPr>
        <w:t>Tal como está en la fuente:</w:t>
      </w:r>
      <w:r>
        <w:t xml:space="preserve"> El diezmará vuestras simientes y vuestras viñas […] Diezmará también vuestro rebaño, y seréis sus siervos</w:t>
      </w:r>
      <w:r>
        <w:t>. Un diezmo ya se describía como servidumbre. Y cuando Roboam respondió al pueblo: «Mi padre agravó vuestro yugo, pero yo añadiré á vuestro yugo», el reino se dividió</w:t>
      </w:r>
      <w:r>
        <w:t xml:space="preserve"> (1 R 12:14-16)</w:t>
      </w:r>
      <w:r>
        <w:t xml:space="preserve">. </w:t>
      </w:r>
      <w:r>
        <w:rPr>
          <w:b/>
        </w:rPr>
        <w:t>Aviso:</w:t>
      </w:r>
      <w:r>
        <w:t xml:space="preserve"> 1 Samuel y 1 Reyes pertenecen a una misma narración continua, de Samuel a Reyes: cuentan como una sola pata. La crítica bíblica la llama «historia deuteronomista» (Martin Noth, 1943; referencia hallada en Wikipedia, sin leer en su fuente).</w:t>
      </w:r>
    </w:p>
    <w:p>
      <w:pPr>
        <w:pStyle w:val="ListBullet"/>
      </w:pPr>
      <w:r>
        <w:rPr>
          <w:b/>
        </w:rPr>
        <w:t>La India:</w:t>
      </w:r>
      <w:r>
        <w:t xml:space="preserve"> el rey que oprime con impuestos se daña a sí mismo, como quien quiere leche y corta las ubres de la vaca; «sé como el florista, rey», que cuida la planta, y no como el carbonero, que la quema</w:t>
      </w:r>
      <w:r>
        <w:t xml:space="preserve"> [original: «mālākāropamo rājan bhava»]</w:t>
      </w:r>
      <w:r>
        <w:t xml:space="preserve"> (Mahabharata 12.72)</w:t>
      </w:r>
      <w:r>
        <w:t>.</w:t>
      </w:r>
    </w:p>
    <w:p>
      <w:pPr>
        <w:pStyle w:val="ListBullet"/>
      </w:pPr>
      <w:r>
        <w:rPr>
          <w:b/>
        </w:rPr>
        <w:t>Grecia:</w:t>
      </w:r>
      <w:r>
        <w:t xml:space="preserve"> «es un recurso de la tiranía empobrecer a los súbditos»</w:t>
      </w:r>
      <w:r>
        <w:t xml:space="preserve"> [original: «it is a device of tyranny to make the subjects poor», en la traducción inglesa]</w:t>
      </w:r>
      <w:r>
        <w:t xml:space="preserve"> (Aristóteles, Política V, 1313b)</w:t>
      </w:r>
      <w:r>
        <w:br/>
      </w:r>
      <w:r>
        <w:rPr>
          <w:b/>
        </w:rPr>
        <w:t>leída en su fuente · Aristóteles, Política V, 1313b</w:t>
      </w:r>
      <w:r>
        <w:br/>
      </w:r>
      <w:r>
        <w:rPr>
          <w:b/>
        </w:rPr>
        <w:t>Archivo leído:</w:t>
      </w:r>
      <w:r>
        <w:t xml:space="preserve"> pol1313.txt (ant\pol1313.txt) · contraste del archivo de pasajes: ✔</w:t>
      </w:r>
      <w:r>
        <w:br/>
      </w:r>
      <w:r>
        <w:rPr>
          <w:b/>
        </w:rPr>
        <w:t>Lugar:</w:t>
      </w:r>
      <w:r>
        <w:t xml:space="preserve"> Aristóteles, Política V, 1313b</w:t>
      </w:r>
      <w:r>
        <w:br/>
      </w:r>
      <w:r>
        <w:rPr>
          <w:b/>
        </w:rPr>
        <w:t>Tal como está en la fuente:</w:t>
      </w:r>
      <w:r>
        <w:t xml:space="preserve"> it is a device of tyranny to make the subjects poor</w:t>
      </w:r>
      <w:r>
        <w:t>.</w:t>
      </w:r>
    </w:p>
    <w:p>
      <w:pPr>
        <w:pStyle w:val="ListBullet"/>
      </w:pPr>
      <w:r>
        <w:t>Y además: gobernar con humanidad es «ser parco en castigos y multas, y aligerar impuestos y tributos»</w:t>
      </w:r>
      <w:r>
        <w:t xml:space="preserve"> [original: «省刑罰，薄稅斂»; Legge: «being sparing in the use of punishments and fines, and making the taxes and levies light»]</w:t>
      </w:r>
      <w:r>
        <w:t xml:space="preserve"> (Mencio 1A5); el rey tomará impuestos anuales moderados, poco a poco, como la abeja (Leyes de Manu VII, 129); subir impuestos a un pueblo oprimido «no es cumplir su deber»</w:t>
      </w:r>
      <w:r>
        <w:t xml:space="preserve"> [original: «if the king were to extract more taxes while his realm is thus harried and oppressed, he would not be doing his duty», en la traducción de Sujato]</w:t>
      </w:r>
      <w:r>
        <w:t>, y el rey debe dar medios para que el pueblo prospere (Kutadanta Sutta, Digha Nikaya 5); si el pueblo tiene bastante, ¿con quién le va a faltar al señor? (Analectas 12.9); el dinero de la caja de los aduaneros sin tasa fija se presume robado (Mishná y Talmud, Bava Kamma 10:1 y 113a); los tributos de los incas «eran tan moderados» (Garcilaso, Comentarios reales V, 15; Garcilaso idealiza); «mirad que no gastéis con profanidad los sudores y trabajos de vuestros vasallos» (Sahagún VI, 10).</w:t>
      </w:r>
    </w:p>
    <w:p>
      <w:pPr>
        <w:pStyle w:val="ListBullet"/>
      </w:pPr>
      <w:r>
        <w:rPr>
          <w:b/>
        </w:rPr>
        <w:t>La pata coja:</w:t>
      </w:r>
      <w:r>
        <w:t xml:space="preserve"> subir la carga poco a poco, «como quien va aumentando poco a poco la carga de un novillo»</w:t>
      </w:r>
      <w:r>
        <w:t xml:space="preserve"> [original: «damayann iva damyānāṃ śaśvad bhāraṃ pravardhayet», edición crítica de Pune]</w:t>
      </w:r>
      <w:r>
        <w:t>, y sembrar la división entre el pueblo que soporta las cargas</w:t>
      </w:r>
      <w:r>
        <w:t xml:space="preserve"> (Mahabharata 12.89)</w:t>
      </w:r>
      <w:r>
        <w:t>; y el Arthashastra enseña a llenar el tesoro pidiendo contribuciones con falsos pretextos</w:t>
      </w:r>
      <w:r>
        <w:t xml:space="preserve"> (Arthashastra 5.2)</w:t>
      </w:r>
      <w:r>
        <w:t xml:space="preserve">. </w:t>
      </w:r>
      <w:r>
        <w:rPr>
          <w:b/>
        </w:rPr>
        <w:t>Un matiz:</w:t>
      </w:r>
      <w:r>
        <w:t xml:space="preserve"> Mencio rechaza también el impuesto demasiado bajo; el principio es la medida justa, no «cuanto menos, mejor».</w:t>
      </w:r>
    </w:p>
    <w:p>
      <w:r>
        <w:t>[archivo del Arca; libreta 64, P2]</w:t>
      </w:r>
    </w:p>
    <w:p>
      <w:pPr>
        <w:pStyle w:val="Heading3"/>
      </w:pPr>
      <w:r>
        <w:t>P3. No quitar al pueblo su tiempo</w:t>
      </w:r>
    </w:p>
    <w:p>
      <w:pPr>
        <w:pStyle w:val="ListBullet"/>
      </w:pPr>
      <w:r>
        <w:rPr>
          <w:b/>
        </w:rPr>
        <w:t>China:</w:t>
      </w:r>
      <w:r>
        <w:t xml:space="preserve"> «ellos roban al pueblo su tiempo, de modo que no puede arar para alimentar a sus padres»</w:t>
      </w:r>
      <w:r>
        <w:t xml:space="preserve"> [original: «彼奪其民時，使不得耕耨以養其父母»]</w:t>
      </w:r>
      <w:r>
        <w:t xml:space="preserve"> (Mencio 1A5)</w:t>
      </w:r>
      <w:r>
        <w:br/>
      </w:r>
      <w:r>
        <w:rPr>
          <w:b/>
        </w:rPr>
        <w:t>leída en su fuente · Mencio 1A5</w:t>
      </w:r>
      <w:r>
        <w:br/>
      </w:r>
      <w:r>
        <w:rPr>
          <w:b/>
        </w:rPr>
        <w:t>Original donde está:</w:t>
      </w:r>
      <w:r>
        <w:t xml:space="preserve"> 8.3_24_Mencio_Liang_Hui_Wang_I_zh_Wikisource.txt</w:t>
      </w:r>
      <w:r>
        <w:br/>
      </w:r>
      <w:r>
        <w:t>El pasaje literal no está en el archivo de pasajes con este comienzo; la auditoría lo halló en ese original.</w:t>
      </w:r>
      <w:r>
        <w:t>.</w:t>
      </w:r>
    </w:p>
    <w:p>
      <w:pPr>
        <w:pStyle w:val="ListBullet"/>
      </w:pPr>
      <w:r>
        <w:rPr>
          <w:b/>
        </w:rPr>
        <w:t>Israel:</w:t>
      </w:r>
      <w:r>
        <w:t xml:space="preserve"> «Mas el séptimo es reposo á Jehová tu Dios: ninguna obra harás tú, ni tu hijo, ni tu hija, ni tu siervo, ni tu sierva […] porque descanse tu siervo y tu sierva como tú»</w:t>
      </w:r>
      <w:r>
        <w:t xml:space="preserve"> (Dt 5:14)</w:t>
      </w:r>
      <w:r>
        <w:br/>
      </w:r>
      <w:r>
        <w:rPr>
          <w:b/>
        </w:rPr>
        <w:t>leída en su fuente · Dt 5:14</w:t>
      </w:r>
      <w:r>
        <w:br/>
      </w:r>
      <w:r>
        <w:rPr>
          <w:b/>
        </w:rPr>
        <w:t>Archivo leído:</w:t>
      </w:r>
      <w:r>
        <w:t xml:space="preserve"> spaRV1909_texto_corrido.txt (biblia_rv1909\spaRV1909_texto_corrido.txt) · contraste del archivo de pasajes: ✔</w:t>
      </w:r>
      <w:r>
        <w:br/>
      </w:r>
      <w:r>
        <w:rPr>
          <w:b/>
        </w:rPr>
        <w:t>Lugar:</w:t>
      </w:r>
      <w:r>
        <w:t xml:space="preserve"> Dt 5:14</w:t>
      </w:r>
      <w:r>
        <w:br/>
      </w:r>
      <w:r>
        <w:rPr>
          <w:b/>
        </w:rPr>
        <w:t>Tal como está en la fuente:</w:t>
      </w:r>
      <w:r>
        <w:t xml:space="preserve"> Mas el séptimo es reposo á Jehová tu Dios: ninguna obra harás tú, ni tu hijo, ni tu hija, ni tu siervo, ni tu sierva […] porque descanse tu siervo y tu sierva como tú</w:t>
      </w:r>
      <w:r>
        <w:t>.</w:t>
      </w:r>
    </w:p>
    <w:p>
      <w:pPr>
        <w:pStyle w:val="ListBullet"/>
      </w:pPr>
      <w:r>
        <w:rPr>
          <w:b/>
        </w:rPr>
        <w:t>Egipto:</w:t>
      </w:r>
      <w:r>
        <w:t xml:space="preserve"> «es aborrecible para el alma que se le quite su tiempo [de sosiego]»</w:t>
      </w:r>
      <w:r>
        <w:t xml:space="preserve"> [original: «it is abhorred of the soul, that its time [of ease] be taken away»]</w:t>
      </w:r>
      <w:r>
        <w:t xml:space="preserve"> (Ptahhotep, máxima 11)</w:t>
      </w:r>
      <w:r>
        <w:br/>
      </w:r>
      <w:r>
        <w:rPr>
          <w:b/>
        </w:rPr>
        <w:t>leída en su fuente · Ptahhotep, máxima 11</w:t>
      </w:r>
      <w:r>
        <w:br/>
      </w:r>
      <w:r>
        <w:rPr>
          <w:b/>
        </w:rPr>
        <w:t>Archivo leído:</w:t>
      </w:r>
      <w:r>
        <w:t xml:space="preserve"> ptah.txt (ant\ptah.txt) · contraste del archivo de pasajes: ✔</w:t>
      </w:r>
      <w:r>
        <w:br/>
      </w:r>
      <w:r>
        <w:rPr>
          <w:b/>
        </w:rPr>
        <w:t>Lugar:</w:t>
      </w:r>
      <w:r>
        <w:t xml:space="preserve"> Ptahhotep, máxima 11</w:t>
      </w:r>
      <w:r>
        <w:br/>
      </w:r>
      <w:r>
        <w:rPr>
          <w:b/>
        </w:rPr>
        <w:t>Tal como está en la fuente:</w:t>
      </w:r>
      <w:r>
        <w:t xml:space="preserve"> it is abhorred of the soul, that its time [of ease] be taken away</w:t>
      </w:r>
      <w:r>
        <w:t xml:space="preserve">. </w:t>
      </w:r>
      <w:r>
        <w:rPr>
          <w:b/>
        </w:rPr>
        <w:t>Aviso:</w:t>
      </w:r>
      <w:r>
        <w:t xml:space="preserve"> las máximas se atribuyen a la V dinastía; la copia más antigua es de hacia 2000 a. C. (</w:t>
      </w:r>
      <w:r>
        <w:t>F.4</w:t>
      </w:r>
      <w:r>
        <w:t>), y hay quien las cree compuestas en el Reino Medio (Quirke, 2004; referencia hallada en Wikipedia, sin leer en su fuente).</w:t>
      </w:r>
    </w:p>
    <w:p>
      <w:pPr>
        <w:pStyle w:val="ListBullet"/>
      </w:pPr>
      <w:r>
        <w:rPr>
          <w:b/>
        </w:rPr>
        <w:t>La tradición rabínica:</w:t>
      </w:r>
      <w:r>
        <w:t xml:space="preserve"> el jornalero puede retirarse aun a mitad de jornada, porque los hijos de Israel son siervos de Dios, «y no siervos de siervos»</w:t>
      </w:r>
      <w:r>
        <w:t xml:space="preserve"> [original: «וְלֹא עֲבָדִים לַעֲבָדִים»]</w:t>
      </w:r>
      <w:r>
        <w:t xml:space="preserve"> (Talmud, Bava Metsiá 10a)</w:t>
      </w:r>
      <w:r>
        <w:t>.</w:t>
      </w:r>
    </w:p>
    <w:p>
      <w:pPr>
        <w:pStyle w:val="ListBullet"/>
      </w:pPr>
      <w:r>
        <w:rPr>
          <w:b/>
        </w:rPr>
        <w:t>La medida de la tradición:</w:t>
      </w:r>
      <w:r>
        <w:t xml:space="preserve"> las Leyes de Manu fijan para el artesano y el trabajador manual un día al mes de trabajo para el rey</w:t>
      </w:r>
      <w:r>
        <w:t xml:space="preserve"> (Leyes de Manu VII, 138)</w:t>
      </w:r>
      <w:r>
        <w:t xml:space="preserve">. Lo que hoy se lleva de cada jornada se mide en </w:t>
      </w:r>
      <w:r>
        <w:t>8.3</w:t>
      </w:r>
      <w:r>
        <w:t>.</w:t>
      </w:r>
    </w:p>
    <w:p>
      <w:pPr>
        <w:pStyle w:val="ListBullet"/>
      </w:pPr>
      <w:r>
        <w:t>Y además: emplear al pueblo en la estación debida (Analectas 1.5); uno de los tres males del pueblo es que «el que trabaja no descansa»</w:t>
      </w:r>
      <w:r>
        <w:t xml:space="preserve"> [original: «勞者不得息»]</w:t>
      </w:r>
      <w:r>
        <w:t xml:space="preserve"> (Mozi, 非樂上); el amo debe dar a sus trabajadores descanso a su debido tiempo (Digha Nikaya 31); la tiranía mantiene al pueblo ocupado, como con las pirámides (Aristóteles, Política V, 1313b); la ley inca mandaba que cada uno trabajara «lo que le pertenecía y no más» (Garcilaso V, 11).</w:t>
      </w:r>
    </w:p>
    <w:p>
      <w:pPr>
        <w:pStyle w:val="ListBullet"/>
      </w:pPr>
      <w:r>
        <w:rPr>
          <w:b/>
        </w:rPr>
        <w:t>La pata coja:</w:t>
      </w:r>
      <w:r>
        <w:t xml:space="preserve"> la «ley común» de los incas obligaba a todos a edificar los templos y las casas de los reyes y señores, y a labrar sus tierras, y la «ley casera» ocupaba hasta a los niños de cinco años</w:t>
      </w:r>
      <w:r>
        <w:t xml:space="preserve"> (Garcilaso V, 11)</w:t>
      </w:r>
      <w:r>
        <w:t>.</w:t>
      </w:r>
    </w:p>
    <w:p>
      <w:r>
        <w:t>[archivo del Arca; libreta 64, P3; 00.0-4.4, la cifra de hoy pasa a 8.3]</w:t>
      </w:r>
    </w:p>
    <w:p>
      <w:pPr>
        <w:pStyle w:val="Heading3"/>
      </w:pPr>
      <w:r>
        <w:t>P4. Pesas y medidas justas</w:t>
      </w:r>
    </w:p>
    <w:p>
      <w:pPr>
        <w:pStyle w:val="ListBullet"/>
      </w:pPr>
      <w:r>
        <w:rPr>
          <w:b/>
        </w:rPr>
        <w:t>Egipto,</w:t>
      </w:r>
      <w:r>
        <w:t xml:space="preserve"> ante el tribunal de Maat: «no he disminuido la medida de grano […] no he añadido pesos a la balanza»</w:t>
      </w:r>
      <w:r>
        <w:t xml:space="preserve"> [original: «I have not diminished from the bushel […] I have not added to the weights of the scales», en la traducción de Budge]</w:t>
      </w:r>
      <w:r>
        <w:t xml:space="preserve"> (Libro de los Muertos, cap. 125)</w:t>
      </w:r>
      <w:r>
        <w:br/>
      </w:r>
      <w:r>
        <w:rPr>
          <w:b/>
        </w:rPr>
        <w:t>leída en su fuente · Libro de los Muertos, cap. 125</w:t>
      </w:r>
      <w:r>
        <w:br/>
      </w:r>
      <w:r>
        <w:rPr>
          <w:b/>
        </w:rPr>
        <w:t>Archivo leído:</w:t>
      </w:r>
      <w:r>
        <w:t xml:space="preserve"> libro_muertos_budge_gutenberg_7145.txt · contraste del archivo de pasajes: sin archivo</w:t>
      </w:r>
      <w:r>
        <w:br/>
      </w:r>
      <w:r>
        <w:rPr>
          <w:b/>
        </w:rPr>
        <w:t>Lugar:</w:t>
      </w:r>
      <w:r>
        <w:t xml:space="preserve"> 10 FUENTES LEIDAS/c9h (índice, entrada 73)</w:t>
      </w:r>
      <w:r>
        <w:br/>
      </w:r>
      <w:r>
        <w:rPr>
          <w:b/>
        </w:rPr>
        <w:t>Tal como está en la fuente:</w:t>
      </w:r>
      <w:r>
        <w:t xml:space="preserve"> No he disminuido la medida de grano [...] no he añadido pesos a la balanza</w:t>
      </w:r>
      <w:r>
        <w:t>.</w:t>
      </w:r>
    </w:p>
    <w:p>
      <w:pPr>
        <w:pStyle w:val="ListBullet"/>
      </w:pPr>
      <w:r>
        <w:rPr>
          <w:b/>
        </w:rPr>
        <w:t>Israel:</w:t>
      </w:r>
      <w:r>
        <w:t xml:space="preserve"> «Balanzas justas, pesas justas, epha justo, é hin justo tendréis»</w:t>
      </w:r>
      <w:r>
        <w:t xml:space="preserve"> (Lv 19:36)</w:t>
      </w:r>
      <w:r>
        <w:br/>
      </w:r>
      <w:r>
        <w:rPr>
          <w:b/>
        </w:rPr>
        <w:t>leída en su fuente · Lv 19:36</w:t>
      </w:r>
      <w:r>
        <w:br/>
      </w:r>
      <w:r>
        <w:rPr>
          <w:b/>
        </w:rPr>
        <w:t>Archivo leído:</w:t>
      </w:r>
      <w:r>
        <w:t xml:space="preserve"> spaRV1909_texto_corrido.txt (biblia_rv1909\spaRV1909_texto_corrido.txt) · contraste del archivo de pasajes: ✔</w:t>
      </w:r>
      <w:r>
        <w:br/>
      </w:r>
      <w:r>
        <w:rPr>
          <w:b/>
        </w:rPr>
        <w:t>Lugar:</w:t>
      </w:r>
      <w:r>
        <w:t xml:space="preserve"> Lv 19:36</w:t>
      </w:r>
      <w:r>
        <w:br/>
      </w:r>
      <w:r>
        <w:rPr>
          <w:b/>
        </w:rPr>
        <w:t>Tal como está en la fuente:</w:t>
      </w:r>
      <w:r>
        <w:t xml:space="preserve"> Balanzas justas, pesas justas, epha justo, é hin justo tendréis</w:t>
      </w:r>
      <w:r>
        <w:t>. «El peso falso abominación es á Jehová: Mas la pesa cabal le agrada»</w:t>
      </w:r>
      <w:r>
        <w:t xml:space="preserve"> (Pr 11:1)</w:t>
      </w:r>
      <w:r>
        <w:br/>
      </w:r>
      <w:r>
        <w:rPr>
          <w:b/>
        </w:rPr>
        <w:t>leída en su fuente · Pr 11:1</w:t>
      </w:r>
      <w:r>
        <w:br/>
      </w:r>
      <w:r>
        <w:rPr>
          <w:b/>
        </w:rPr>
        <w:t>Archivo leído:</w:t>
      </w:r>
      <w:r>
        <w:t xml:space="preserve"> rva_c3.txt; rvr1960_pr_11_1.html (c3\rva_c3.txt) · contraste del archivo de pasajes: ✔</w:t>
      </w:r>
      <w:r>
        <w:br/>
      </w:r>
      <w:r>
        <w:rPr>
          <w:b/>
        </w:rPr>
        <w:t>Lugar:</w:t>
      </w:r>
      <w:r>
        <w:t xml:space="preserve"> RVA</w:t>
      </w:r>
      <w:r>
        <w:br/>
      </w:r>
      <w:r>
        <w:rPr>
          <w:b/>
        </w:rPr>
        <w:t>Dirección:</w:t>
      </w:r>
      <w:r>
        <w:t xml:space="preserve"> </w:t>
      </w:r>
      <w:r>
        <w:t>https://www.biblegateway.com/passage/?search=Proverbs+11%3A1&amp;version=RVA</w:t>
      </w:r>
      <w:r>
        <w:br/>
      </w:r>
      <w:r>
        <w:rPr>
          <w:b/>
        </w:rPr>
        <w:t>Tal como está en la fuente:</w:t>
      </w:r>
      <w:r>
        <w:t xml:space="preserve"> EL peso falso abominación es á Jehová: Mas la pesa cabal le agrada.</w:t>
      </w:r>
      <w:r>
        <w:t>.</w:t>
      </w:r>
    </w:p>
    <w:p>
      <w:pPr>
        <w:pStyle w:val="ListBullet"/>
      </w:pPr>
      <w:r>
        <w:rPr>
          <w:b/>
        </w:rPr>
        <w:t>El islam:</w:t>
      </w:r>
      <w:r>
        <w:t xml:space="preserve"> «¡Ay de los defraudadores, que, cuando piden a otros la medida, la exigen exacta, pero que, cuando ellos miden o pesan para otros, dan menos de lo debido!»</w:t>
      </w:r>
      <w:r>
        <w:t xml:space="preserve"> (Corán 83:1-3, traducción de Julio Cortés)</w:t>
      </w:r>
      <w:r>
        <w:br/>
      </w:r>
      <w:r>
        <w:rPr>
          <w:b/>
        </w:rPr>
        <w:t>leída en su fuente · Corán 83:1-3, traducción de Julio Cortés</w:t>
      </w:r>
      <w:r>
        <w:br/>
      </w:r>
      <w:r>
        <w:rPr>
          <w:b/>
        </w:rPr>
        <w:t>Archivo leído:</w:t>
      </w:r>
      <w:r>
        <w:t xml:space="preserve"> coran_cortes_texto_corrido.txt (c4\coran_cortes_texto_corrido.txt) · contraste del archivo de pasajes: ✔</w:t>
      </w:r>
      <w:r>
        <w:br/>
      </w:r>
      <w:r>
        <w:rPr>
          <w:b/>
        </w:rPr>
        <w:t>Lugar:</w:t>
      </w:r>
      <w:r>
        <w:t xml:space="preserve"> Corán 83:1-3, traducción de Julio Cortés</w:t>
      </w:r>
      <w:r>
        <w:br/>
      </w:r>
      <w:r>
        <w:rPr>
          <w:b/>
        </w:rPr>
        <w:t>Tal como está en la fuente:</w:t>
      </w:r>
      <w:r>
        <w:t xml:space="preserve"> ¡Ay de los defraudadores, que, cuando piden a otros la medida, la exigen exacta, pero que, cuando ellos miden o pesan para otros, dan menos de lo debido!</w:t>
      </w:r>
      <w:r>
        <w:t>.</w:t>
      </w:r>
    </w:p>
    <w:p>
      <w:pPr>
        <w:pStyle w:val="ListBullet"/>
      </w:pPr>
      <w:r>
        <w:rPr>
          <w:b/>
        </w:rPr>
        <w:t>China:</w:t>
      </w:r>
      <w:r>
        <w:t xml:space="preserve"> cuidar las pesas y medidas y examinar las leyes, la primera tarea del buen gobierno</w:t>
      </w:r>
      <w:r>
        <w:t xml:space="preserve"> [original: «謹權量，審法度»]</w:t>
      </w:r>
      <w:r>
        <w:t xml:space="preserve"> (Analectas 20.1)</w:t>
      </w:r>
      <w:r>
        <w:t xml:space="preserve">. </w:t>
      </w:r>
      <w:r>
        <w:rPr>
          <w:b/>
        </w:rPr>
        <w:t>Aviso:</w:t>
      </w:r>
      <w:r>
        <w:t xml:space="preserve"> está en el libro 20, que una tesis tradicional de la crítica china (la de Cui Shu, de la dinastía Qing) tiene por mucho más tardío que el resto de las Analectas (referencia hallada en Wikipedia, sin leer en su fuente).</w:t>
      </w:r>
    </w:p>
    <w:p>
      <w:pPr>
        <w:pStyle w:val="ListBullet"/>
      </w:pPr>
      <w:r>
        <w:rPr>
          <w:b/>
        </w:rPr>
        <w:t>China, otros textos sobre lo mismo:</w:t>
      </w:r>
      <w:r>
        <w:t xml:space="preserve"> el Canon de Shun, del Libro de los Documentos, cuenta que Shun «uniformó los tubos patrón, con las medidas de longitud y de capacidad, y las romanas»</w:t>
      </w:r>
      <w:r>
        <w:t xml:space="preserve"> [original: «協時月正日，同律度量衡»; «he made uniform the standard-tubes, with the measures of length and of capacity, and the steelyards», en la traducción de Legge]</w:t>
      </w:r>
      <w:r>
        <w:t xml:space="preserve"> (Shujing, Canon de Shun, trad. de Legge, SBE 3, parte II, libro I, §3)</w:t>
      </w:r>
      <w:r>
        <w:br/>
      </w:r>
      <w:r>
        <w:rPr>
          <w:b/>
        </w:rPr>
        <w:t>leída en su fuente · Shujing, Canon de Shun, trad. de Legge, SBE 3, parte II, libro I, §3</w:t>
      </w:r>
      <w:r>
        <w:br/>
      </w:r>
      <w:r>
        <w:rPr>
          <w:b/>
        </w:rPr>
        <w:t>Archivo leído:</w:t>
      </w:r>
      <w:r>
        <w:t xml:space="preserve"> shujing_legge_SBE3_sbe03009.htm.txt (cierre_patas_9oct\shujing_legge_SBE3_sbe03009.htm.txt) · contraste del archivo de pasajes: ✔</w:t>
      </w:r>
      <w:r>
        <w:br/>
      </w:r>
      <w:r>
        <w:rPr>
          <w:b/>
        </w:rPr>
        <w:t>Lugar:</w:t>
      </w:r>
      <w:r>
        <w:t xml:space="preserve"> Shujing, Canon de Shun, trad. de Legge, SBE 3, parte II, libro I, §3</w:t>
      </w:r>
      <w:r>
        <w:br/>
      </w:r>
      <w:r>
        <w:rPr>
          <w:b/>
        </w:rPr>
        <w:t>Tal como está en la fuente:</w:t>
      </w:r>
      <w:r>
        <w:t xml:space="preserve"> he made uniform the standard-tubes, with the measures of length and of capacity, and the steelyards</w:t>
      </w:r>
      <w:r>
        <w:t>; y el Libro de los Ritos manda que, al igualarse el día y la noche, «uniformen las medidas de longitud y de capacidad; igualen las romanas y sus pesas»</w:t>
      </w:r>
      <w:r>
        <w:t xml:space="preserve"> [original: «日夜分，則同度量，平權衡，正鈞石，角斗甬»; «At the equinox, they make uniform the measures of length and capacity; equalise the steelyards and their weights», en la traducción de Legge]</w:t>
      </w:r>
      <w:r>
        <w:t xml:space="preserve"> (Liji, Yueling, trad. de Legge, SBE 27, libro IV, sección III, parte II, §16)</w:t>
      </w:r>
      <w:r>
        <w:br/>
      </w:r>
      <w:r>
        <w:rPr>
          <w:b/>
        </w:rPr>
        <w:t>leída en su fuente · Liji, Yueling, trad. de Legge, SBE 27, libro IV, sección III, parte II, §16</w:t>
      </w:r>
      <w:r>
        <w:br/>
      </w:r>
      <w:r>
        <w:rPr>
          <w:b/>
        </w:rPr>
        <w:t>Archivo leído:</w:t>
      </w:r>
      <w:r>
        <w:t xml:space="preserve"> legge_SBE27_LiKi_I-X_archive-org_umich_djvu.txt (cierre_patas_9oct\legge_SBE27_LiKi_I-X_archive-org_umich_djvu.txt) · contraste del archivo de pasajes: ✔</w:t>
      </w:r>
      <w:r>
        <w:br/>
      </w:r>
      <w:r>
        <w:rPr>
          <w:b/>
        </w:rPr>
        <w:t>Lugar:</w:t>
      </w:r>
      <w:r>
        <w:t xml:space="preserve"> Liji, Yueling, trad. de Legge, SBE 27, libro IV, sección III, parte II, §16</w:t>
      </w:r>
      <w:r>
        <w:br/>
      </w:r>
      <w:r>
        <w:rPr>
          <w:b/>
        </w:rPr>
        <w:t>Tal como está en la fuente:</w:t>
      </w:r>
      <w:r>
        <w:t xml:space="preserve"> At the equinox, they make uniform the measures of length and capacity; equalise the steelyards and their weights</w:t>
      </w:r>
      <w:r>
        <w:t>. Ninguna de las dos fechas está cerrada: según Legge, el Yueling se tomó de la obra de Lü Buwei, que murió el 237 a. C.</w:t>
      </w:r>
      <w:r>
        <w:t xml:space="preserve"> (Legge, The Li Ki, 1885, introducción, «Book IV. Yueh Ling»)</w:t>
      </w:r>
      <w:r>
        <w:t>, y la parte «moderna» del Libro de los Documentos, a la que pertenece el Canon de Shun, es para Britannica «del siglo IV a. C. o anterior»</w:t>
      </w:r>
      <w:r>
        <w:t xml:space="preserve"> (Encyclopaedia Britannica, «Shujing»; fuente secundaria)</w:t>
      </w:r>
      <w:r>
        <w:br/>
      </w:r>
      <w:r>
        <w:rPr>
          <w:b/>
        </w:rPr>
        <w:t>pasaje guardado</w:t>
      </w:r>
      <w:r>
        <w:br/>
      </w:r>
      <w:r>
        <w:rPr>
          <w:b/>
        </w:rPr>
        <w:t>Archivo leído:</w:t>
      </w:r>
      <w:r>
        <w:t xml:space="preserve"> diccionariodelal0000unse_q9u2.txt (c5_grandes\diccionariodelal0000unse_q9u2.txt) · contraste del archivo de pasajes: ✔</w:t>
      </w:r>
      <w:r>
        <w:br/>
      </w:r>
      <w:r>
        <w:rPr>
          <w:b/>
        </w:rPr>
        <w:t>Lugar:</w:t>
      </w:r>
      <w:r>
        <w:t xml:space="preserve"> Encyclopaedia Britannica, «Shujing»; fuente secundaria</w:t>
      </w:r>
      <w:r>
        <w:br/>
      </w:r>
      <w:r>
        <w:rPr>
          <w:b/>
        </w:rPr>
        <w:t>Tal como está en la fuente:</w:t>
      </w:r>
      <w:r>
        <w:t xml:space="preserve"> del siglo IV a. C. o anterior</w:t>
      </w:r>
      <w:r>
        <w:t>. No se puede probar que ninguno de los tres textos chinos sea más antiguo que los otros.</w:t>
      </w:r>
    </w:p>
    <w:p>
      <w:pPr>
        <w:pStyle w:val="ListBullet"/>
      </w:pPr>
      <w:r>
        <w:rPr>
          <w:b/>
        </w:rPr>
        <w:t>Mesopotamia:</w:t>
      </w:r>
      <w:r>
        <w:t xml:space="preserve"> el rey Ur-Namma: «fabriqué una medida real justa»</w:t>
      </w:r>
      <w:r>
        <w:t xml:space="preserve"> [original: «A just royal ban2 I fashioned»]</w:t>
      </w:r>
      <w:r>
        <w:t xml:space="preserve"> (Código de Ur-Namma, línea 140)</w:t>
      </w:r>
      <w:r>
        <w:br/>
      </w:r>
      <w:r>
        <w:rPr>
          <w:b/>
        </w:rPr>
        <w:t>pasaje guardado · Código de Ur-Namma, línea 140</w:t>
      </w:r>
      <w:r>
        <w:br/>
      </w:r>
      <w:r>
        <w:rPr>
          <w:b/>
        </w:rPr>
        <w:t>Archivo leído:</w:t>
      </w:r>
      <w:r>
        <w:t xml:space="preserve"> urn2.txt (ant\urn2.txt) · contraste del archivo de pasajes: parcial</w:t>
      </w:r>
      <w:r>
        <w:br/>
      </w:r>
      <w:r>
        <w:rPr>
          <w:b/>
        </w:rPr>
        <w:t>Lugar:</w:t>
      </w:r>
      <w:r>
        <w:t xml:space="preserve"> Código de Ur-Namma, línea 140</w:t>
      </w:r>
      <w:r>
        <w:br/>
      </w:r>
      <w:r>
        <w:rPr>
          <w:b/>
        </w:rPr>
        <w:t>Tal como está en la fuente:</w:t>
      </w:r>
      <w:r>
        <w:t xml:space="preserve"> A just royal ban2 I fashioned</w:t>
      </w:r>
      <w:r>
        <w:t>.</w:t>
      </w:r>
    </w:p>
    <w:p>
      <w:pPr>
        <w:pStyle w:val="ListBullet"/>
      </w:pPr>
      <w:r>
        <w:t>Y además: las pesas y medidas se revisarán cada seis meses (Leyes de Manu VIII, 403); el tendero limpia la balanza en cada pesada (Mishná, Bava Batra 5:10); el asceta Gotama se abstiene de falsear pesas, metales o medidas (Digha Nikaya 1); en el mercado de Tenochtitlan unos oficiales vigilaban las medidas, «y se ha visto quebrar alguna que estaba falsa» (Hernán Cortés, Segunda carta).</w:t>
      </w:r>
    </w:p>
    <w:p>
      <w:pPr>
        <w:pStyle w:val="ListBullet"/>
      </w:pPr>
      <w:r>
        <w:rPr>
          <w:b/>
        </w:rPr>
        <w:t>La pata coja:</w:t>
      </w:r>
      <w:r>
        <w:t xml:space="preserve"> en los textos leídos no se ha hallado ninguno que defienda las pesas falsas. Lo más cercano es el Arthashastra, que cuenta las pesas y medidas entre las partidas de ingresos del rey</w:t>
      </w:r>
      <w:r>
        <w:t xml:space="preserve"> (Arthashastra 2.6)</w:t>
      </w:r>
      <w:r>
        <w:t>.</w:t>
      </w:r>
    </w:p>
    <w:p>
      <w:pPr>
        <w:pStyle w:val="ListBullet"/>
      </w:pPr>
      <w:r>
        <w:rPr>
          <w:b/>
        </w:rPr>
        <w:t>Lectura del autor:</w:t>
      </w:r>
      <w:r>
        <w:t xml:space="preserve"> la medida de hoy es el dinero. Si pierde valor, es una pesa que se aligera. Se mide con datos en </w:t>
      </w:r>
      <w:r>
        <w:t>8.1</w:t>
      </w:r>
      <w:r>
        <w:t>.</w:t>
      </w:r>
    </w:p>
    <w:p>
      <w:r>
        <w:t>[archivo del Arca; libreta 64, P4]</w:t>
      </w:r>
    </w:p>
    <w:p>
      <w:pPr>
        <w:pStyle w:val="Heading3"/>
      </w:pPr>
      <w:r>
        <w:t>P5. Devolver lo confiado</w:t>
      </w:r>
    </w:p>
    <w:p>
      <w:pPr>
        <w:pStyle w:val="ListBullet"/>
      </w:pPr>
      <w:r>
        <w:rPr>
          <w:b/>
        </w:rPr>
        <w:t>El islam:</w:t>
      </w:r>
      <w:r>
        <w:t xml:space="preserve"> «Alá os ordena que restituyáis los depósitos a sus propietarios y que cuando decidáis entre los hombres lo hagáis con justicia»</w:t>
      </w:r>
      <w:r>
        <w:t xml:space="preserve"> (Corán 4:58, traducción de Julio Cortés)</w:t>
      </w:r>
      <w:r>
        <w:br/>
      </w:r>
      <w:r>
        <w:rPr>
          <w:b/>
        </w:rPr>
        <w:t>leída en su fuente · Corán 4:58, traducción de Julio Cortés</w:t>
      </w:r>
      <w:r>
        <w:br/>
      </w:r>
      <w:r>
        <w:rPr>
          <w:b/>
        </w:rPr>
        <w:t>Archivo leído:</w:t>
      </w:r>
      <w:r>
        <w:t xml:space="preserve"> 07.00-20.3_Coran_4-58_alquran-cloud.json (c4\coran_cortes_tanzil_completo.txt) · contraste del archivo de pasajes: ✔</w:t>
      </w:r>
      <w:r>
        <w:br/>
      </w:r>
      <w:r>
        <w:rPr>
          <w:b/>
        </w:rPr>
        <w:t>Dirección:</w:t>
      </w:r>
      <w:r>
        <w:t xml:space="preserve"> </w:t>
      </w:r>
      <w:r>
        <w:t>https://tanzil.net/trans/es.cortes</w:t>
      </w:r>
      <w:r>
        <w:br/>
      </w:r>
      <w:r>
        <w:rPr>
          <w:b/>
        </w:rPr>
        <w:t>Tal como está en la fuente:</w:t>
      </w:r>
      <w:r>
        <w:t xml:space="preserve"> Alá os ordena que restituyáis los depósitos a sus propietarios y que cuando decidáis entre los hombres lo hagáis con justicia.</w:t>
      </w:r>
      <w:r>
        <w:t>.</w:t>
      </w:r>
    </w:p>
    <w:p>
      <w:pPr>
        <w:pStyle w:val="ListBullet"/>
      </w:pPr>
      <w:r>
        <w:rPr>
          <w:b/>
        </w:rPr>
        <w:t>Israel:</w:t>
      </w:r>
      <w:r>
        <w:t xml:space="preserve"> si lo dado «á guardar» se roba y el ladrón no aparece, el dueño de la casa «será presentado á los jueces, para ver si ha metido su mano en la hacienda de su prójimo»</w:t>
      </w:r>
      <w:r>
        <w:t xml:space="preserve"> (Ex 22:7-8)</w:t>
      </w:r>
      <w:r>
        <w:br/>
      </w:r>
      <w:r>
        <w:rPr>
          <w:b/>
        </w:rPr>
        <w:t>leída en su fuente · Ex 22:7-8</w:t>
      </w:r>
      <w:r>
        <w:br/>
      </w:r>
      <w:r>
        <w:rPr>
          <w:b/>
        </w:rPr>
        <w:t>Archivo leído:</w:t>
      </w:r>
      <w:r>
        <w:t xml:space="preserve"> spaRV1909_texto_corrido.txt (biblia_rv1909\spaRV1909_texto_corrido.txt) · contraste del archivo de pasajes: ✔</w:t>
      </w:r>
      <w:r>
        <w:br/>
      </w:r>
      <w:r>
        <w:rPr>
          <w:b/>
        </w:rPr>
        <w:t>Lugar:</w:t>
      </w:r>
      <w:r>
        <w:t xml:space="preserve"> Ex 22:7-8</w:t>
      </w:r>
      <w:r>
        <w:br/>
      </w:r>
      <w:r>
        <w:rPr>
          <w:b/>
        </w:rPr>
        <w:t>Tal como está en la fuente:</w:t>
      </w:r>
      <w:r>
        <w:t xml:space="preserve"> será presentado á los jueces, para ver si ha metido su mano en la hacienda de su prójimo</w:t>
      </w:r>
      <w:r>
        <w:t xml:space="preserve">. </w:t>
      </w:r>
      <w:r>
        <w:rPr>
          <w:b/>
        </w:rPr>
        <w:t>Aviso:</w:t>
      </w:r>
      <w:r>
        <w:t xml:space="preserve"> ese pasaje trata del mismo caso que el §124 de Hammurabi, el depósito, y el Código de la Alianza (Ex 21-23) se parece, según la crítica, a los códigos mesopotámicos (referencia hallada en Wikipedia, sin leer en su fuente): no cuenta aparte de Mesopotamia.</w:t>
      </w:r>
    </w:p>
    <w:p>
      <w:pPr>
        <w:pStyle w:val="ListBullet"/>
      </w:pPr>
      <w:r>
        <w:rPr>
          <w:b/>
        </w:rPr>
        <w:t>La India:</w:t>
      </w:r>
      <w:r>
        <w:t xml:space="preserve"> «como se entregó el depósito, así debe devolverse»</w:t>
      </w:r>
      <w:r>
        <w:t xml:space="preserve"> [original: «In whatever manner a person shall deposit anything in the hands of another, in the same manner ought the same thing to be received back», en la traducción de Bühler]</w:t>
      </w:r>
      <w:r>
        <w:t xml:space="preserve"> (Leyes de Manu VIII, 180)</w:t>
      </w:r>
      <w:r>
        <w:br/>
      </w:r>
      <w:r>
        <w:rPr>
          <w:b/>
        </w:rPr>
        <w:t>leída en su fuente · Leyes de Manu VIII, 180</w:t>
      </w:r>
      <w:r>
        <w:br/>
      </w:r>
      <w:r>
        <w:rPr>
          <w:b/>
        </w:rPr>
        <w:t>Archivo leído:</w:t>
      </w:r>
      <w:r>
        <w:t xml:space="preserve"> lawsofman00manu.txt (ant\india\lawsofman00manu.txt) · contraste del archivo de pasajes: ✔</w:t>
      </w:r>
      <w:r>
        <w:br/>
      </w:r>
      <w:r>
        <w:rPr>
          <w:b/>
        </w:rPr>
        <w:t>Lugar:</w:t>
      </w:r>
      <w:r>
        <w:t xml:space="preserve"> Leyes de Manu VIII, 180</w:t>
      </w:r>
      <w:r>
        <w:br/>
      </w:r>
      <w:r>
        <w:rPr>
          <w:b/>
        </w:rPr>
        <w:t>Tal como está en la fuente:</w:t>
      </w:r>
      <w:r>
        <w:t xml:space="preserve"> In whatever manner a person shall deposit anything in the hands of another, in the same manner ought the same thing to be received back</w:t>
      </w:r>
      <w:r>
        <w:t>.</w:t>
      </w:r>
    </w:p>
    <w:p>
      <w:pPr>
        <w:pStyle w:val="ListBullet"/>
      </w:pPr>
      <w:r>
        <w:rPr>
          <w:b/>
        </w:rPr>
        <w:t>Persia:</w:t>
      </w:r>
      <w:r>
        <w:t xml:space="preserve"> «quien no devuelve un préstamo a quien se lo prestó roba la cosa y despoja al hombre»</w:t>
      </w:r>
      <w:r>
        <w:t xml:space="preserve"> [original: «He that does not restore a loan to the man who lent it, steals the thing and robs the man», en la traducción de Darmesteter]</w:t>
      </w:r>
      <w:r>
        <w:t xml:space="preserve"> (Avesta, Vendidad 4.1)</w:t>
      </w:r>
      <w:r>
        <w:br/>
      </w:r>
      <w:r>
        <w:rPr>
          <w:b/>
        </w:rPr>
        <w:t>leída en su fuente · Avesta, Vendidad 4.1</w:t>
      </w:r>
      <w:r>
        <w:br/>
      </w:r>
      <w:r>
        <w:rPr>
          <w:b/>
        </w:rPr>
        <w:t>Archivo leído:</w:t>
      </w:r>
      <w:r>
        <w:t xml:space="preserve"> avesta_org_vendidad_4_SBE.htm (reparacion_citas\avesta_org_vendidad_4_SBE.htm) · contraste del archivo de pasajes: ✔</w:t>
      </w:r>
      <w:r>
        <w:br/>
      </w:r>
      <w:r>
        <w:rPr>
          <w:b/>
        </w:rPr>
        <w:t>Lugar:</w:t>
      </w:r>
      <w:r>
        <w:t xml:space="preserve"> Avesta, Vendidad 4.1</w:t>
      </w:r>
      <w:r>
        <w:br/>
      </w:r>
      <w:r>
        <w:rPr>
          <w:b/>
        </w:rPr>
        <w:t>Tal como está en la fuente:</w:t>
      </w:r>
      <w:r>
        <w:t xml:space="preserve"> He that does not restore a loan to the man who lent it, steals the thing and robs the man</w:t>
      </w:r>
      <w:r>
        <w:t>.</w:t>
      </w:r>
    </w:p>
    <w:p>
      <w:pPr>
        <w:pStyle w:val="ListBullet"/>
      </w:pPr>
      <w:r>
        <w:rPr>
          <w:b/>
        </w:rPr>
        <w:t>Mesopotamia:</w:t>
      </w:r>
      <w:r>
        <w:t xml:space="preserve"> quien niega lo recibido en custodia ante testigo «pagará íntegro todo lo que negó»</w:t>
      </w:r>
      <w:r>
        <w:t xml:space="preserve"> [original: «all that he has denied he shall pay in full»]</w:t>
      </w:r>
      <w:r>
        <w:t xml:space="preserve"> (Código de Hammurabi §124)</w:t>
      </w:r>
      <w:r>
        <w:br/>
      </w:r>
      <w:r>
        <w:rPr>
          <w:b/>
        </w:rPr>
        <w:t>leída en su fuente · Código de Hammurabi §124</w:t>
      </w:r>
      <w:r>
        <w:br/>
      </w:r>
      <w:r>
        <w:rPr>
          <w:b/>
        </w:rPr>
        <w:t>Archivo leído:</w:t>
      </w:r>
      <w:r>
        <w:t xml:space="preserve"> ham.txt (ant\ham.txt) · contraste del archivo de pasajes: ✔</w:t>
      </w:r>
      <w:r>
        <w:br/>
      </w:r>
      <w:r>
        <w:rPr>
          <w:b/>
        </w:rPr>
        <w:t>Lugar:</w:t>
      </w:r>
      <w:r>
        <w:t xml:space="preserve"> Código de Hammurabi §124</w:t>
      </w:r>
      <w:r>
        <w:br/>
      </w:r>
      <w:r>
        <w:rPr>
          <w:b/>
        </w:rPr>
        <w:t>Tal como está en la fuente:</w:t>
      </w:r>
      <w:r>
        <w:t xml:space="preserve"> all that he has denied he shall pay in full</w:t>
      </w:r>
      <w:r>
        <w:t>.</w:t>
      </w:r>
    </w:p>
    <w:p>
      <w:pPr>
        <w:pStyle w:val="ListBullet"/>
      </w:pPr>
      <w:r>
        <w:t xml:space="preserve">Qué ha pasado con un depósito de todos, la hucha de las pensiones, se examina en </w:t>
      </w:r>
      <w:r>
        <w:t>8.6</w:t>
      </w:r>
      <w:r>
        <w:t>.</w:t>
      </w:r>
    </w:p>
    <w:p>
      <w:pPr>
        <w:pStyle w:val="ListBullet"/>
      </w:pPr>
      <w:r>
        <w:t>Y además: «¡No traicionéis, a sabiendas, la confianza puesta en vosotros!» (Corán 8:27); quien robó aunque sea la moneda mínima debe devolverla «aunque sea hasta Media»</w:t>
      </w:r>
      <w:r>
        <w:t xml:space="preserve"> [original: «אֲפִלּוּ לְמָדַי»]</w:t>
      </w:r>
      <w:r>
        <w:t xml:space="preserve"> (Mishná, Bava Kamma 9:5); «el fundamento de la justicia es la buena fe»</w:t>
      </w:r>
      <w:r>
        <w:t xml:space="preserve"> [original: «fundamentum autem est iustitiae fides»]</w:t>
      </w:r>
      <w:r>
        <w:t>, la fidelidad a lo dicho y lo convenido (Cicerón, De officiis I, 23); apropiarse de lo confiado a su custodia es una falta contra el voto de veracidad (Tattvartha Sutra 7.21).</w:t>
      </w:r>
    </w:p>
    <w:p>
      <w:pPr>
        <w:pStyle w:val="ListBullet"/>
      </w:pPr>
      <w:r>
        <w:rPr>
          <w:b/>
        </w:rPr>
        <w:t>La pata coja:</w:t>
      </w:r>
      <w:r>
        <w:t xml:space="preserve"> el Arthashastra enseña a un espía a reunir depósitos y préstamos para después «hacerse robar la suma»</w:t>
      </w:r>
      <w:r>
        <w:t xml:space="preserve"> (Arthashastra 5.2)</w:t>
      </w:r>
      <w:r>
        <w:t>. Y Cicerón admite un caso en que devolver el depósito deja de ser justo: si quien lo pide ha enloquecido</w:t>
      </w:r>
      <w:r>
        <w:t xml:space="preserve"> (De officiis I, 31)</w:t>
      </w:r>
      <w:r>
        <w:t>.</w:t>
      </w:r>
    </w:p>
    <w:p>
      <w:r>
        <w:t>[archivo del Arca; libreta 64, P5; 00.0-4.6, la hucha pasa a 8.6]</w:t>
      </w:r>
    </w:p>
    <w:p>
      <w:pPr>
        <w:pStyle w:val="Heading3"/>
      </w:pPr>
      <w:r>
        <w:t>P6. Contra la usura; perdonar las deudas</w:t>
      </w:r>
    </w:p>
    <w:p>
      <w:r>
        <w:t>Es la línea roja más antigua, y tiene su propio apartado: 3.3.</w:t>
      </w:r>
    </w:p>
    <w:p>
      <w:pPr>
        <w:pStyle w:val="Heading3"/>
      </w:pPr>
      <w:r>
        <w:t>P7. Cada uno responde de lo suyo; examinar antes de castigar</w:t>
      </w:r>
    </w:p>
    <w:p>
      <w:pPr>
        <w:pStyle w:val="ListBullet"/>
      </w:pPr>
      <w:r>
        <w:rPr>
          <w:b/>
        </w:rPr>
        <w:t>Israel:</w:t>
      </w:r>
      <w:r>
        <w:t xml:space="preserve"> «Los padres no morirán por los hijos, ni los hijos por los padres; cada uno morirá por su pecado»</w:t>
      </w:r>
      <w:r>
        <w:t xml:space="preserve"> (Dt 24:16)</w:t>
      </w:r>
      <w:r>
        <w:br/>
      </w:r>
      <w:r>
        <w:rPr>
          <w:b/>
        </w:rPr>
        <w:t>leída en su fuente · Dt 24:16</w:t>
      </w:r>
      <w:r>
        <w:br/>
      </w:r>
      <w:r>
        <w:rPr>
          <w:b/>
        </w:rPr>
        <w:t>Archivo leído:</w:t>
      </w:r>
      <w:r>
        <w:t xml:space="preserve"> dt_24_16_rva.html (c9a\dt_24_16_rva.html) · contraste del archivo de pasajes: ✔</w:t>
      </w:r>
      <w:r>
        <w:br/>
      </w:r>
      <w:r>
        <w:rPr>
          <w:b/>
        </w:rPr>
        <w:t>Lugar:</w:t>
      </w:r>
      <w:r>
        <w:t xml:space="preserve"> passage-text, v. 16</w:t>
      </w:r>
      <w:r>
        <w:br/>
      </w:r>
      <w:r>
        <w:rPr>
          <w:b/>
        </w:rPr>
        <w:t>Dirección:</w:t>
      </w:r>
      <w:r>
        <w:t xml:space="preserve"> </w:t>
      </w:r>
      <w:r>
        <w:t>https://www.biblegateway.com/passage/?search=Deuteronomy+24%3A16&amp;version=RVA</w:t>
      </w:r>
      <w:r>
        <w:br/>
      </w:r>
      <w:r>
        <w:rPr>
          <w:b/>
        </w:rPr>
        <w:t>Tal como está en la fuente:</w:t>
      </w:r>
      <w:r>
        <w:t xml:space="preserve"> Los padres no morirán por los hijos, ni los hijos por los padres; cada uno morirá por su pecado.</w:t>
      </w:r>
      <w:r>
        <w:t>.</w:t>
      </w:r>
    </w:p>
    <w:p>
      <w:pPr>
        <w:pStyle w:val="ListBullet"/>
      </w:pPr>
      <w:r>
        <w:rPr>
          <w:b/>
        </w:rPr>
        <w:t>El islam:</w:t>
      </w:r>
      <w:r>
        <w:t xml:space="preserve"> «Nadie cargará con la carga ajena»</w:t>
      </w:r>
      <w:r>
        <w:t xml:space="preserve"> (Corán 6:164)</w:t>
      </w:r>
      <w:r>
        <w:br/>
      </w:r>
      <w:r>
        <w:rPr>
          <w:b/>
        </w:rPr>
        <w:t>leída en su fuente · Corán 6:164</w:t>
      </w:r>
      <w:r>
        <w:br/>
      </w:r>
      <w:r>
        <w:rPr>
          <w:b/>
        </w:rPr>
        <w:t>Archivo leído:</w:t>
      </w:r>
      <w:r>
        <w:t xml:space="preserve"> coran_cortes_tanzil_completo.txt (c4\coran_cortes_tanzil_completo.txt) · contraste del archivo de pasajes: ✔</w:t>
      </w:r>
      <w:r>
        <w:br/>
      </w:r>
      <w:r>
        <w:rPr>
          <w:b/>
        </w:rPr>
        <w:t>Lugar:</w:t>
      </w:r>
      <w:r>
        <w:t xml:space="preserve"> Corán 6:164</w:t>
      </w:r>
      <w:r>
        <w:br/>
      </w:r>
      <w:r>
        <w:rPr>
          <w:b/>
        </w:rPr>
        <w:t>Tal como está en la fuente:</w:t>
      </w:r>
      <w:r>
        <w:t xml:space="preserve"> Nadie cargará con la carga ajena</w:t>
      </w:r>
      <w:r>
        <w:t>. Y: «Si un malvado os trae una noticia, examinadla bien, no sea que lastiméis a gente por ignorancia»</w:t>
      </w:r>
      <w:r>
        <w:t xml:space="preserve"> (Corán 49:6)</w:t>
      </w:r>
      <w:r>
        <w:br/>
      </w:r>
      <w:r>
        <w:rPr>
          <w:b/>
        </w:rPr>
        <w:t>leída en su fuente · Corán 49:6</w:t>
      </w:r>
      <w:r>
        <w:br/>
      </w:r>
      <w:r>
        <w:rPr>
          <w:b/>
        </w:rPr>
        <w:t>Archivo leído:</w:t>
      </w:r>
      <w:r>
        <w:t xml:space="preserve"> coran_cortes_tanzil_completo.txt (c4\coran_cortes_tanzil_completo.txt) · contraste del archivo de pasajes: ✔</w:t>
      </w:r>
      <w:r>
        <w:br/>
      </w:r>
      <w:r>
        <w:rPr>
          <w:b/>
        </w:rPr>
        <w:t>Lugar:</w:t>
      </w:r>
      <w:r>
        <w:t xml:space="preserve"> Corán 49:6</w:t>
      </w:r>
      <w:r>
        <w:br/>
      </w:r>
      <w:r>
        <w:rPr>
          <w:b/>
        </w:rPr>
        <w:t>Tal como está en la fuente:</w:t>
      </w:r>
      <w:r>
        <w:t xml:space="preserve"> Si un malvado os trae una noticia, examinadla bien, no sea que lastiméis a gente por ignorancia</w:t>
      </w:r>
      <w:r>
        <w:t>.</w:t>
      </w:r>
    </w:p>
    <w:p>
      <w:pPr>
        <w:pStyle w:val="ListBullet"/>
      </w:pPr>
      <w:r>
        <w:rPr>
          <w:b/>
        </w:rPr>
        <w:t>China:</w:t>
      </w:r>
      <w:r>
        <w:t xml:space="preserve"> aun cuando todo el pueblo diga que alguien merece la muerte, entonces hay que examinarlo</w:t>
      </w:r>
      <w:r>
        <w:t xml:space="preserve"> [original: «國人皆曰可殺，然後察之»]</w:t>
      </w:r>
      <w:r>
        <w:t xml:space="preserve"> (Mencio 1B7)</w:t>
      </w:r>
      <w:r>
        <w:t>. Y: «padres, hijos y hermanos: sus delitos no se alcanzan unos a otros»</w:t>
      </w:r>
      <w:r>
        <w:t xml:space="preserve"> [original: «父子兄弟．罪不相及»]</w:t>
      </w:r>
      <w:r>
        <w:t xml:space="preserve"> (Comentario de Zuo, duque Zhao)</w:t>
      </w:r>
      <w:r>
        <w:br/>
      </w:r>
      <w:r>
        <w:rPr>
          <w:b/>
        </w:rPr>
        <w:t>leída en su fuente · Comentario de Zuo, duque Zhao</w:t>
      </w:r>
      <w:r>
        <w:br/>
      </w:r>
      <w:r>
        <w:rPr>
          <w:b/>
        </w:rPr>
        <w:t>Original donde está:</w:t>
      </w:r>
      <w:r>
        <w:t xml:space="preserve"> zhwikisource_Zuozhuan_Zhaogong.txt</w:t>
      </w:r>
      <w:r>
        <w:br/>
      </w:r>
      <w:r>
        <w:t>El pasaje literal no está en el archivo de pasajes con este comienzo; la auditoría lo halló en ese original.</w:t>
      </w:r>
      <w:r>
        <w:t>.</w:t>
      </w:r>
    </w:p>
    <w:p>
      <w:pPr>
        <w:pStyle w:val="ListBullet"/>
      </w:pPr>
      <w:r>
        <w:rPr>
          <w:b/>
        </w:rPr>
        <w:t>Grecia:</w:t>
      </w:r>
      <w:r>
        <w:t xml:space="preserve"> «la deshonra o el castigo del padre no recaerán sobre sus hijos»</w:t>
      </w:r>
      <w:r>
        <w:t xml:space="preserve"> [original: «the disgrace or punishment inflicted on a father shall not descend upon his children»]</w:t>
      </w:r>
      <w:r>
        <w:t xml:space="preserve"> (Platón, Leyes IX, 856c)</w:t>
      </w:r>
      <w:r>
        <w:br/>
      </w:r>
      <w:r>
        <w:rPr>
          <w:b/>
        </w:rPr>
        <w:t>leída en su fuente · Platón, Leyes IX, 856c</w:t>
      </w:r>
      <w:r>
        <w:br/>
      </w:r>
      <w:r>
        <w:rPr>
          <w:b/>
        </w:rPr>
        <w:t>Archivo leído:</w:t>
      </w:r>
      <w:r>
        <w:t xml:space="preserve"> leg856.txt (ant\leg856.txt) · contraste del archivo de pasajes: ✔</w:t>
      </w:r>
      <w:r>
        <w:br/>
      </w:r>
      <w:r>
        <w:rPr>
          <w:b/>
        </w:rPr>
        <w:t>Lugar:</w:t>
      </w:r>
      <w:r>
        <w:t xml:space="preserve"> Platón, Leyes IX, 856c</w:t>
      </w:r>
      <w:r>
        <w:br/>
      </w:r>
      <w:r>
        <w:rPr>
          <w:b/>
        </w:rPr>
        <w:t>Tal como está en la fuente:</w:t>
      </w:r>
      <w:r>
        <w:t xml:space="preserve"> the disgrace or punishment inflicted on a father shall not descend upon his children</w:t>
      </w:r>
      <w:r>
        <w:t>.</w:t>
      </w:r>
    </w:p>
    <w:p>
      <w:pPr>
        <w:pStyle w:val="ListBullet"/>
      </w:pPr>
      <w:r>
        <w:t>Y además: «interroga a fondo a los testigos»</w:t>
      </w:r>
      <w:r>
        <w:t xml:space="preserve"> [original: «הֱוֵי מַרְבֶּה לַחְקֹר אֶת הָעֵדִים»]</w:t>
      </w:r>
      <w:r>
        <w:t xml:space="preserve"> y «sed pausados en el juicio»</w:t>
      </w:r>
      <w:r>
        <w:t xml:space="preserve"> [original: «הֱווּ מְתוּנִים בַּדִּין»]</w:t>
      </w:r>
      <w:r>
        <w:t xml:space="preserve"> (Mishná, Avot 1:9 y 1:1); «la razón da tiempo a las dos partes»</w:t>
      </w:r>
      <w:r>
        <w:t xml:space="preserve"> [original: «ratio utrique parti tempus dat»]</w:t>
      </w:r>
      <w:r>
        <w:t xml:space="preserve"> (Séneca, De ira I, 18); «guárdate de castigar injustamente»</w:t>
      </w:r>
      <w:r>
        <w:t xml:space="preserve"> [original: «Take heed lest thou punish wrongfully», en la traducción de Erman y Blackman]</w:t>
      </w:r>
      <w:r>
        <w:t xml:space="preserve"> (Merikare); el juez examinará los testimonios (Hammurabi §9); impuesto sin la debida consideración, el castigo lo destruye todo (Leyes de Manu VII, 19); aunque se ejecutara al curaca culpable, al heredero no le quitaban el señorío (Garcilaso II, 13).</w:t>
      </w:r>
    </w:p>
    <w:p>
      <w:pPr>
        <w:pStyle w:val="ListBullet"/>
      </w:pPr>
      <w:r>
        <w:rPr>
          <w:b/>
        </w:rPr>
        <w:t>La pata coja:</w:t>
      </w:r>
      <w:r>
        <w:t xml:space="preserve"> si una casa mal hecha mata al hijo del dueño, «se dará muerte al hijo del constructor»</w:t>
      </w:r>
      <w:r>
        <w:t xml:space="preserve"> [original: «the son of that builder shall be put to death»]</w:t>
      </w:r>
      <w:r>
        <w:t xml:space="preserve"> (Código de Hammurabi §230, traducción inglesa de King)</w:t>
      </w:r>
      <w:r>
        <w:br/>
      </w:r>
      <w:r>
        <w:rPr>
          <w:b/>
        </w:rPr>
        <w:t>leída en su fuente · Código de Hammurabi §230, traducción inglesa de King</w:t>
      </w:r>
      <w:r>
        <w:br/>
      </w:r>
      <w:r>
        <w:rPr>
          <w:b/>
        </w:rPr>
        <w:t>Archivo leído:</w:t>
      </w:r>
      <w:r>
        <w:t xml:space="preserve"> ham.txt (ant\ham.txt) · contraste del archivo de pasajes: ✔</w:t>
      </w:r>
      <w:r>
        <w:br/>
      </w:r>
      <w:r>
        <w:rPr>
          <w:b/>
        </w:rPr>
        <w:t>Lugar:</w:t>
      </w:r>
      <w:r>
        <w:t xml:space="preserve"> Código de Hammurabi §230, traducción inglesa de King</w:t>
      </w:r>
      <w:r>
        <w:br/>
      </w:r>
      <w:r>
        <w:rPr>
          <w:b/>
        </w:rPr>
        <w:t>Tal como está en la fuente:</w:t>
      </w:r>
      <w:r>
        <w:t xml:space="preserve"> the son of that builder shall be put to death</w:t>
      </w:r>
      <w:r>
        <w:t>. El Libro del señor Shang pide «castigo duro y culpa compartida»</w:t>
      </w:r>
      <w:r>
        <w:t xml:space="preserve"> [original: «重刑而連其罪»]</w:t>
      </w:r>
      <w:r>
        <w:t xml:space="preserve"> (Libro del señor Shang, 墾令)</w:t>
      </w:r>
      <w:r>
        <w:br/>
      </w:r>
      <w:r>
        <w:rPr>
          <w:b/>
        </w:rPr>
        <w:t>leída en su fuente · Libro del señor Shang, 墾令</w:t>
      </w:r>
      <w:r>
        <w:br/>
      </w:r>
      <w:r>
        <w:rPr>
          <w:b/>
        </w:rPr>
        <w:t>Original donde está:</w:t>
      </w:r>
      <w:r>
        <w:t xml:space="preserve"> zhwikisource_Shangjun_shu_1.txt</w:t>
      </w:r>
      <w:r>
        <w:br/>
      </w:r>
      <w:r>
        <w:t>El pasaje literal no está en el archivo de pasajes con este comienzo; la auditoría lo halló en ese original.</w:t>
      </w:r>
      <w:r>
        <w:t>. Y Séneca admite que, sin ira, la razón acabe con las familias dañinas para el Estado, «con sus mujeres e hijos»</w:t>
      </w:r>
      <w:r>
        <w:t xml:space="preserve"> [original: «cum coniugibus ac liberis»]</w:t>
      </w:r>
      <w:r>
        <w:t xml:space="preserve"> (De ira I, 19)</w:t>
      </w:r>
      <w:r>
        <w:t>.</w:t>
      </w:r>
    </w:p>
    <w:p>
      <w:r>
        <w:t>[archivo del Arca; libreta 64, P7]</w:t>
      </w:r>
    </w:p>
    <w:p>
      <w:pPr>
        <w:pStyle w:val="Heading3"/>
      </w:pPr>
      <w:r>
        <w:t>P8. El castigo no es un negocio; contra el soborno</w:t>
      </w:r>
    </w:p>
    <w:p>
      <w:pPr>
        <w:pStyle w:val="ListBullet"/>
      </w:pPr>
      <w:r>
        <w:rPr>
          <w:b/>
        </w:rPr>
        <w:t>Israel:</w:t>
      </w:r>
      <w:r>
        <w:t xml:space="preserve"> a los recaudadores, Juan el Bautista: «No exijáis más de lo que os está ordenado»</w:t>
      </w:r>
      <w:r>
        <w:t xml:space="preserve"> (Lc 3:13)</w:t>
      </w:r>
      <w:r>
        <w:br/>
      </w:r>
      <w:r>
        <w:rPr>
          <w:b/>
        </w:rPr>
        <w:t>leída en su fuente · Lc 3:13</w:t>
      </w:r>
      <w:r>
        <w:br/>
      </w:r>
      <w:r>
        <w:rPr>
          <w:b/>
        </w:rPr>
        <w:t>Archivo leído:</w:t>
      </w:r>
      <w:r>
        <w:t xml:space="preserve"> spaRV1909_texto_corrido.txt (biblia_rv1909\spaRV1909_texto_corrido.txt) · contraste del archivo de pasajes: ✔</w:t>
      </w:r>
      <w:r>
        <w:br/>
      </w:r>
      <w:r>
        <w:rPr>
          <w:b/>
        </w:rPr>
        <w:t>Lugar:</w:t>
      </w:r>
      <w:r>
        <w:t xml:space="preserve"> Lc 3:13</w:t>
      </w:r>
      <w:r>
        <w:br/>
      </w:r>
      <w:r>
        <w:rPr>
          <w:b/>
        </w:rPr>
        <w:t>Tal como está en la fuente:</w:t>
      </w:r>
      <w:r>
        <w:t xml:space="preserve"> No exijáis más de lo que os está ordenado</w:t>
      </w:r>
      <w:r>
        <w:t>. Y «No recibirás presente; porque el presente ciega á los que ven, y pervierte las palabras justas»</w:t>
      </w:r>
      <w:r>
        <w:t xml:space="preserve"> (Ex 23:8)</w:t>
      </w:r>
      <w:r>
        <w:br/>
      </w:r>
      <w:r>
        <w:rPr>
          <w:b/>
        </w:rPr>
        <w:t>leída en su fuente · Ex 23:8</w:t>
      </w:r>
      <w:r>
        <w:br/>
      </w:r>
      <w:r>
        <w:rPr>
          <w:b/>
        </w:rPr>
        <w:t>Original donde está:</w:t>
      </w:r>
      <w:r>
        <w:t xml:space="preserve"> rva_c3.txt</w:t>
      </w:r>
      <w:r>
        <w:br/>
      </w:r>
      <w:r>
        <w:t>El pasaje literal no está en el archivo de pasajes con este comienzo; la auditoría lo halló en ese original.</w:t>
      </w:r>
      <w:r>
        <w:t>.</w:t>
      </w:r>
    </w:p>
    <w:p>
      <w:pPr>
        <w:pStyle w:val="ListBullet"/>
      </w:pPr>
      <w:r>
        <w:rPr>
          <w:b/>
        </w:rPr>
        <w:t>China:</w:t>
      </w:r>
      <w:r>
        <w:t xml:space="preserve"> gobernar con humanidad es ser «parco en castigos y multas»</w:t>
      </w:r>
      <w:r>
        <w:t xml:space="preserve"> [original: «省刑罰»; Legge: «being sparing in the use of punishments and fines»]</w:t>
      </w:r>
      <w:r>
        <w:t xml:space="preserve"> (Mencio 1A5)</w:t>
      </w:r>
      <w:r>
        <w:br/>
      </w:r>
      <w:r>
        <w:rPr>
          <w:b/>
        </w:rPr>
        <w:t>leída en su fuente · Mencio 1A5</w:t>
      </w:r>
      <w:r>
        <w:br/>
      </w:r>
      <w:r>
        <w:rPr>
          <w:b/>
        </w:rPr>
        <w:t>Archivo leído:</w:t>
      </w:r>
      <w:r>
        <w:t xml:space="preserve"> 8.3_24_Legge_1895_Chinese_Classics_vol2_Mencius_OCR_archive.txt (c8a\8.3_24_Legge_1895_Chinese_Classics_vol2_Mencius_OCR_archive.txt) · contraste del archivo de pasajes: ✔</w:t>
      </w:r>
      <w:r>
        <w:br/>
      </w:r>
      <w:r>
        <w:rPr>
          <w:b/>
        </w:rPr>
        <w:t>Lugar:</w:t>
      </w:r>
      <w:r>
        <w:t xml:space="preserve"> Mencio 1A5</w:t>
      </w:r>
      <w:r>
        <w:br/>
      </w:r>
      <w:r>
        <w:rPr>
          <w:b/>
        </w:rPr>
        <w:t>Tal como está en la fuente:</w:t>
      </w:r>
      <w:r>
        <w:t xml:space="preserve"> being sparing in the use of punishments and fines</w:t>
      </w:r>
      <w:r>
        <w:t>.</w:t>
      </w:r>
    </w:p>
    <w:p>
      <w:pPr>
        <w:pStyle w:val="ListBullet"/>
      </w:pPr>
      <w:r>
        <w:rPr>
          <w:b/>
        </w:rPr>
        <w:t>La tradición rabínica:</w:t>
      </w:r>
      <w:r>
        <w:t xml:space="preserve"> «quien cobra por juzgar, sus sentencias son nulas»</w:t>
      </w:r>
      <w:r>
        <w:t xml:space="preserve"> [original: «הַנּוֹטֵל שְׂכָרוֹ לָדוּן, דִּינָיו בְּטֵלִים»]</w:t>
      </w:r>
      <w:r>
        <w:t xml:space="preserve"> (Mishná, Bejorot 4:6)</w:t>
      </w:r>
      <w:r>
        <w:br/>
      </w:r>
      <w:r>
        <w:rPr>
          <w:b/>
        </w:rPr>
        <w:t>leída en su fuente · Mishná, Bejorot 4:6</w:t>
      </w:r>
      <w:r>
        <w:br/>
      </w:r>
      <w:r>
        <w:rPr>
          <w:b/>
        </w:rPr>
        <w:t>Original donde está:</w:t>
      </w:r>
      <w:r>
        <w:t xml:space="preserve"> sefaria_Mishnah_Bekhorot_entera.json</w:t>
      </w:r>
      <w:r>
        <w:br/>
      </w:r>
      <w:r>
        <w:t>El pasaje literal no está en el archivo de pasajes con este comienzo; la auditoría lo halló en ese original.</w:t>
      </w:r>
      <w:r>
        <w:t>.</w:t>
      </w:r>
    </w:p>
    <w:p>
      <w:pPr>
        <w:pStyle w:val="ListBullet"/>
      </w:pPr>
      <w:r>
        <w:rPr>
          <w:b/>
        </w:rPr>
        <w:t>Los incas:</w:t>
      </w:r>
      <w:r>
        <w:t xml:space="preserve"> «Nunca tuvieron pena pecuniaria ni confiscación de bienes, porque decían que castigar en la hacienda y dejar vivos los delincuentes no era desear quitar los malos de la república, sino la hacienda a los malhechores»</w:t>
      </w:r>
      <w:r>
        <w:t xml:space="preserve"> (Garcilaso, Comentarios reales II, 13)</w:t>
      </w:r>
      <w:r>
        <w:br/>
      </w:r>
      <w:r>
        <w:rPr>
          <w:b/>
        </w:rPr>
        <w:t>leída en su fuente · Garcilaso, Comentarios reales II, 13</w:t>
      </w:r>
      <w:r>
        <w:br/>
      </w:r>
      <w:r>
        <w:rPr>
          <w:b/>
        </w:rPr>
        <w:t>Archivo leído:</w:t>
      </w:r>
      <w:r>
        <w:t xml:space="preserve"> garci2.txt (ant\garci2.txt) · contraste del archivo de pasajes: ✔</w:t>
      </w:r>
      <w:r>
        <w:br/>
      </w:r>
      <w:r>
        <w:rPr>
          <w:b/>
        </w:rPr>
        <w:t>Lugar:</w:t>
      </w:r>
      <w:r>
        <w:t xml:space="preserve"> Garcilaso, Comentarios reales II, 13</w:t>
      </w:r>
      <w:r>
        <w:br/>
      </w:r>
      <w:r>
        <w:rPr>
          <w:b/>
        </w:rPr>
        <w:t>Tal como está en la fuente:</w:t>
      </w:r>
      <w:r>
        <w:t xml:space="preserve"> Nunca tuvieron pena pecuniaria ni confiscación de bienes, porque decían que castigar en la hacienda y dejar vivos los delincuentes no era desear quitar los malos de la república, sino la hacienda a los malhechores</w:t>
      </w:r>
      <w:r>
        <w:t>.</w:t>
      </w:r>
    </w:p>
    <w:p>
      <w:pPr>
        <w:pStyle w:val="ListBullet"/>
      </w:pPr>
      <w:r>
        <w:rPr>
          <w:b/>
        </w:rPr>
        <w:t>Roma:</w:t>
      </w:r>
      <w:r>
        <w:t xml:space="preserve"> una ley se endureció «para aumentar el erario»</w:t>
      </w:r>
      <w:r>
        <w:t xml:space="preserve"> [original: «augendo aerario»]</w:t>
      </w:r>
      <w:r>
        <w:t>, con premios a los delatores, y arruinó muchas fortunas</w:t>
      </w:r>
      <w:r>
        <w:t xml:space="preserve"> (Tácito, Anales III, 25 y 28)</w:t>
      </w:r>
      <w:r>
        <w:t>. Es el texto más cercano a «el castigo como fuente de ingresos» de toda la búsqueda.</w:t>
      </w:r>
    </w:p>
    <w:p>
      <w:pPr>
        <w:pStyle w:val="ListBullet"/>
      </w:pPr>
      <w:r>
        <w:t>Y además: no por la confiscación, sino haciendo prosperar al pueblo (Kutadanta Sutta, Digha Nikaya 5); «enderezad vuestras sentencias, vosotros, devoradores de regalos»</w:t>
      </w:r>
      <w:r>
        <w:t xml:space="preserve"> [original: «ἰθύνετε †δίκας / δωροφάγοι»; Evelyn-White: «make straight your judgements, you who devour bribes»]</w:t>
      </w:r>
      <w:r>
        <w:t xml:space="preserve"> (Hesíodo, Trabajos y días 263-264); el rey virtuoso no tomará para sí los bienes del culpable (Leyes de Manu IX, 243); «No sobornéis con ella a los jueces» (Corán 2:188); los jueces que reciben dádivas «deben ser tenidos por ladrones» (Garcilaso VI, 36).</w:t>
      </w:r>
    </w:p>
    <w:p>
      <w:pPr>
        <w:pStyle w:val="ListBullet"/>
      </w:pPr>
      <w:r>
        <w:rPr>
          <w:b/>
        </w:rPr>
        <w:t>Lo que no se encontró:</w:t>
      </w:r>
      <w:r>
        <w:t xml:space="preserve"> en el islam, la tradición rabínica y China no hay un texto expreso contra las multas como ingreso del poder.</w:t>
      </w:r>
    </w:p>
    <w:p>
      <w:pPr>
        <w:pStyle w:val="ListBullet"/>
      </w:pPr>
      <w:r>
        <w:rPr>
          <w:b/>
        </w:rPr>
        <w:t>La pata coja:</w:t>
      </w:r>
      <w:r>
        <w:t xml:space="preserve"> el Arthashastra cuenta los peajes y las multas entre los ingresos del rey</w:t>
      </w:r>
      <w:r>
        <w:t xml:space="preserve"> (Arthashastra 2.6)</w:t>
      </w:r>
      <w:r>
        <w:t>; entre los ashanti, las multas y tasas judiciales eran «otra fuente fructífera de ingresos»</w:t>
      </w:r>
      <w:r>
        <w:t xml:space="preserve"> [original: «another fruitful source of revenue»]</w:t>
      </w:r>
      <w:r>
        <w:t xml:space="preserve"> (Rattray, Ashanti Law and Constitution, cap. XIV)</w:t>
      </w:r>
      <w:r>
        <w:br/>
      </w:r>
      <w:r>
        <w:rPr>
          <w:b/>
        </w:rPr>
        <w:t>leída en su fuente · Rattray, Ashanti Law and Constitution, cap. XIV</w:t>
      </w:r>
      <w:r>
        <w:br/>
      </w:r>
      <w:r>
        <w:rPr>
          <w:b/>
        </w:rPr>
        <w:t>Archivo leído:</w:t>
      </w:r>
      <w:r>
        <w:t xml:space="preserve"> ashantilawconsti0000ratt_g8d4.txt (ant\ashantilawconsti0000ratt_g8d4.txt) · contraste del archivo de pasajes: ✔</w:t>
      </w:r>
      <w:r>
        <w:br/>
      </w:r>
      <w:r>
        <w:rPr>
          <w:b/>
        </w:rPr>
        <w:t>Lugar:</w:t>
      </w:r>
      <w:r>
        <w:t xml:space="preserve"> Rattray, Ashanti Law and Constitution, cap. XIV</w:t>
      </w:r>
      <w:r>
        <w:br/>
      </w:r>
      <w:r>
        <w:rPr>
          <w:b/>
        </w:rPr>
        <w:t>Tal como está en la fuente:</w:t>
      </w:r>
      <w:r>
        <w:t xml:space="preserve"> another fruitful source of revenue</w:t>
      </w:r>
      <w:r>
        <w:t>.</w:t>
      </w:r>
    </w:p>
    <w:p>
      <w:r>
        <w:t>[archivo del Arca; libreta 64, P8]</w:t>
      </w:r>
    </w:p>
    <w:p>
      <w:pPr>
        <w:pStyle w:val="Heading3"/>
      </w:pPr>
      <w:r>
        <w:t>P9. Más leyes, más pobreza</w:t>
      </w:r>
    </w:p>
    <w:p>
      <w:pPr>
        <w:pStyle w:val="ListBullet"/>
      </w:pPr>
      <w:r>
        <w:rPr>
          <w:b/>
        </w:rPr>
        <w:t>China:</w:t>
      </w:r>
      <w:r>
        <w:t xml:space="preserve"> «cuantas más prohibiciones, más pobre el pueblo; cuanto más se exhiben las leyes, más ladrones hay»</w:t>
      </w:r>
      <w:r>
        <w:t xml:space="preserve"> [original: «天下多忌諱，而民彌貧 […] 法令滋彰，盜賊多有»]</w:t>
      </w:r>
      <w:r>
        <w:t xml:space="preserve"> (Daodejing 57)</w:t>
      </w:r>
      <w:r>
        <w:br/>
      </w:r>
      <w:r>
        <w:rPr>
          <w:b/>
        </w:rPr>
        <w:t>pasaje guardado · Daodejing 57</w:t>
      </w:r>
      <w:r>
        <w:br/>
      </w:r>
      <w:r>
        <w:rPr>
          <w:b/>
        </w:rPr>
        <w:t>Original donde está:</w:t>
      </w:r>
      <w:r>
        <w:t xml:space="preserve"> reparacion_citas/zhwikisource_Daodejing_WangBi.txt</w:t>
      </w:r>
      <w:r>
        <w:br/>
      </w:r>
      <w:r>
        <w:t>El pasaje literal no está en el archivo de pasajes con este comienzo; la auditoría lo halló en ese original.</w:t>
      </w:r>
      <w:r>
        <w:t>. Y: «cuando un Estado va a perecer, multiplica sus reglamentos»</w:t>
      </w:r>
      <w:r>
        <w:t xml:space="preserve"> [original: «國將亡．必多制»]</w:t>
      </w:r>
      <w:r>
        <w:t xml:space="preserve"> (Comentario de Zuo, duque Zhao, año 6)</w:t>
      </w:r>
      <w:r>
        <w:br/>
      </w:r>
      <w:r>
        <w:rPr>
          <w:b/>
        </w:rPr>
        <w:t>leída en su fuente · Comentario de Zuo, duque Zhao, año 6</w:t>
      </w:r>
      <w:r>
        <w:br/>
      </w:r>
      <w:r>
        <w:rPr>
          <w:b/>
        </w:rPr>
        <w:t>Original donde está:</w:t>
      </w:r>
      <w:r>
        <w:t xml:space="preserve"> zhwikisource_Zuozhuan_Zhaogong.txt</w:t>
      </w:r>
      <w:r>
        <w:br/>
      </w:r>
      <w:r>
        <w:t>El pasaje literal no está en el archivo de pasajes con este comienzo; la auditoría lo halló en ese original.</w:t>
      </w:r>
      <w:r>
        <w:t>.</w:t>
      </w:r>
    </w:p>
    <w:p>
      <w:pPr>
        <w:pStyle w:val="ListBullet"/>
      </w:pPr>
      <w:r>
        <w:rPr>
          <w:b/>
        </w:rPr>
        <w:t>Roma:</w:t>
      </w:r>
      <w:r>
        <w:t xml:space="preserve"> «cuanto más corrupto el Estado, más numerosas las leyes»</w:t>
      </w:r>
      <w:r>
        <w:t xml:space="preserve"> [original: «corruptissima re publica plurimae leges»]</w:t>
      </w:r>
      <w:r>
        <w:t xml:space="preserve"> (Tácito, Anales III, 27)</w:t>
      </w:r>
      <w:r>
        <w:br/>
      </w:r>
      <w:r>
        <w:rPr>
          <w:b/>
        </w:rPr>
        <w:t>leída en su fuente · Tácito, Anales III, 27</w:t>
      </w:r>
      <w:r>
        <w:br/>
      </w:r>
      <w:r>
        <w:rPr>
          <w:b/>
        </w:rPr>
        <w:t>Archivo leído:</w:t>
      </w:r>
      <w:r>
        <w:t xml:space="preserve"> ann3.txt (ant\ann3.txt) · contraste del archivo de pasajes: ✔</w:t>
      </w:r>
      <w:r>
        <w:br/>
      </w:r>
      <w:r>
        <w:rPr>
          <w:b/>
        </w:rPr>
        <w:t>Lugar:</w:t>
      </w:r>
      <w:r>
        <w:t xml:space="preserve"> Tácito, Anales III, 27</w:t>
      </w:r>
      <w:r>
        <w:br/>
      </w:r>
      <w:r>
        <w:rPr>
          <w:b/>
        </w:rPr>
        <w:t>Tal como está en la fuente:</w:t>
      </w:r>
      <w:r>
        <w:t xml:space="preserve"> corruptissima re publica plurimae leges</w:t>
      </w:r>
      <w:r>
        <w:t>.</w:t>
      </w:r>
    </w:p>
    <w:p>
      <w:pPr>
        <w:pStyle w:val="ListBullet"/>
      </w:pPr>
      <w:r>
        <w:rPr>
          <w:b/>
        </w:rPr>
        <w:t>La tradición rabínica:</w:t>
      </w:r>
      <w:r>
        <w:t xml:space="preserve"> «no se decreta una norma sobre la comunidad si la mayoría no puede cumplirla»</w:t>
      </w:r>
      <w:r>
        <w:t xml:space="preserve"> [original: «אֵין גּוֹזְרִין גְּזֵירָה עַל הַצִּבּוּר אֶלָּא אִם כֵּן רוֹב צִבּוּר יְכוֹלִין לַעֲמוֹד בָּהּ»]</w:t>
      </w:r>
      <w:r>
        <w:t xml:space="preserve"> (Talmud, Avodá Zará 36a)</w:t>
      </w:r>
      <w:r>
        <w:br/>
      </w:r>
      <w:r>
        <w:rPr>
          <w:b/>
        </w:rPr>
        <w:t>leída en su fuente · Talmud, Avodá Zará 36a</w:t>
      </w:r>
      <w:r>
        <w:br/>
      </w:r>
      <w:r>
        <w:rPr>
          <w:b/>
        </w:rPr>
        <w:t>Original donde está:</w:t>
      </w:r>
      <w:r>
        <w:t xml:space="preserve"> sefaria_Avodah_Zarah_36a.json</w:t>
      </w:r>
      <w:r>
        <w:br/>
      </w:r>
      <w:r>
        <w:t>El pasaje literal no está en el archivo de pasajes con este comienzo; la auditoría lo halló en ese original.</w:t>
      </w:r>
      <w:r>
        <w:t>. Es la regla más directa de todas las tradiciones leídas.</w:t>
      </w:r>
    </w:p>
    <w:p>
      <w:pPr>
        <w:pStyle w:val="ListBullet"/>
      </w:pPr>
      <w:r>
        <w:rPr>
          <w:b/>
        </w:rPr>
        <w:t>Israel:</w:t>
      </w:r>
      <w:r>
        <w:t xml:space="preserve"> «atan cargas pesadas y difíciles de llevar, y las ponen sobre los hombros de los hombres; mas ni aun con su dedo las quieren mover»</w:t>
      </w:r>
      <w:r>
        <w:t xml:space="preserve"> (Mt 23:4)</w:t>
      </w:r>
      <w:r>
        <w:br/>
      </w:r>
      <w:r>
        <w:rPr>
          <w:b/>
        </w:rPr>
        <w:t>leída en su fuente · Mt 23:4</w:t>
      </w:r>
      <w:r>
        <w:br/>
      </w:r>
      <w:r>
        <w:rPr>
          <w:b/>
        </w:rPr>
        <w:t>Original donde está:</w:t>
      </w:r>
      <w:r>
        <w:t xml:space="preserve"> rva_c3.txt</w:t>
      </w:r>
      <w:r>
        <w:br/>
      </w:r>
      <w:r>
        <w:t>El pasaje literal no está en el archivo de pasajes con este comienzo; la auditoría lo halló en ese original.</w:t>
      </w:r>
      <w:r>
        <w:t>.</w:t>
      </w:r>
    </w:p>
    <w:p>
      <w:pPr>
        <w:pStyle w:val="ListBullet"/>
      </w:pPr>
      <w:r>
        <w:t>Y además: donde hay multitud de leyes particulares, es señal de que el Estado está mal gobernado (Isócrates, Areopagítico 40); los que se pasan la vida multiplicando leyes menudas y enmendándolas cortan cabezas a la hidra (Platón, República IV, 425e y 426e); «Alá no pide nada a nadie más allá de sus posibilidades» (Corán 2:286); al principio no había rey ni castigo, y todos se protegían unos a otros con rectitud (Mahabharata 12.59.14).</w:t>
      </w:r>
    </w:p>
    <w:p>
      <w:pPr>
        <w:pStyle w:val="ListBullet"/>
      </w:pPr>
      <w:r>
        <w:rPr>
          <w:b/>
        </w:rPr>
        <w:t>El matiz:</w:t>
      </w:r>
      <w:r>
        <w:t xml:space="preserve"> sin leyes, «todo dependía de la voluntad o el capricho del rey»</w:t>
      </w:r>
      <w:r>
        <w:t xml:space="preserve"> [original: «every thing went according to the will or whim of the king»]</w:t>
      </w:r>
      <w:r>
        <w:t xml:space="preserve"> (Malo, Antigüedades hawaianas XVIII, 38-39)</w:t>
      </w:r>
      <w:r>
        <w:br/>
      </w:r>
      <w:r>
        <w:rPr>
          <w:b/>
        </w:rPr>
        <w:t>pasaje guardado · Malo, Antigüedades hawaianas XVIII, 38-39</w:t>
      </w:r>
      <w:r>
        <w:br/>
      </w:r>
      <w:r>
        <w:rPr>
          <w:b/>
        </w:rPr>
        <w:t>Archivo leído:</w:t>
      </w:r>
      <w:r>
        <w:t xml:space="preserve"> hawaiianantiquit00malo.txt (cierre_mujer_varon_9oct\malo_hawaii\hawaiianantiquit00malo.txt) · contraste del archivo de pasajes: parcial</w:t>
      </w:r>
      <w:r>
        <w:br/>
      </w:r>
      <w:r>
        <w:rPr>
          <w:b/>
        </w:rPr>
        <w:t>Lugar:</w:t>
      </w:r>
      <w:r>
        <w:t xml:space="preserve"> Malo, Antigüedades hawaianas XVIII, 38-39</w:t>
      </w:r>
      <w:r>
        <w:br/>
      </w:r>
      <w:r>
        <w:rPr>
          <w:b/>
        </w:rPr>
        <w:t>Tal como está en la fuente:</w:t>
      </w:r>
      <w:r>
        <w:t xml:space="preserve"> every thing went according to the will or whim of the king</w:t>
      </w:r>
      <w:r>
        <w:t xml:space="preserve">. El principio es la medida justa de leyes, no su ausencia. Cuántas normas se publican hoy se examina en el </w:t>
      </w:r>
      <w:r>
        <w:t>cargo 8</w:t>
      </w:r>
      <w:r>
        <w:t>.</w:t>
      </w:r>
    </w:p>
    <w:p>
      <w:r>
        <w:t>[archivo del Arca; libreta 64, P9; 01.00-11.4]</w:t>
      </w:r>
    </w:p>
    <w:p>
      <w:r>
        <w:rPr>
          <w:b/>
        </w:rPr>
        <w:t>Conclusión, lo que arrojan los datos:</w:t>
      </w:r>
      <w:r>
        <w:t xml:space="preserve"> los nueve principios aparecen en civilizaciones de todos los continentes (China, la India, Israel, el islam, Persia, Mesopotamia, Egipto, Grecia y Roma, África, América y Oceanía), cada uno con tres o más patas independientes. Y cada uno tiene su pata coja, dicha. Con la vara de la convergencia (</w:t>
      </w:r>
      <w:r>
        <w:t>3.1</w:t>
      </w:r>
      <w:r>
        <w:t>), la mesa se sostiene.</w:t>
      </w:r>
    </w:p>
    <w:p>
      <w:r>
        <w:rPr>
          <w:b/>
        </w:rPr>
        <w:t>Errar el blanco.</w:t>
      </w:r>
      <w:r>
        <w:t xml:space="preserve"> Las dos lenguas de la Biblia nombran el pecado con una imagen de tiro:</w:t>
      </w:r>
    </w:p>
    <w:p>
      <w:pPr>
        <w:pStyle w:val="ListBullet"/>
      </w:pPr>
      <w:r>
        <w:t>en griego, el verbo de «pecar» significa ante todo «errar el blanco, sobre todo con la lanza»</w:t>
      </w:r>
      <w:r>
        <w:t xml:space="preserve"> [original: «miss the mark, esp. of spear thrown»]</w:t>
      </w:r>
      <w:r>
        <w:t xml:space="preserve"> (Liddell y Scott, Greek-English Lexicon, ἁμαρτάνω)</w:t>
      </w:r>
      <w:r>
        <w:br/>
      </w:r>
      <w:r>
        <w:rPr>
          <w:b/>
        </w:rPr>
        <w:t>leída en su fuente · Liddell y Scott, Greek-English Lexicon, ἁμαρτάνω</w:t>
      </w:r>
      <w:r>
        <w:br/>
      </w:r>
      <w:r>
        <w:rPr>
          <w:b/>
        </w:rPr>
        <w:t>Archivo leído:</w:t>
      </w:r>
      <w:r>
        <w:t xml:space="preserve"> lsj_hamartano.html (c3\lsj_hamartano.html) · contraste del archivo de pasajes: ✔</w:t>
      </w:r>
      <w:r>
        <w:br/>
      </w:r>
      <w:r>
        <w:rPr>
          <w:b/>
        </w:rPr>
        <w:t>Lugar:</w:t>
      </w:r>
      <w:r>
        <w:t xml:space="preserve"> Liddell y Scott, Greek-English Lexicon, ἁμαρτάνω</w:t>
      </w:r>
      <w:r>
        <w:br/>
      </w:r>
      <w:r>
        <w:rPr>
          <w:b/>
        </w:rPr>
        <w:t>Tal como está en la fuente:</w:t>
      </w:r>
      <w:r>
        <w:t xml:space="preserve"> miss the mark, esp. of spear thrown</w:t>
      </w:r>
      <w:r>
        <w:t>;</w:t>
      </w:r>
    </w:p>
    <w:p>
      <w:pPr>
        <w:pStyle w:val="ListBullet"/>
      </w:pPr>
      <w:r>
        <w:t>en hebreo, de los honderos de Benjamín se dice que «tiraban una piedra con la honda á un cabello, y no erraban»</w:t>
      </w:r>
      <w:r>
        <w:t xml:space="preserve"> (Jue 20:16)</w:t>
      </w:r>
      <w:r>
        <w:br/>
      </w:r>
      <w:r>
        <w:rPr>
          <w:b/>
        </w:rPr>
        <w:t>leída en su fuente · Jue 20:16</w:t>
      </w:r>
      <w:r>
        <w:br/>
      </w:r>
      <w:r>
        <w:rPr>
          <w:b/>
        </w:rPr>
        <w:t>Archivo leído:</w:t>
      </w:r>
      <w:r>
        <w:t xml:space="preserve"> spaRV1909_texto_corrido.txt (biblia_rv1909\spaRV1909_texto_corrido.txt) · contraste del archivo de pasajes: ✔</w:t>
      </w:r>
      <w:r>
        <w:br/>
      </w:r>
      <w:r>
        <w:rPr>
          <w:b/>
        </w:rPr>
        <w:t>Lugar:</w:t>
      </w:r>
      <w:r>
        <w:t xml:space="preserve"> Jue 20:16</w:t>
      </w:r>
      <w:r>
        <w:br/>
      </w:r>
      <w:r>
        <w:rPr>
          <w:b/>
        </w:rPr>
        <w:t>Tal como está en la fuente:</w:t>
      </w:r>
      <w:r>
        <w:t xml:space="preserve"> tiraban una piedra con la honda á un cabello, y no erraban</w:t>
      </w:r>
      <w:r>
        <w:t>, y ese «no erraban» es el verbo del pecado</w:t>
      </w:r>
      <w:r>
        <w:t xml:space="preserve"> [original: «וְלֹא יַחֲטִא»]</w:t>
      </w:r>
      <w:r>
        <w:t>.</w:t>
      </w:r>
    </w:p>
    <w:p>
      <w:r>
        <w:t>[07.00-18.1, 18.3 y 18.4; diccionario y hebreo leídos en su fuente; el sánscrito, en el anexo F (F.8); la fila budista y la japonesa, quitadas de la pieza el 5-oct]</w:t>
      </w:r>
    </w:p>
    <w:p>
      <w:r>
        <w:rPr>
          <w:b/>
        </w:rPr>
        <w:t>Lectura del autor:</w:t>
      </w:r>
      <w:r>
        <w:t xml:space="preserve"> el Arca es el blanco. Quien la incumple yerra el tiro, y por eso la obra ofrece siempre una salida para rectificar antes de suponer mala fe (se verá en </w:t>
      </w:r>
      <w:r>
        <w:t>10.5</w:t>
      </w:r>
      <w:r>
        <w:t>).</w:t>
      </w:r>
    </w:p>
    <w:p>
      <w:pPr>
        <w:pStyle w:val="Heading2"/>
      </w:pPr>
      <w:r>
        <w:t>3.3 La usura, la línea roja más antigua</w:t>
      </w:r>
    </w:p>
    <w:p>
      <w:pPr>
        <w:pBdr>
          <w:left w:val="single" w:sz="24" w:space="6" w:color="E2DED6"/>
        </w:pBdr>
        <w:shd w:val="clear" w:color="auto" w:fill="F1EEE8"/>
        <w:spacing w:before="80" w:after="160"/>
        <w:ind w:left="142" w:right="142"/>
      </w:pPr>
      <w:r>
        <w:rPr>
          <w:b/>
        </w:rPr>
        <w:t>La idea: cobrar por el solo paso del tiempo lo condenaron Israel, Grecia y el islam, y la India lo limitó; y perdonar las deudas es la ley más antigua que se conserva escrita.</w:t>
      </w:r>
    </w:p>
    <w:p>
      <w:r>
        <w:rPr>
          <w:b/>
        </w:rPr>
        <w:t>El perdón de las deudas, desde el principio de la escritura:</w:t>
      </w:r>
    </w:p>
    <w:p>
      <w:pPr>
        <w:pStyle w:val="ListBullet"/>
      </w:pPr>
      <w:r>
        <w:rPr>
          <w:b/>
        </w:rPr>
        <w:t>Lagash, hacia el 2350 a. C.:</w:t>
      </w:r>
      <w:r>
        <w:t xml:space="preserve"> sobre «el que vivía endeudado», el rey Urukagina «vació su prisión y estableció su remisión»</w:t>
      </w:r>
      <w:r>
        <w:t xml:space="preserve"> [original: «ur5-ra ti-la»; «e2-esz2-bi e-luh, ama-gi4-bi e-gar»; en la traducción del CDLI, «the one living in debt»; «their prison he cleared out, and their remission (of obligations) he established»]</w:t>
      </w:r>
      <w:r>
        <w:t xml:space="preserve"> (Urukagina, líneas 303-312)</w:t>
      </w:r>
      <w:r>
        <w:br/>
      </w:r>
      <w:r>
        <w:rPr>
          <w:b/>
        </w:rPr>
        <w:t>leída en su fuente · Urukagina, líneas 303-312</w:t>
      </w:r>
      <w:r>
        <w:br/>
      </w:r>
      <w:r>
        <w:rPr>
          <w:b/>
        </w:rPr>
        <w:t>Archivo leído:</w:t>
      </w:r>
      <w:r>
        <w:t xml:space="preserve"> uru2.txt · contraste del archivo de pasajes: sin archivo</w:t>
      </w:r>
      <w:r>
        <w:br/>
      </w:r>
      <w:r>
        <w:rPr>
          <w:b/>
        </w:rPr>
        <w:t>Lugar:</w:t>
      </w:r>
      <w:r>
        <w:t xml:space="preserve"> Urukagina, líneas 303-312</w:t>
      </w:r>
      <w:r>
        <w:br/>
      </w:r>
      <w:r>
        <w:rPr>
          <w:b/>
        </w:rPr>
        <w:t>Tal como está en la fuente:</w:t>
      </w:r>
      <w:r>
        <w:t xml:space="preserve"> e2-esz2-bi e-luh, ama-gi4-bi e-gar</w:t>
      </w:r>
      <w:r>
        <w:t xml:space="preserve">. Es la remisión más antigua documentada: el </w:t>
      </w:r>
      <w:r>
        <w:rPr>
          <w:i/>
        </w:rPr>
        <w:t>amargi</w:t>
      </w:r>
      <w:r>
        <w:t>. Y no fue la única: los historiadores cuentan una treintena de cancelaciones de deudas en Mesopotamia entre 2400 y 1400 a. C., cuatro de ellas de Hammurabi (fuente secundaria: Hudson, 1993).</w:t>
      </w:r>
    </w:p>
    <w:p>
      <w:pPr>
        <w:pStyle w:val="ListBullet"/>
      </w:pPr>
      <w:r>
        <w:rPr>
          <w:b/>
        </w:rPr>
        <w:t>Babilonia:</w:t>
      </w:r>
      <w:r>
        <w:t xml:space="preserve"> si una tormenta o una mala cosecha arruinan al deudor, ese año «lava en agua su tablilla de deuda» y no paga</w:t>
      </w:r>
      <w:r>
        <w:t xml:space="preserve"> [original: «he washes his debt-tablet in water»]</w:t>
      </w:r>
      <w:r>
        <w:t xml:space="preserve"> (Código de Hammurabi §48)</w:t>
      </w:r>
      <w:r>
        <w:t>; y el siervo por deudas será liberado al cuarto año</w:t>
      </w:r>
      <w:r>
        <w:t xml:space="preserve"> (§117)</w:t>
      </w:r>
      <w:r>
        <w:t>.</w:t>
      </w:r>
    </w:p>
    <w:p>
      <w:pPr>
        <w:pStyle w:val="ListBullet"/>
      </w:pPr>
      <w:r>
        <w:rPr>
          <w:b/>
        </w:rPr>
        <w:t>Israel:</w:t>
      </w:r>
      <w:r>
        <w:t xml:space="preserve"> «AL cabo de siete años harás remisión. Y esta es la manera de la remisión: perdonará á su deudor todo aquél que hizo empréstito de su mano»</w:t>
      </w:r>
      <w:r>
        <w:t xml:space="preserve"> (Dt 15:1-2)</w:t>
      </w:r>
      <w:r>
        <w:br/>
      </w:r>
      <w:r>
        <w:rPr>
          <w:b/>
        </w:rPr>
        <w:t>leída en su fuente · Dt 15:1-2</w:t>
      </w:r>
      <w:r>
        <w:br/>
      </w:r>
      <w:r>
        <w:rPr>
          <w:b/>
        </w:rPr>
        <w:t>Archivo leído:</w:t>
      </w:r>
      <w:r>
        <w:t xml:space="preserve"> rva_c3.txt; rvr1960_dt_15_1-2.html (c3\rva_c3.txt) · contraste del archivo de pasajes: ✔</w:t>
      </w:r>
      <w:r>
        <w:br/>
      </w:r>
      <w:r>
        <w:rPr>
          <w:b/>
        </w:rPr>
        <w:t>Lugar:</w:t>
      </w:r>
      <w:r>
        <w:t xml:space="preserve"> RVA</w:t>
      </w:r>
      <w:r>
        <w:br/>
      </w:r>
      <w:r>
        <w:rPr>
          <w:b/>
        </w:rPr>
        <w:t>Dirección:</w:t>
      </w:r>
      <w:r>
        <w:t xml:space="preserve"> </w:t>
      </w:r>
      <w:r>
        <w:t>https://www.biblegateway.com/passage/?search=Deuteronomy+15%3A1-2&amp;version=RVA</w:t>
      </w:r>
      <w:r>
        <w:br/>
      </w:r>
      <w:r>
        <w:rPr>
          <w:b/>
        </w:rPr>
        <w:t>Tal como está en la fuente:</w:t>
      </w:r>
      <w:r>
        <w:t xml:space="preserve"> AL cabo de siete años harás remisión. Y esta es la manera de la remisión: perdonará á su deudor todo aquél que hizo empréstito de su mano, con que obligó á su prójimo…</w:t>
      </w:r>
      <w:r>
        <w:t>. Y cada cincuenta años: «pregonaréis libertad en la tierra á todos sus moradores: este os será jubileo; y volveréis cada uno á su posesión»</w:t>
      </w:r>
      <w:r>
        <w:t xml:space="preserve"> (Lv 25:10)</w:t>
      </w:r>
      <w:r>
        <w:br/>
      </w:r>
      <w:r>
        <w:rPr>
          <w:b/>
        </w:rPr>
        <w:t>leída en su fuente · Lv 25:10</w:t>
      </w:r>
      <w:r>
        <w:br/>
      </w:r>
      <w:r>
        <w:rPr>
          <w:b/>
        </w:rPr>
        <w:t>Original donde está:</w:t>
      </w:r>
      <w:r>
        <w:t xml:space="preserve"> rva_c3.txt</w:t>
      </w:r>
      <w:r>
        <w:br/>
      </w:r>
      <w:r>
        <w:t>El pasaje literal no está en el archivo de pasajes con este comienzo; la auditoría lo halló en ese original.</w:t>
      </w:r>
      <w:r>
        <w:t>.</w:t>
      </w:r>
    </w:p>
    <w:p>
      <w:pPr>
        <w:pStyle w:val="ListBullet"/>
      </w:pPr>
      <w:r>
        <w:rPr>
          <w:b/>
        </w:rPr>
        <w:t>Atenas:</w:t>
      </w:r>
      <w:r>
        <w:t xml:space="preserve"> Solón «dio leyes por las que canceló todas las deudas, públicas y privadas»</w:t>
      </w:r>
      <w:r>
        <w:t xml:space="preserve"> [original: «he made laws by which he cancelled all debts, public and private»]</w:t>
      </w:r>
      <w:r>
        <w:t xml:space="preserve">, la </w:t>
      </w:r>
      <w:r>
        <w:rPr>
          <w:i/>
        </w:rPr>
        <w:t>seisáchtheia</w:t>
      </w:r>
      <w:r>
        <w:t>, la descarga de fardos</w:t>
      </w:r>
      <w:r>
        <w:t xml:space="preserve"> (Constitución de los atenienses 6)</w:t>
      </w:r>
      <w:r>
        <w:t>.</w:t>
      </w:r>
    </w:p>
    <w:p>
      <w:pPr>
        <w:pStyle w:val="ListBullet"/>
      </w:pPr>
      <w:r>
        <w:rPr>
          <w:b/>
        </w:rPr>
        <w:t>El islam:</w:t>
      </w:r>
      <w:r>
        <w:t xml:space="preserve"> «Si está en apuro, concededle un respiro hasta que se alivie su situación. Y aún sería mejor para vosotros que le condonarais la deuda»</w:t>
      </w:r>
      <w:r>
        <w:t xml:space="preserve"> (Corán 2:280)</w:t>
      </w:r>
      <w:r>
        <w:br/>
      </w:r>
      <w:r>
        <w:rPr>
          <w:b/>
        </w:rPr>
        <w:t>leída en su fuente · Corán 2:280</w:t>
      </w:r>
      <w:r>
        <w:br/>
      </w:r>
      <w:r>
        <w:rPr>
          <w:b/>
        </w:rPr>
        <w:t>Original donde está:</w:t>
      </w:r>
      <w:r>
        <w:t xml:space="preserve"> coran_cortes_texto_corrido.txt</w:t>
      </w:r>
      <w:r>
        <w:br/>
      </w:r>
      <w:r>
        <w:t>El pasaje literal no está en el archivo de pasajes con este comienzo; la auditoría lo halló en ese original.</w:t>
      </w:r>
      <w:r>
        <w:t>.</w:t>
      </w:r>
    </w:p>
    <w:p>
      <w:r>
        <w:rPr>
          <w:b/>
        </w:rPr>
        <w:t>La condena de la usura:</w:t>
      </w:r>
    </w:p>
    <w:p>
      <w:pPr>
        <w:pStyle w:val="ListBullet"/>
      </w:pPr>
      <w:r>
        <w:rPr>
          <w:b/>
        </w:rPr>
        <w:t>Israel:</w:t>
      </w:r>
      <w:r>
        <w:t xml:space="preserve"> «Si dieres á mi pueblo dinero emprestado, al pobre que está contigo, no te portarás con él como logrero, ni le impondrás usura»</w:t>
      </w:r>
      <w:r>
        <w:t xml:space="preserve"> (Ex 22:25)</w:t>
      </w:r>
      <w:r>
        <w:br/>
      </w:r>
      <w:r>
        <w:rPr>
          <w:b/>
        </w:rPr>
        <w:t>leída en su fuente · Ex 22:25</w:t>
      </w:r>
      <w:r>
        <w:br/>
      </w:r>
      <w:r>
        <w:rPr>
          <w:b/>
        </w:rPr>
        <w:t>Archivo leído:</w:t>
      </w:r>
      <w:r>
        <w:t xml:space="preserve"> rva_c3.txt (c3\rva_c3.txt) · contraste del archivo de pasajes: ✔</w:t>
      </w:r>
      <w:r>
        <w:br/>
      </w:r>
      <w:r>
        <w:rPr>
          <w:b/>
        </w:rPr>
        <w:t>Lugar:</w:t>
      </w:r>
      <w:r>
        <w:t xml:space="preserve"> Ex 22:25</w:t>
      </w:r>
      <w:r>
        <w:br/>
      </w:r>
      <w:r>
        <w:rPr>
          <w:b/>
        </w:rPr>
        <w:t>Dirección:</w:t>
      </w:r>
      <w:r>
        <w:t xml:space="preserve"> </w:t>
      </w:r>
      <w:r>
        <w:t>https://www.biblegateway.com/passage/?search=Exodus+22%3A25&amp;version=RVA</w:t>
      </w:r>
      <w:r>
        <w:br/>
      </w:r>
      <w:r>
        <w:rPr>
          <w:b/>
        </w:rPr>
        <w:t>Tal como está en la fuente:</w:t>
      </w:r>
      <w:r>
        <w:t xml:space="preserve"> Si dieres á mi pueblo dinero emprestado, al pobre que está contigo, no te portarás con él como logrero, ni le impondrás usura.</w:t>
      </w:r>
      <w:r>
        <w:t>. «No tomarás usura de él, ni aumento»</w:t>
      </w:r>
      <w:r>
        <w:t xml:space="preserve"> (Lv 25:36)</w:t>
      </w:r>
      <w:r>
        <w:br/>
      </w:r>
      <w:r>
        <w:rPr>
          <w:b/>
        </w:rPr>
        <w:t>leída en su fuente · Lv 25:36</w:t>
      </w:r>
      <w:r>
        <w:br/>
      </w:r>
      <w:r>
        <w:rPr>
          <w:b/>
        </w:rPr>
        <w:t>Archivo leído:</w:t>
      </w:r>
      <w:r>
        <w:t xml:space="preserve"> rva_c3.txt (c3\rva_c3.txt) · contraste del archivo de pasajes: ✔</w:t>
      </w:r>
      <w:r>
        <w:br/>
      </w:r>
      <w:r>
        <w:rPr>
          <w:b/>
        </w:rPr>
        <w:t>Lugar:</w:t>
      </w:r>
      <w:r>
        <w:t xml:space="preserve"> Ex 22:25</w:t>
      </w:r>
      <w:r>
        <w:br/>
      </w:r>
      <w:r>
        <w:rPr>
          <w:b/>
        </w:rPr>
        <w:t>Dirección:</w:t>
      </w:r>
      <w:r>
        <w:t xml:space="preserve"> </w:t>
      </w:r>
      <w:r>
        <w:t>https://www.biblegateway.com/passage/?search=Exodus+22%3A25&amp;version=RVA</w:t>
      </w:r>
      <w:r>
        <w:br/>
      </w:r>
      <w:r>
        <w:rPr>
          <w:b/>
        </w:rPr>
        <w:t>Tal como está en la fuente:</w:t>
      </w:r>
      <w:r>
        <w:t xml:space="preserve"> No tomarás usura de él, ni aumento; mas tendrás temor de tu Dios, y tu hermano vivirá contigo.</w:t>
      </w:r>
      <w:r>
        <w:t>.</w:t>
      </w:r>
    </w:p>
    <w:p>
      <w:pPr>
        <w:pStyle w:val="ListBullet"/>
      </w:pPr>
      <w:r>
        <w:rPr>
          <w:b/>
        </w:rPr>
        <w:t>Grecia:</w:t>
      </w:r>
      <w:r>
        <w:t xml:space="preserve"> «con toda razón se aborrece la usura, porque su ganancia sale del propio dinero y no de aquello para lo que se inventó»</w:t>
      </w:r>
      <w:r>
        <w:t xml:space="preserve"> [original: «εὐλογώτατα μισεῖται ἡ ὀβολοστατικὴ διὰ τὸ ἀπ᾽ αὐτοῦ τοῦ νομίσματος εἶναι τὴν κτῆσιν καὶ οὐκ ἐφ᾽ ὅπερ ἐπορίσθη»]</w:t>
      </w:r>
      <w:r>
        <w:t>; el interés es «dinero nacido del dinero»</w:t>
      </w:r>
      <w:r>
        <w:t xml:space="preserve"> [original: «νόμισμα ἐκ νομίσματος»]</w:t>
      </w:r>
      <w:r>
        <w:t>, y por eso «de todos los modos de ganar, este es el más contrario a la naturaleza»</w:t>
      </w:r>
      <w:r>
        <w:t xml:space="preserve"> [original: «μάλιστα παρὰ φύσιν οὗτος τῶν χρηματισμῶν ἐστιν»]</w:t>
      </w:r>
      <w:r>
        <w:t xml:space="preserve"> (Aristóteles, Política I, 1258b)</w:t>
      </w:r>
      <w:r>
        <w:br/>
      </w:r>
      <w:r>
        <w:rPr>
          <w:b/>
        </w:rPr>
        <w:t>leída en su fuente · Aristóteles, Política I, 1258b</w:t>
      </w:r>
      <w:r>
        <w:br/>
      </w:r>
      <w:r>
        <w:rPr>
          <w:b/>
        </w:rPr>
        <w:t>Original donde está:</w:t>
      </w:r>
      <w:r>
        <w:t xml:space="preserve"> arist_pol_1258b.html</w:t>
      </w:r>
      <w:r>
        <w:br/>
      </w:r>
      <w:r>
        <w:t>El pasaje literal no está en el archivo de pasajes con este comienzo; la auditoría lo halló en ese original.</w:t>
      </w:r>
      <w:r>
        <w:t>.</w:t>
      </w:r>
    </w:p>
    <w:p>
      <w:pPr>
        <w:pStyle w:val="ListBullet"/>
      </w:pPr>
      <w:r>
        <w:rPr>
          <w:b/>
        </w:rPr>
        <w:t>El islam:</w:t>
      </w:r>
      <w:r>
        <w:t xml:space="preserve"> «Alá ha autorizado el comercio y prohibido la usura»</w:t>
      </w:r>
      <w:r>
        <w:t xml:space="preserve"> (Corán 2:275)</w:t>
      </w:r>
      <w:r>
        <w:br/>
      </w:r>
      <w:r>
        <w:rPr>
          <w:b/>
        </w:rPr>
        <w:t>leída en su fuente · Corán 2:275</w:t>
      </w:r>
      <w:r>
        <w:br/>
      </w:r>
      <w:r>
        <w:rPr>
          <w:b/>
        </w:rPr>
        <w:t>Archivo leído:</w:t>
      </w:r>
      <w:r>
        <w:t xml:space="preserve"> coran_cortes_tanzil_completo.txt (l. 282) (c4\coran_cortes_tanzil_completo.txt) · contraste del archivo de pasajes: ✔</w:t>
      </w:r>
      <w:r>
        <w:br/>
      </w:r>
      <w:r>
        <w:rPr>
          <w:b/>
        </w:rPr>
        <w:t>Dirección:</w:t>
      </w:r>
      <w:r>
        <w:t xml:space="preserve"> </w:t>
      </w:r>
      <w:r>
        <w:t>https://tanzil.net/trans/es.cortes</w:t>
      </w:r>
      <w:r>
        <w:br/>
      </w:r>
      <w:r>
        <w:rPr>
          <w:b/>
        </w:rPr>
        <w:t>Tal como está en la fuente:</w:t>
      </w:r>
      <w:r>
        <w:t xml:space="preserve"> …siendo así que Alá ha autorizado el comercio y prohibido la usura.</w:t>
      </w:r>
      <w:r>
        <w:t>.</w:t>
      </w:r>
    </w:p>
    <w:p>
      <w:pPr>
        <w:pStyle w:val="ListBullet"/>
      </w:pPr>
      <w:r>
        <w:rPr>
          <w:b/>
        </w:rPr>
        <w:t>La India:</w:t>
      </w:r>
      <w:r>
        <w:t xml:space="preserve"> Brahmā pesó en la balanza el asesinato de un sabio contra la usura, y «el usurero se hundió»</w:t>
      </w:r>
      <w:r>
        <w:t xml:space="preserve"> [original: «the usurer sank downwards»]</w:t>
      </w:r>
      <w:r>
        <w:t xml:space="preserve"> (Vasishtha 2.42)</w:t>
      </w:r>
      <w:r>
        <w:t>.</w:t>
      </w:r>
    </w:p>
    <w:p>
      <w:pPr>
        <w:pStyle w:val="ListBullet"/>
      </w:pPr>
      <w:r>
        <w:rPr>
          <w:b/>
        </w:rPr>
        <w:t>Etiopía:</w:t>
      </w:r>
      <w:r>
        <w:t xml:space="preserve"> «bienaventurados seréis si dais vuestros bienes sin usura y no como préstamo»</w:t>
      </w:r>
      <w:r>
        <w:t xml:space="preserve"> [original: «blessed shall ye be if ye give your possessions, without usury and not as loans»]</w:t>
      </w:r>
      <w:r>
        <w:t xml:space="preserve"> (Kebra Nagast, cap. 90)</w:t>
      </w:r>
      <w:r>
        <w:br/>
      </w:r>
      <w:r>
        <w:rPr>
          <w:b/>
        </w:rPr>
        <w:t>leída en su fuente · Kebra Nagast, cap. 90</w:t>
      </w:r>
      <w:r>
        <w:br/>
      </w:r>
      <w:r>
        <w:rPr>
          <w:b/>
        </w:rPr>
        <w:t>Archivo leído:</w:t>
      </w:r>
      <w:r>
        <w:t xml:space="preserve"> queenofshebahero00budgrich.txt (ant\queenofshebahero00budgrich.txt) · contraste del archivo de pasajes: ✔</w:t>
      </w:r>
      <w:r>
        <w:br/>
      </w:r>
      <w:r>
        <w:rPr>
          <w:b/>
        </w:rPr>
        <w:t>Lugar:</w:t>
      </w:r>
      <w:r>
        <w:t xml:space="preserve"> Kebra Nagast, cap. 90</w:t>
      </w:r>
      <w:r>
        <w:br/>
      </w:r>
      <w:r>
        <w:rPr>
          <w:b/>
        </w:rPr>
        <w:t>Tal como está en la fuente:</w:t>
      </w:r>
      <w:r>
        <w:t xml:space="preserve"> blessed shall ye be if ye give your possessions, without usury and not as loans</w:t>
      </w:r>
      <w:r>
        <w:t>.</w:t>
      </w:r>
    </w:p>
    <w:p>
      <w:pPr>
        <w:pStyle w:val="ListBullet"/>
      </w:pPr>
      <w:r>
        <w:rPr>
          <w:b/>
        </w:rPr>
        <w:t>La Iglesia, en Nicea (325):</w:t>
      </w:r>
      <w:r>
        <w:t xml:space="preserve"> el único canon del concilio que cita la Escritura es contra la usura de los clérigos, que «han olvidado la divina Escritura, que dice: “No dio su dinero a usura”»</w:t>
      </w:r>
      <w:r>
        <w:t xml:space="preserve"> [original: «have forgotten the divine Scripture, which says, He has not given his money upon usury»]</w:t>
      </w:r>
      <w:r>
        <w:t xml:space="preserve"> (Concilio de Nicea, canon 17)</w:t>
      </w:r>
      <w:r>
        <w:br/>
      </w:r>
      <w:r>
        <w:rPr>
          <w:b/>
        </w:rPr>
        <w:t>leída en su fuente · Concilio de Nicea, canon 17</w:t>
      </w:r>
      <w:r>
        <w:br/>
      </w:r>
      <w:r>
        <w:rPr>
          <w:b/>
        </w:rPr>
        <w:t>Archivo leído:</w:t>
      </w:r>
      <w:r>
        <w:t xml:space="preserve"> nicea_canones_newadvent_NPNF2_14.htm (reparacion_citas\nicea_canones_newadvent_NPNF2_14.htm) · contraste del archivo de pasajes: ✔</w:t>
      </w:r>
      <w:r>
        <w:br/>
      </w:r>
      <w:r>
        <w:rPr>
          <w:b/>
        </w:rPr>
        <w:t>Lugar:</w:t>
      </w:r>
      <w:r>
        <w:t xml:space="preserve"> Concilio de Nicea, canon 17</w:t>
      </w:r>
      <w:r>
        <w:br/>
      </w:r>
      <w:r>
        <w:rPr>
          <w:b/>
        </w:rPr>
        <w:t>Tal como está en la fuente:</w:t>
      </w:r>
      <w:r>
        <w:t xml:space="preserve"> have forgotten the divine Scripture, which says, He has not given his money upon usury</w:t>
      </w:r>
      <w:r>
        <w:t>.</w:t>
      </w:r>
    </w:p>
    <w:p>
      <w:pPr>
        <w:pStyle w:val="ListBullet"/>
      </w:pPr>
      <w:r>
        <w:rPr>
          <w:b/>
        </w:rPr>
        <w:t>España, siglo XVI:</w:t>
      </w:r>
      <w:r>
        <w:t xml:space="preserve"> «Regla general es, que quando se aguarda plazo, y por aguardar se interessa, es vsura»</w:t>
      </w:r>
      <w:r>
        <w:t xml:space="preserve"> (Tomás de Mercado, Tratos y contratos de mercaderes, Salamanca, 1569)</w:t>
      </w:r>
      <w:r>
        <w:br/>
      </w:r>
      <w:r>
        <w:rPr>
          <w:b/>
        </w:rPr>
        <w:t>leída en su fuente · Tomás de Mercado, Tratos y contratos de mercaderes, Salamanca, 1569</w:t>
      </w:r>
      <w:r>
        <w:br/>
      </w:r>
      <w:r>
        <w:rPr>
          <w:b/>
        </w:rPr>
        <w:t>Archivo leído:</w:t>
      </w:r>
      <w:r>
        <w:t xml:space="preserve"> 07.00-15.1_Mercado_Tratos_y_contratos_Salamanca_1569_salamanca-school.txt (flecos\07.00-15.1_Mercado_Tratos_y_contratos_Salamanca_1569_salamanca-school.txt) · contraste del archivo de pasajes: ✔</w:t>
      </w:r>
      <w:r>
        <w:br/>
      </w:r>
      <w:r>
        <w:rPr>
          <w:b/>
        </w:rPr>
        <w:t>Lugar:</w:t>
      </w:r>
      <w:r>
        <w:t xml:space="preserve"> Tomás de Mercado, Tratos y contratos de mercaderes, Salamanca, 1569</w:t>
      </w:r>
      <w:r>
        <w:br/>
      </w:r>
      <w:r>
        <w:rPr>
          <w:b/>
        </w:rPr>
        <w:t>Tal como está en la fuente:</w:t>
      </w:r>
      <w:r>
        <w:t xml:space="preserve"> Regla general es, que quando se aguarda plazo, y por aguardar se interessa, es vsura</w:t>
      </w:r>
      <w:r>
        <w:t>. Con su matiz: Mercado rechaza la razón de que «es malo vender el tiempo que Dios crio», que atribuye a «algunos simples», porque «todas las cosas que se venden, las hizo Dios»; la verdadera, dice, es que en esa espera se mezcla un «prestamo ganancioso».</w:t>
      </w:r>
    </w:p>
    <w:p>
      <w:pPr>
        <w:pStyle w:val="ListBullet"/>
      </w:pPr>
      <w:r>
        <w:rPr>
          <w:b/>
        </w:rPr>
        <w:t>Un aviso sobre estas tres últimas:</w:t>
      </w:r>
      <w:r>
        <w:t xml:space="preserve"> Etiopía, Nicea y España parten de la Biblia. La Kebra Nagast la reformula (</w:t>
      </w:r>
      <w:r>
        <w:t>F.6</w:t>
      </w:r>
      <w:r>
        <w:t>), el canon 17 la cita, y Mercado cita a Aristóteles y el Evangelio: «Aristoteles siendo gentil, dize en el septimo de las Polyticas»</w:t>
      </w:r>
      <w:r>
        <w:t xml:space="preserve"> (Tomás de Mercado, Tratos y contratos de mercaderes, Salamanca, 1569)</w:t>
      </w:r>
      <w:r>
        <w:br/>
      </w:r>
      <w:r>
        <w:rPr>
          <w:b/>
        </w:rPr>
        <w:t>leída en su fuente · Tomás de Mercado, Tratos y contratos de mercaderes, Salamanca, 1569</w:t>
      </w:r>
      <w:r>
        <w:br/>
      </w:r>
      <w:r>
        <w:rPr>
          <w:b/>
        </w:rPr>
        <w:t>Archivo leído:</w:t>
      </w:r>
      <w:r>
        <w:t xml:space="preserve"> 07.00-15.1_Mercado_Tratos_y_contratos_Salamanca_1569_salamanca-school.txt (flecos\07.00-15.1_Mercado_Tratos_y_contratos_Salamanca_1569_salamanca-school.txt) · contraste del archivo de pasajes: ✔</w:t>
      </w:r>
      <w:r>
        <w:br/>
      </w:r>
      <w:r>
        <w:rPr>
          <w:b/>
        </w:rPr>
        <w:t>Lugar:</w:t>
      </w:r>
      <w:r>
        <w:t xml:space="preserve"> Tomás de Mercado, Tratos y contratos de mercaderes, Salamanca, 1569</w:t>
      </w:r>
      <w:r>
        <w:br/>
      </w:r>
      <w:r>
        <w:rPr>
          <w:b/>
        </w:rPr>
        <w:t>Tal como está en la fuente:</w:t>
      </w:r>
      <w:r>
        <w:t xml:space="preserve"> Aristoteles siendo gentil, dize en el septimo de las Polyticas</w:t>
      </w:r>
      <w:r>
        <w:t>; «como dize el Euangelio»</w:t>
      </w:r>
      <w:r>
        <w:t xml:space="preserve"> (ídem)</w:t>
      </w:r>
      <w:r>
        <w:t>. Se dicen, pero no cuentan como tradiciones aparte.</w:t>
      </w:r>
    </w:p>
    <w:p>
      <w:pPr>
        <w:pStyle w:val="ListBullet"/>
      </w:pPr>
      <w:r>
        <w:t>Y además: transgreden la prohibición «el que presta, el que toma prestado, el fiador y los testigos»</w:t>
      </w:r>
      <w:r>
        <w:t xml:space="preserve"> [original: «הַמַּלְוֶה, וְהַלֹּוֶה, וְהֶעָרֵב, וְהָעֵדִים»]</w:t>
      </w:r>
      <w:r>
        <w:t xml:space="preserve"> (Mishná, Bava Metsiá 5:11); «el año séptimo cancela el préstamo»</w:t>
      </w:r>
      <w:r>
        <w:t xml:space="preserve"> [original: «שְׁבִיעִית, מְשַׁמֶּטֶת אֶת הַמִּלְוָה»]</w:t>
      </w:r>
      <w:r>
        <w:t xml:space="preserve"> (Mishná, Sheviit 10:1); «¡No usureéis, doblando una y otra vez!» (Corán 3:130); el interés nunca pasará del doble del principal, y el que pasa del legal «lo llaman camino usurario»</w:t>
      </w:r>
      <w:r>
        <w:t xml:space="preserve"> [original: «they call that a usurious way (of lending)», en la traducción de Bühler]</w:t>
      </w:r>
      <w:r>
        <w:t xml:space="preserve"> (Leyes de Manu VIII, 151-152); «pobreza, deuda, intereses, requerimientos, persecución y cárcel son sufrimiento»</w:t>
      </w:r>
      <w:r>
        <w:t xml:space="preserve"> [original: «dāliddiyampi dukkhaṁ […], iṇādānampi dukkhaṁ […], vaḍḍhipi dukkhā […], codanāpi dukkhā […], anucariyāpi dukkhā […], bandhanampi dukkhaṁ […]»; en la traducción de Sujato: «poverty, debt, interest, warnings, prosecution, and imprisonment are suffering»]</w:t>
      </w:r>
      <w:r>
        <w:t xml:space="preserve"> (Anguttara Nikaya 6.45); el duque Huan pidió a los prestamistas que liquidaran los intereses de sus súbditos pobres (Guanzi 83).</w:t>
      </w:r>
    </w:p>
    <w:p>
      <w:r>
        <w:t>[07.00-13.1 a 15.2; archivo del Arca, P6; libreta 64, P6; glosario 12, canon 17 de Nicea; Biblia y Aristóteles leídos hoy en su fuente]</w:t>
      </w:r>
    </w:p>
    <w:p>
      <w:r>
        <w:rPr>
          <w:b/>
        </w:rPr>
        <w:t>La ley española todavía lo dice:</w:t>
      </w:r>
      <w:r>
        <w:t xml:space="preserve"> «Será nulo todo contrato de préstamo en que se estipule un interés notablemente superior al normal del dinero y manifiestamente desproporcionado con las circunstancias del caso o en condiciones tales que resulte aquél leonino, habiendo motivos para estimar que ha sido aceptado por el prestatario a causa de su situación angustiosa, de su inexperiencia o de lo limitado de sus facultades mentales»</w:t>
      </w:r>
      <w:r>
        <w:t xml:space="preserve"> (Ley de 23 de julio de 1908, art. 1)</w:t>
      </w:r>
      <w:r>
        <w:br/>
      </w:r>
      <w:r>
        <w:rPr>
          <w:b/>
        </w:rPr>
        <w:t>leída en su fuente · Ley de 23 de julio de 1908, art. 1</w:t>
      </w:r>
      <w:r>
        <w:br/>
      </w:r>
      <w:r>
        <w:rPr>
          <w:b/>
        </w:rPr>
        <w:t>Original donde está:</w:t>
      </w:r>
      <w:r>
        <w:t xml:space="preserve"> azcarate.html</w:t>
      </w:r>
      <w:r>
        <w:br/>
      </w:r>
      <w:r>
        <w:t>El pasaje literal no está en el archivo de pasajes con este comienzo; la auditoría lo halló en ese original.</w:t>
      </w:r>
      <w:r>
        <w:t>.</w:t>
      </w:r>
    </w:p>
    <w:p>
      <w:r>
        <w:t xml:space="preserve">Los tribunales la aplican hoy a las tarjetas </w:t>
      </w:r>
      <w:r>
        <w:rPr>
          <w:i/>
        </w:rPr>
        <w:t>revolving</w:t>
      </w:r>
      <w:r>
        <w:t xml:space="preserve">: el Supremo declaró el «carácter usurario» de una de ellas, cuyo interés puede convertir al cliente en un deudor «cautivo» (sentencia 149/2020, de 4 de marzo). Y declaró nulas las cláusulas suelo examinadas porque «no son transparentes»: entre otras razones, quedaban «enmascaradas» entre «una abrumadora cantidad de datos» (sentencia 241/2013, de 9 de mayo). </w:t>
      </w:r>
      <w:r>
        <w:t>[07.00-16.1 a 17.2; las dos sentencias leídas en el CENDOJ el 5-oct]</w:t>
      </w:r>
    </w:p>
    <w:p>
      <w:r>
        <w:t>[07.00-16.1 y 16.2; Ley de 1908 leída en el BOE]</w:t>
      </w:r>
    </w:p>
    <w:p>
      <w:r>
        <w:rPr>
          <w:b/>
        </w:rPr>
        <w:t>La pata coja:</w:t>
      </w:r>
    </w:p>
    <w:p>
      <w:pPr>
        <w:pStyle w:val="ListBullet"/>
      </w:pPr>
      <w:r>
        <w:rPr>
          <w:b/>
        </w:rPr>
        <w:t>La misma ley de Moisés</w:t>
      </w:r>
      <w:r>
        <w:t xml:space="preserve"> distingue: «No tomarás de tu hermano logro de dinero […] Del extraño tomarás logro, mas de tu hermano no lo tomarás»</w:t>
      </w:r>
      <w:r>
        <w:t xml:space="preserve"> (Dt 23:19-20)</w:t>
      </w:r>
      <w:r>
        <w:br/>
      </w:r>
      <w:r>
        <w:rPr>
          <w:b/>
        </w:rPr>
        <w:t>leída en su fuente · Dt 23:19-20</w:t>
      </w:r>
      <w:r>
        <w:br/>
      </w:r>
      <w:r>
        <w:rPr>
          <w:b/>
        </w:rPr>
        <w:t>Archivo leído:</w:t>
      </w:r>
      <w:r>
        <w:t xml:space="preserve"> spaRV1909_texto_corrido.txt (biblia_rv1909\spaRV1909_texto_corrido.txt) · contraste del archivo de pasajes: ✔</w:t>
      </w:r>
      <w:r>
        <w:br/>
      </w:r>
      <w:r>
        <w:rPr>
          <w:b/>
        </w:rPr>
        <w:t>Lugar:</w:t>
      </w:r>
      <w:r>
        <w:t xml:space="preserve"> Dt 23:19-20</w:t>
      </w:r>
      <w:r>
        <w:br/>
      </w:r>
      <w:r>
        <w:rPr>
          <w:b/>
        </w:rPr>
        <w:t>Tal como está en la fuente:</w:t>
      </w:r>
      <w:r>
        <w:t xml:space="preserve"> No tomarás de tu hermano logro de dinero […] Del extraño tomarás logro, mas de tu hermano no lo tomarás</w:t>
      </w:r>
      <w:r>
        <w:t>.</w:t>
      </w:r>
    </w:p>
    <w:p>
      <w:pPr>
        <w:pStyle w:val="ListBullet"/>
      </w:pPr>
      <w:r>
        <w:rPr>
          <w:b/>
        </w:rPr>
        <w:t>Las Leyes de Manu</w:t>
      </w:r>
      <w:r>
        <w:t xml:space="preserve"> no prohíben el interés: lo limitan</w:t>
      </w:r>
      <w:r>
        <w:t xml:space="preserve"> (Leyes de Manu VIII, 151-152)</w:t>
      </w:r>
      <w:r>
        <w:t>.</w:t>
      </w:r>
    </w:p>
    <w:p>
      <w:pPr>
        <w:pStyle w:val="ListBullet"/>
      </w:pPr>
      <w:r>
        <w:rPr>
          <w:b/>
        </w:rPr>
        <w:t>Entre los ashanti,</w:t>
      </w:r>
      <w:r>
        <w:t xml:space="preserve"> por una deuda «podía empeñarse a uno de los hijos»</w:t>
      </w:r>
      <w:r>
        <w:t xml:space="preserve"> [original: «one of the children might be pawned»]</w:t>
      </w:r>
      <w:r>
        <w:t xml:space="preserve"> (Rattray, pp. 53-54)</w:t>
      </w:r>
      <w:r>
        <w:br/>
      </w:r>
      <w:r>
        <w:rPr>
          <w:b/>
        </w:rPr>
        <w:t>leída en su fuente · Rattray, pp. 53-54</w:t>
      </w:r>
      <w:r>
        <w:br/>
      </w:r>
      <w:r>
        <w:rPr>
          <w:b/>
        </w:rPr>
        <w:t>Archivo leído:</w:t>
      </w:r>
      <w:r>
        <w:t xml:space="preserve"> ashantilawconsti0000ratt_g8d4.txt (ant\ashantilawconsti0000ratt_g8d4.txt) · contraste del archivo de pasajes: ✔</w:t>
      </w:r>
      <w:r>
        <w:br/>
      </w:r>
      <w:r>
        <w:rPr>
          <w:b/>
        </w:rPr>
        <w:t>Lugar:</w:t>
      </w:r>
      <w:r>
        <w:t xml:space="preserve"> Rattray, pp. 53-54</w:t>
      </w:r>
      <w:r>
        <w:br/>
      </w:r>
      <w:r>
        <w:rPr>
          <w:b/>
        </w:rPr>
        <w:t>Tal como está en la fuente:</w:t>
      </w:r>
      <w:r>
        <w:t xml:space="preserve"> one of the children might be pawned</w:t>
      </w:r>
      <w:r>
        <w:t>.</w:t>
      </w:r>
    </w:p>
    <w:p>
      <w:r>
        <w:t>[archivo del Arca, pata coja de P6; Reina-Valera Antigua]</w:t>
      </w:r>
    </w:p>
    <w:p>
      <w:r>
        <w:rPr>
          <w:b/>
        </w:rPr>
        <w:t>Conclusión, lo que arrojan los datos:</w:t>
      </w:r>
      <w:r>
        <w:t xml:space="preserve"> el perdón de las deudas y la condena de la usura aparecen en Mesopotamia, Israel, Grecia, el islam y la India, y las recogen también Etiopía, Nicea y España, que parten de la Biblia; y la propia ley española todavía anula el préstamo usurario. La pata coja también está: la usura permitida con el extranjero y el interés limitado, no prohibido.</w:t>
      </w:r>
    </w:p>
    <w:p>
      <w:r>
        <w:rPr>
          <w:b/>
        </w:rPr>
        <w:t>Lectura del autor:</w:t>
      </w:r>
      <w:r>
        <w:t xml:space="preserve"> la usura cobra por el paso del tiempo, que no es de quien presta. El cobro por el paso del tiempo que hoy pesa sobre todos, la pérdida de valor del dinero, se mide en </w:t>
      </w:r>
      <w:r>
        <w:t>8.1</w:t>
      </w:r>
      <w:r>
        <w:t>.</w:t>
      </w:r>
    </w:p>
    <w:p>
      <w:pPr>
        <w:pStyle w:val="Heading2"/>
      </w:pPr>
      <w:r>
        <w:t>3.4 Quién escribe la pata coja</w:t>
      </w:r>
    </w:p>
    <w:p>
      <w:pPr>
        <w:pBdr>
          <w:left w:val="single" w:sz="24" w:space="6" w:color="E2DED6"/>
        </w:pBdr>
        <w:shd w:val="clear" w:color="auto" w:fill="F1EEE8"/>
        <w:spacing w:before="80" w:after="160"/>
        <w:ind w:left="142" w:right="142"/>
      </w:pPr>
      <w:r>
        <w:rPr>
          <w:b/>
        </w:rPr>
        <w:t>La idea: cuando un texto contradice el Arca, casi siempre lo escribió quien mandaba o su ministro, o se escribió para él.</w:t>
      </w:r>
    </w:p>
    <w:p>
      <w:r>
        <w:rPr>
          <w:b/>
        </w:rPr>
        <w:t>La pregunta.</w:t>
      </w:r>
      <w:r>
        <w:t xml:space="preserve"> El </w:t>
      </w:r>
      <w:r>
        <w:t>capítulo 1</w:t>
      </w:r>
      <w:r>
        <w:t xml:space="preserve"> encontró que, en 7 de 8 casos, quien puso la ley escrita por encima de la costumbre tenía el poder de legislar (</w:t>
      </w:r>
      <w:r>
        <w:t>1.7</w:t>
      </w:r>
      <w:r>
        <w:t>). La misma prueba, aplicada a la pata coja del Arca, a propuesta del autor: para cada texto que contradice los principios, ¿quién lo escribió, y para quién?</w:t>
      </w:r>
    </w:p>
    <w:p>
      <w:r>
        <w:rPr>
          <w:b/>
        </w:rPr>
        <w:t>Lo que se encontró:</w:t>
      </w:r>
    </w:p>
    <w:p>
      <w:pPr>
        <w:pStyle w:val="ListBullet"/>
      </w:pPr>
      <w:r>
        <w:rPr>
          <w:b/>
        </w:rPr>
        <w:t>El Libro del señor Shang</w:t>
      </w:r>
      <w:r>
        <w:t xml:space="preserve"> («pueblo débil, Estado fuerte»): lo escribió Shang Yang, de la casa reinante de Wey, a quien el duque de Qin dio el alto rango con el que «promulgó las leyes de la reforma»</w:t>
      </w:r>
      <w:r>
        <w:t xml:space="preserve"> [original: «卒定變法之令»]</w:t>
      </w:r>
      <w:r>
        <w:t xml:space="preserve"> (Shiji 68)</w:t>
      </w:r>
      <w:r>
        <w:br/>
      </w:r>
      <w:r>
        <w:rPr>
          <w:b/>
        </w:rPr>
        <w:t>leída en su fuente · Shiji 68</w:t>
      </w:r>
      <w:r>
        <w:br/>
      </w:r>
      <w:r>
        <w:rPr>
          <w:b/>
        </w:rPr>
        <w:t>Original donde está:</w:t>
      </w:r>
      <w:r>
        <w:t xml:space="preserve"> shiji68.html</w:t>
      </w:r>
      <w:r>
        <w:br/>
      </w:r>
      <w:r>
        <w:t>El pasaje literal no está en el archivo de pasajes con este comienzo; la auditoría lo halló en ese original.</w:t>
      </w:r>
      <w:r>
        <w:t>.</w:t>
      </w:r>
    </w:p>
    <w:p>
      <w:pPr>
        <w:pStyle w:val="ListBullet"/>
      </w:pPr>
      <w:r>
        <w:rPr>
          <w:b/>
        </w:rPr>
        <w:t>Han Feizi</w:t>
      </w:r>
      <w:r>
        <w:t xml:space="preserve"> (penas duras; el pueblo, «como la mente de un niño de pecho»): lo escribió uno de los príncipes de Han, y el rey de Qin dijo al leerlo: «si pudiera conocer a este hombre y tratarlo, moriría sin pesar»</w:t>
      </w:r>
      <w:r>
        <w:t xml:space="preserve"> [original: «寡人得見此人與之游，死不恨矣»]</w:t>
      </w:r>
      <w:r>
        <w:t xml:space="preserve"> (Shiji 63)</w:t>
      </w:r>
      <w:r>
        <w:br/>
      </w:r>
      <w:r>
        <w:rPr>
          <w:b/>
        </w:rPr>
        <w:t>leída en su fuente · Shiji 63</w:t>
      </w:r>
      <w:r>
        <w:br/>
      </w:r>
      <w:r>
        <w:rPr>
          <w:b/>
        </w:rPr>
        <w:t>Original donde está:</w:t>
      </w:r>
      <w:r>
        <w:t xml:space="preserve"> shiji63.html</w:t>
      </w:r>
      <w:r>
        <w:br/>
      </w:r>
      <w:r>
        <w:t>El pasaje literal no está en el archivo de pasajes con este comienzo; la auditoría lo halló en ese original.</w:t>
      </w:r>
      <w:r>
        <w:t>.</w:t>
      </w:r>
    </w:p>
    <w:p>
      <w:pPr>
        <w:pStyle w:val="ListBullet"/>
      </w:pPr>
      <w:r>
        <w:rPr>
          <w:b/>
        </w:rPr>
        <w:t>El Arthashastra</w:t>
      </w:r>
      <w:r>
        <w:t xml:space="preserve"> (recaudar con engaño, robar depósitos, multas como ingreso): su colofón dice que lo hizo quien arrebató la tierra al rey Nanda, el que derrocó una dinastía y puso otra</w:t>
      </w:r>
      <w:r>
        <w:t xml:space="preserve"> (Arthashastra 15.1)</w:t>
      </w:r>
      <w:r>
        <w:t>.</w:t>
      </w:r>
    </w:p>
    <w:p>
      <w:pPr>
        <w:pStyle w:val="ListBullet"/>
      </w:pPr>
      <w:r>
        <w:rPr>
          <w:b/>
        </w:rPr>
        <w:t>Las Leyes de Manu</w:t>
      </w:r>
      <w:r>
        <w:t xml:space="preserve"> (el rey, «una gran deidad en forma humana»): el mismo código exime de impuestos a los sabios de los Vedas «aunque muera de necesidad» el rey, y la multa que el rey no puede quedarse puede darse «a un brahmán sabio y virtuoso»</w:t>
      </w:r>
      <w:r>
        <w:t xml:space="preserve"> (Leyes de Manu VII, 133, y IX, 244)</w:t>
      </w:r>
      <w:r>
        <w:br/>
      </w:r>
      <w:r>
        <w:rPr>
          <w:b/>
        </w:rPr>
        <w:t>pasaje guardado</w:t>
      </w:r>
      <w:r>
        <w:br/>
      </w:r>
      <w:r>
        <w:rPr>
          <w:b/>
        </w:rPr>
        <w:t>Archivo leído:</w:t>
      </w:r>
      <w:r>
        <w:t xml:space="preserve"> · contraste del archivo de pasajes: sin archivo</w:t>
      </w:r>
      <w:r>
        <w:br/>
      </w:r>
      <w:r>
        <w:rPr>
          <w:b/>
        </w:rPr>
        <w:t>Lugar:</w:t>
      </w:r>
      <w:r>
        <w:t xml:space="preserve"> Leyes de Manu VII, 133, y IX, 244</w:t>
      </w:r>
      <w:r>
        <w:br/>
      </w:r>
      <w:r>
        <w:rPr>
          <w:b/>
        </w:rPr>
        <w:t>Tal como está en la fuente:</w:t>
      </w:r>
      <w:r>
        <w:t xml:space="preserve"> a un brahmán sabio y virtuoso</w:t>
      </w:r>
      <w:r>
        <w:t>. Exime y beneficia al estamento que custodiaba esos textos.</w:t>
      </w:r>
    </w:p>
    <w:p>
      <w:pPr>
        <w:pStyle w:val="ListBullet"/>
      </w:pPr>
      <w:r>
        <w:rPr>
          <w:b/>
        </w:rPr>
        <w:t>Séneca</w:t>
      </w:r>
      <w:r>
        <w:t xml:space="preserve"> (acabar con familias enteras): era uno de los guías del joven Nerón</w:t>
      </w:r>
      <w:r>
        <w:t xml:space="preserve"> [original: «rectores imperatoriae iuventae»]</w:t>
      </w:r>
      <w:r>
        <w:t xml:space="preserve"> (Tácito, Anales XIII, 2)</w:t>
      </w:r>
      <w:r>
        <w:t>.</w:t>
      </w:r>
    </w:p>
    <w:p>
      <w:pPr>
        <w:pStyle w:val="ListBullet"/>
      </w:pPr>
      <w:r>
        <w:rPr>
          <w:b/>
        </w:rPr>
        <w:t>Hammurabi</w:t>
      </w:r>
      <w:r>
        <w:t xml:space="preserve"> (muere el hijo por la culpa del padre): es el código del propio rey.</w:t>
      </w:r>
    </w:p>
    <w:p>
      <w:pPr>
        <w:pStyle w:val="ListBullet"/>
      </w:pPr>
      <w:r>
        <w:t>Y además: el Mahabharata 12.89 (subir la carga y dividir al pueblo) es la enseñanza de Bhishma al rey sobre sus deberes, un manual para el que gobierna; que la elección del señor mexica «no se puede anular» lo dicen los reyes y señores que lo designaron (Sahagún VI, 10); entre los ashanti, la multa judicial era un emolumento del jefe principal (Rattray, cap. XIV); entre los basutos, el propio Casalis explica la resistencia de los jefes a enriquecer a sus súbditos por su temor a perder su riqueza (pp. 216-217); y Li Si, que aplicó el legalismo en Qin, propuso quemar las historias y los libros de las escuelas, y que quien quisiera aprender las leyes tomara por maestros a los funcionarios (Shiji 6 y 87).</w:t>
      </w:r>
    </w:p>
    <w:p>
      <w:r>
        <w:t>[archivo del Arca, «Contrapunto: quién escribe la pata coja», aprobado por Kiko el 5-oct; textos leídos en su original]</w:t>
      </w:r>
    </w:p>
    <w:p>
      <w:r>
        <w:rPr>
          <w:b/>
        </w:rPr>
        <w:t>Las excepciones, dichas:</w:t>
      </w:r>
      <w:r>
        <w:t xml:space="preserve"> Hesíodo, que escribió que «a menudo toda una ciudad sufre por un solo malvado», no tenía poder: era un labrador que acusaba a los «reyes devoradores de regalos». Y Pablo, que escribió «toda alma se someta a las potestades superiores»</w:t>
      </w:r>
      <w:r>
        <w:t xml:space="preserve"> (Rm 13:1)</w:t>
      </w:r>
      <w:r>
        <w:br/>
      </w:r>
      <w:r>
        <w:rPr>
          <w:b/>
        </w:rPr>
        <w:t>leída en su fuente · Rm 13:1</w:t>
      </w:r>
      <w:r>
        <w:br/>
      </w:r>
      <w:r>
        <w:rPr>
          <w:b/>
        </w:rPr>
        <w:t>Archivo leído:</w:t>
      </w:r>
      <w:r>
        <w:t xml:space="preserve"> rva_c3.txt (Rom 13:1); rom_13_4-6_rva.html (13:6) (biblia_rv1909\spaRV1909_texto_corrido.txt) · contraste del archivo de pasajes: ✔</w:t>
      </w:r>
      <w:r>
        <w:br/>
      </w:r>
      <w:r>
        <w:rPr>
          <w:b/>
        </w:rPr>
        <w:t>Lugar:</w:t>
      </w:r>
      <w:r>
        <w:t xml:space="preserve"> Rom 13:1</w:t>
      </w:r>
      <w:r>
        <w:br/>
      </w:r>
      <w:r>
        <w:rPr>
          <w:b/>
        </w:rPr>
        <w:t>Dirección:</w:t>
      </w:r>
      <w:r>
        <w:t xml:space="preserve"> </w:t>
      </w:r>
      <w:r>
        <w:t>https://www.biblegateway.com/passage/?search=Romans+13%3A4-6&amp;version=RVA</w:t>
      </w:r>
      <w:r>
        <w:br/>
      </w:r>
      <w:r>
        <w:rPr>
          <w:b/>
        </w:rPr>
        <w:t>Tal como está en la fuente:</w:t>
      </w:r>
      <w:r>
        <w:t xml:space="preserve"> TODA alma se someta á las potestades superiores; porque no hay potestad sino de Dios; y las que son, de Dios son ordenadas.</w:t>
      </w:r>
      <w:r>
        <w:t>, acabó preso del mismo Imperio, «con un soldado que le guardase»</w:t>
      </w:r>
      <w:r>
        <w:t xml:space="preserve"> (Hch 28:16)</w:t>
      </w:r>
      <w:r>
        <w:br/>
      </w:r>
      <w:r>
        <w:rPr>
          <w:b/>
        </w:rPr>
        <w:t>leída en su fuente · Hch 28:16</w:t>
      </w:r>
      <w:r>
        <w:br/>
      </w:r>
      <w:r>
        <w:rPr>
          <w:b/>
        </w:rPr>
        <w:t>Archivo leído:</w:t>
      </w:r>
      <w:r>
        <w:t xml:space="preserve"> hch28.html (ant\hch28.html) · contraste del archivo de pasajes: ✔</w:t>
      </w:r>
      <w:r>
        <w:br/>
      </w:r>
      <w:r>
        <w:rPr>
          <w:b/>
        </w:rPr>
        <w:t>Lugar:</w:t>
      </w:r>
      <w:r>
        <w:t xml:space="preserve"> Hch 28:16</w:t>
      </w:r>
      <w:r>
        <w:br/>
      </w:r>
      <w:r>
        <w:rPr>
          <w:b/>
        </w:rPr>
        <w:t>Tal como está en la fuente:</w:t>
      </w:r>
      <w:r>
        <w:t xml:space="preserve"> con un soldado que le guardase</w:t>
      </w:r>
      <w:r>
        <w:t>.</w:t>
      </w:r>
    </w:p>
    <w:p>
      <w:r>
        <w:rPr>
          <w:b/>
        </w:rPr>
        <w:t>Conclusión, lo que arrojan los datos:</w:t>
      </w:r>
      <w:r>
        <w:t xml:space="preserve"> de los 13 textos de la pata coja examinados, 11 los escribió quien mandaba o su ministro, se escribieron para el que mandaba, o eximían o beneficiaban a quien los transmitía o aplicaba. Las dos excepciones no tenían poder. Es el mismo resultado que el del </w:t>
      </w:r>
      <w:r>
        <w:t>capítulo 1</w:t>
      </w:r>
      <w:r>
        <w:t>: 7 de 8.</w:t>
      </w:r>
    </w:p>
    <w:p>
      <w:r>
        <w:rPr>
          <w:b/>
        </w:rPr>
        <w:t>Los frutos, como hechos:</w:t>
      </w:r>
    </w:p>
    <w:p>
      <w:pPr>
        <w:pStyle w:val="ListBullet"/>
      </w:pPr>
      <w:r>
        <w:rPr>
          <w:b/>
        </w:rPr>
        <w:t>Shang Yang,</w:t>
      </w:r>
      <w:r>
        <w:t xml:space="preserve"> al morir su duque, fue descuartizado con carros, y acabaron con toda su familia: la culpa compartida que él mismo había implantado</w:t>
      </w:r>
      <w:r>
        <w:t xml:space="preserve"> [original: «車裂商君以徇»; «遂滅商君之家»]</w:t>
      </w:r>
      <w:r>
        <w:t xml:space="preserve"> (Shiji 68)</w:t>
      </w:r>
      <w:r>
        <w:t>.</w:t>
      </w:r>
    </w:p>
    <w:p>
      <w:pPr>
        <w:pStyle w:val="ListBullet"/>
      </w:pPr>
      <w:r>
        <w:rPr>
          <w:b/>
        </w:rPr>
        <w:t>Han Fei:</w:t>
      </w:r>
      <w:r>
        <w:t xml:space="preserve"> Li Si le hizo llegar veneno para que se matara</w:t>
      </w:r>
      <w:r>
        <w:t xml:space="preserve"> (Shiji 63)</w:t>
      </w:r>
      <w:r>
        <w:t>.</w:t>
      </w:r>
    </w:p>
    <w:p>
      <w:pPr>
        <w:pStyle w:val="ListBullet"/>
      </w:pPr>
      <w:r>
        <w:rPr>
          <w:b/>
        </w:rPr>
        <w:t>Li Si:</w:t>
      </w:r>
      <w:r>
        <w:t xml:space="preserve"> le aplicaron las cinco penas, lo cortaron por la cintura en el mercado de Xianyang y exterminaron a sus tres clanes</w:t>
      </w:r>
      <w:r>
        <w:t xml:space="preserve"> (Shiji 87)</w:t>
      </w:r>
      <w:r>
        <w:t>.</w:t>
      </w:r>
    </w:p>
    <w:p>
      <w:pPr>
        <w:pStyle w:val="ListBullet"/>
      </w:pPr>
      <w:r>
        <w:rPr>
          <w:b/>
        </w:rPr>
        <w:t>La dinastía Qin,</w:t>
      </w:r>
      <w:r>
        <w:t xml:space="preserve"> que había unificado China en el 221 a. C., cayó en el 206 a. C. (las fechas, fuente secundaria); su último rey reinó cuarenta y seis días</w:t>
      </w:r>
      <w:r>
        <w:t xml:space="preserve"> (Shiji 6)</w:t>
      </w:r>
      <w:r>
        <w:t>.</w:t>
      </w:r>
    </w:p>
    <w:p>
      <w:r>
        <w:rPr>
          <w:b/>
        </w:rPr>
        <w:t>Lectura del autor:</w:t>
      </w:r>
      <w:r>
        <w:t xml:space="preserve"> «Casi todas las versiones que contradicen la ley de Dios salieron del poder, de su entorno o de quien se beneficiaba de ellas: la parte interesada se nombraba juez de su propia causa. Por sus frutos los conoceréis (Mt 7:16): los que escribieron que el pueblo debía ser débil murieron por las mismas leyes que dictaron, y su imperio duró quince años. Esto apunta hacia el padre de la mentira (Jn 8:44)». </w:t>
      </w:r>
      <w:r>
        <w:t>[archivo del Arca, lectura aprobada por Kiko el 5-oct]</w:t>
      </w:r>
    </w:p>
    <w:p>
      <w:pPr>
        <w:pStyle w:val="Heading2"/>
      </w:pPr>
      <w:r>
        <w:t>3.5 Por qué casi nadie la conoce</w:t>
      </w:r>
    </w:p>
    <w:p>
      <w:pPr>
        <w:pBdr>
          <w:left w:val="single" w:sz="24" w:space="6" w:color="E2DED6"/>
        </w:pBdr>
        <w:shd w:val="clear" w:color="auto" w:fill="F1EEE8"/>
        <w:spacing w:before="80" w:after="160"/>
        <w:ind w:left="142" w:right="142"/>
      </w:pPr>
      <w:r>
        <w:rPr>
          <w:b/>
        </w:rPr>
        <w:t>La idea: la ley más antigua casi nadie la conoce porque no se escribió, porque se escribió en latín o porque quedó fuera de las listas.</w:t>
      </w:r>
    </w:p>
    <w:p>
      <w:r>
        <w:rPr>
          <w:b/>
        </w:rPr>
        <w:t>No se escribió.</w:t>
      </w:r>
      <w:r>
        <w:t xml:space="preserve"> Lo que los pueblos tenían por ley se transmitía de boca en boca. Lo que sí se escribió muy pronto fue otra cosa: de las primeras tablillas, «la mayoría son documentos de contabilidad», no relatos ni argumentos</w:t>
      </w:r>
      <w:r>
        <w:t xml:space="preserve"> [original: «most of them are bookkeeping documents, representing activities of economic administration rather than stories, arguments or descriptions»]</w:t>
      </w:r>
      <w:r>
        <w:t xml:space="preserve"> (P. Damerow, Cuneiform Digital Library Journal, 2006; fuente secundaria, especializada)</w:t>
      </w:r>
      <w:r>
        <w:t xml:space="preserve">. </w:t>
      </w:r>
      <w:r>
        <w:t>[07.00-20.2]</w:t>
      </w:r>
    </w:p>
    <w:p>
      <w:pPr>
        <w:pStyle w:val="ListBullet"/>
      </w:pPr>
      <w:r>
        <w:rPr>
          <w:b/>
        </w:rPr>
        <w:t>Los druidas</w:t>
      </w:r>
      <w:r>
        <w:t xml:space="preserve"> tenían la escritura y la usaban para todo lo demás, pero no para su enseñanza. César da dos razones: no querían que su doctrina se divulgara entre el pueblo, ni que los alumnos, fiándose de lo escrito, descuidaran la memoria</w:t>
      </w:r>
      <w:r>
        <w:t xml:space="preserve"> [original: «Neque fas esse existimant ea litteris mandare, cum in reliquis fere rebus, publicis privatisque rationibus Graecis litteris utantur. Id mihi duabus de causis instituisse videntur, quod neque in vulgum disciplinam efferri velint neque eos, qui discunt, litteris confisos minus memoriae studere»]</w:t>
      </w:r>
      <w:r>
        <w:t xml:space="preserve"> (César, La guerra de las Galias VI, 14)</w:t>
      </w:r>
      <w:r>
        <w:t>. Después, el emperador Claudio abolió del todo su religión, a la que Roma acusaba de «atroz crueldad»</w:t>
      </w:r>
      <w:r>
        <w:t xml:space="preserve"> [original: «Druidarum religionem apud Gallos dirae immanitatis […] penitus abolevit»]</w:t>
      </w:r>
      <w:r>
        <w:t xml:space="preserve"> (Suetonio, Claudio 25)</w:t>
      </w:r>
      <w:r>
        <w:t>, y su saber se perdió con ellos.</w:t>
      </w:r>
    </w:p>
    <w:p>
      <w:pPr>
        <w:pStyle w:val="ListBullet"/>
      </w:pPr>
      <w:r>
        <w:rPr>
          <w:b/>
        </w:rPr>
        <w:t>Los Vedas</w:t>
      </w:r>
      <w:r>
        <w:t xml:space="preserve"> se transmitieron de memoria durante siglos (</w:t>
      </w:r>
      <w:r>
        <w:t>0.1</w:t>
      </w:r>
      <w:r>
        <w:t>), y el Mahābhārata condena al infierno a «los que venden los Vedas, los que los corrompen y los que los escriben»</w:t>
      </w:r>
      <w:r>
        <w:t xml:space="preserve"> [original: «vedavikrayiṇaś caiva vedānāṃ caiva dūṣakāḥ / vedānāṃ lekhakāś caiva te vai nirayagāminaḥ»]</w:t>
      </w:r>
      <w:r>
        <w:t xml:space="preserve"> (Mahābhārata 13.24.70, edición crítica de Pune)</w:t>
      </w:r>
      <w:r>
        <w:br/>
      </w:r>
      <w:r>
        <w:rPr>
          <w:b/>
        </w:rPr>
        <w:t>pasaje guardado · Mahābhārata 13.24.70, edición crítica de Pune</w:t>
      </w:r>
      <w:r>
        <w:br/>
      </w:r>
      <w:r>
        <w:rPr>
          <w:b/>
        </w:rPr>
        <w:t>Archivo leído:</w:t>
      </w:r>
      <w:r>
        <w:t xml:space="preserve"> 01.00-13.2_Mahabharata_13_Anusasanaparvan_GRETIL.htm (flecos\01.00-13.2_Mahabharata_13_Anusasanaparvan_GRETIL.htm) · contraste del archivo de pasajes: parcial</w:t>
      </w:r>
      <w:r>
        <w:br/>
      </w:r>
      <w:r>
        <w:rPr>
          <w:b/>
        </w:rPr>
        <w:t>Lugar:</w:t>
      </w:r>
      <w:r>
        <w:t xml:space="preserve"> Mahābhārata 13.24.70, edición crítica de Pune</w:t>
      </w:r>
      <w:r>
        <w:br/>
      </w:r>
      <w:r>
        <w:rPr>
          <w:b/>
        </w:rPr>
        <w:t>Tal como está en la fuente:</w:t>
      </w:r>
      <w:r>
        <w:t xml:space="preserve"> vedavikrayiṇaś caiva vedānāṃ caiva dūṣakāḥ / vedānāṃ lekhakāś caiva te vai nirayagāminaḥ</w:t>
      </w:r>
      <w:r>
        <w:t>.</w:t>
      </w:r>
    </w:p>
    <w:p>
      <w:r>
        <w:t>[07.00-21.1 y 21.2, corregido: César no habla de reverencia, sino de esas dos razones; 01.00-13.2 y 13.3]</w:t>
      </w:r>
    </w:p>
    <w:p>
      <w:r>
        <w:rPr>
          <w:b/>
        </w:rPr>
        <w:t>Se escribió en latín.</w:t>
      </w:r>
      <w:r>
        <w:t xml:space="preserve"> La ley natural europea tuvo tratados enteros. Domingo de Soto publicó en Salamanca, en 1553, </w:t>
      </w:r>
      <w:r>
        <w:rPr>
          <w:i/>
        </w:rPr>
        <w:t>De iustitia et iure libri decem</w:t>
      </w:r>
      <w:r>
        <w:t xml:space="preserve"> (De la justicia y el derecho, en diez libros); y Francisco Suárez, en Coímbra, en 1612, </w:t>
      </w:r>
      <w:r>
        <w:rPr>
          <w:i/>
        </w:rPr>
        <w:t>Tractatus de legibus ac Deo legislatore, in decem libros distributus</w:t>
      </w:r>
      <w:r>
        <w:t xml:space="preserve"> (Tratado de las leyes y de Dios legislador, en diez libros). Pero estaban en latín, la lengua de clérigos, juristas y universitarios, cuando casi nadie sabía leer. No hizo falta prohibir nada: la propia lengua separaba a quien podía interpretar la ley de quien debía obedecerla. </w:t>
      </w:r>
      <w:r>
        <w:t>[07.00-22.1 a 22.3; 01.00-6.4; las portadas de Soto (1553) y Suárez (1612), leídas el 5-oct]</w:t>
      </w:r>
    </w:p>
    <w:p>
      <w:r>
        <w:rPr>
          <w:b/>
        </w:rPr>
        <w:t>Quedó fuera de las listas.</w:t>
      </w:r>
    </w:p>
    <w:p>
      <w:pPr>
        <w:pStyle w:val="ListBullet"/>
      </w:pPr>
      <w:r>
        <w:rPr>
          <w:b/>
        </w:rPr>
        <w:t>Lo que se cuenta:</w:t>
      </w:r>
      <w:r>
        <w:t xml:space="preserve"> que en el Concilio de Nicea, el año 325, se decidió qué libros entraban en la Biblia y se escondieron los demás.</w:t>
      </w:r>
    </w:p>
    <w:p>
      <w:pPr>
        <w:pStyle w:val="ListBullet"/>
      </w:pPr>
      <w:r>
        <w:rPr>
          <w:b/>
        </w:rPr>
        <w:t>Lo que dicen las fuentes:</w:t>
      </w:r>
      <w:r>
        <w:t xml:space="preserve"> los cánones de Nicea no hablan de ello. La única noticia antigua, de san Jerónimo, dice de oídas que Nicea </w:t>
      </w:r>
      <w:r>
        <w:rPr>
          <w:i/>
        </w:rPr>
        <w:t>incluyó</w:t>
      </w:r>
      <w:r>
        <w:t xml:space="preserve"> el libro de Judit. La leyenda de los libros que caían del altar la difundió Voltaire, riéndose de ella. El canon se fue cerrando entre los años 367 y 419, y para los católicos en Trento (1546). El Libro de Enoc, que la carta de Judas cita, quedó fuera del canon de Occidente. La razón que se dio fue la duda sobre su antigüedad y su autoría (san Agustín), y con el libro se rechazó su relato de los ángeles que se unieron a las mujeres. Y san Agustín, como antes Julio Africano, leyó a los «hijos de Dios» de Génesis 6 como hombres, no como ángeles. La Iglesia etíope lo conservó en ge'ez. Esto también es parte de la verdad que la gran familia humana merece conocer.</w:t>
      </w:r>
    </w:p>
    <w:p>
      <w:r>
        <w:t xml:space="preserve">Las fuentes: los veinte cánones de Nicea (New Advent); san Jerónimo, prólogo a Judit (Patrología de Migne); Voltaire, Diccionario filosófico, «Conciles»; Atanasio, Carta 39 (año 367); Concilio de Cartago de 419, canon 24; Trento, sesión IV, 8 de abril de 1546; san Agustín, La ciudad de Dios XV, 23; Julio Africano, Cronografía, fragmento 2; Tertuliano, De cultu feminarum (Sobre el adorno de las mujeres) I, 3, en la traducción inglesa de la serie Ante-Nicene Fathers; el edicto de Tesalónica, en el Código Teodosiano XVI, 1, 2 (27 de febrero de 380); el Decreto Gelasiano, en la traducción inglesa de la edición de von Dobschütz (1912); R. H. Charles, The Book of Jubilees (El libro de los Jubileos), 1902, introducción; carta de Judas 14-15 y 1 Enoc 1:9. </w:t>
      </w:r>
      <w:r>
        <w:t>[glosario 12, leído en su fuente el 5-oct; Tertuliano y el edicto de Tesalónica, en su archivo del mismo lote, comprobados el 12-oct-2026; el Decreto Gelasiano y Charles, leídos en local el mismo día]</w:t>
      </w:r>
    </w:p>
    <w:p>
      <w:r>
        <w:rPr>
          <w:b/>
        </w:rPr>
        <w:t>Conclusión, lo que arrojan los datos</w:t>
      </w:r>
      <w:r>
        <w:t xml:space="preserve"> (por sus frutos: análisis, no juicio): puestos en orden, los hechos marcan un sendero. Hacia el año 200, Tertuliano defendía el libro de Enoc. Hacia el 220, Julio Africano, que trabajaba para el emperador, leyó a los ángeles del Génesis como hombres. En el 380, la fe de la Iglesia pasó a ser la que mandaba el Imperio. En el 419, el Concilio de Cartago fijó la lista sin Enoc, y san Agustín rechazó su relato de los ángeles. Una lista de libros admitidos y rechazados atribuida a los papas, el Decreto Gelasiano, puso entre los apócrifos «el libro de las hijas de Adán, la Leptogénesis»</w:t>
      </w:r>
      <w:r>
        <w:t xml:space="preserve"> [original: «the book of the daughters of Adam Leptogeneseos apocryphus»]</w:t>
      </w:r>
      <w:r>
        <w:t xml:space="preserve"> (Decreto Gelasiano, en la traducción inglesa de la edición de von Dobschütz, 1912)</w:t>
      </w:r>
      <w:r>
        <w:br/>
      </w:r>
      <w:r>
        <w:rPr>
          <w:b/>
        </w:rPr>
        <w:t>leída en su fuente · Decreto Gelasiano, en la traducción inglesa de la edición de von Dobschütz, 1912</w:t>
      </w:r>
      <w:r>
        <w:br/>
      </w:r>
      <w:r>
        <w:rPr>
          <w:b/>
        </w:rPr>
        <w:t>Archivo leído:</w:t>
      </w:r>
      <w:r>
        <w:t xml:space="preserve"> gel_en.html (ant\canon\gel_en.html) · contraste del archivo de pasajes: ✔</w:t>
      </w:r>
      <w:r>
        <w:br/>
      </w:r>
      <w:r>
        <w:rPr>
          <w:b/>
        </w:rPr>
        <w:t>Lugar:</w:t>
      </w:r>
      <w:r>
        <w:t xml:space="preserve"> Decreto Gelasiano, en la traducción inglesa de la edición de von Dobschütz, 1912</w:t>
      </w:r>
      <w:r>
        <w:br/>
      </w:r>
      <w:r>
        <w:rPr>
          <w:b/>
        </w:rPr>
        <w:t>Tal como está en la fuente:</w:t>
      </w:r>
      <w:r>
        <w:t xml:space="preserve"> the book of the daughters of Adam Leptogeneseos apocryphus</w:t>
      </w:r>
      <w:r>
        <w:t>; el editor de Jubileos, R. H. Charles, ve en ese libro el de los Jubileos, o una obra corta basada en él, y da la fecha de la lista por dudosa</w:t>
      </w:r>
      <w:r>
        <w:t xml:space="preserve"> [original: «This book is identified with Jubilees in the Decree of Gelasius»; «it may not have been applied to the entire Book of Jubilees but to a short work based on Jubilees»; «the date of which is doubtful»]</w:t>
      </w:r>
      <w:r>
        <w:t xml:space="preserve"> (R. H. Charles, The Book of Jubilees or the Little Genesis (El libro de los Jubileos o el Pequeño Génesis), 1902, introducción)</w:t>
      </w:r>
      <w:r>
        <w:t>. En Occidente, a medida que la Iglesia se unía al poder imperial, esos libros pasaron de leerse a reinterpretarse, después a quedar fuera de la lista y por último a contarse entre los apócrifos. Mientras, la Iglesia etíope los conservó. Es la dirección que marcan los hechos, no un juicio sobre la intención de nadie. Y tiene su pata coja: el canon común conserva el aviso de los ángeles caídos (Judas 6 y 2 Pedro 2:4) y los textos que más deslegitiman a los reyes (1 Sam 8), y el primer descarte de Enoc no lo hizo ningún emperador, sino las Escrituras judías, como recoge Tertuliano.</w:t>
      </w:r>
    </w:p>
    <w:p>
      <w:r>
        <w:rPr>
          <w:b/>
        </w:rPr>
        <w:t>Lectura del autor:</w:t>
      </w:r>
      <w:r>
        <w:t xml:space="preserve"> el libro que contaba la caída de los ángeles, y otro que unía el origen de los reinos y de la guerra a espíritus malignos (Jubileos 11), quedaron fuera del canon de Occidente, y se decidió dentro de una Iglesia ligada al poder imperial. Para el autor es una casualidad demasiado conveniente: quien quedaba señalado por esos textos fue quien decidió sobre ellos, y nadie debe ser juez en su propia causa. Aun así, el aviso no se borró del todo: «á los ángeles que no guardaron su dignidad […] los ha reservado […] hasta el juicio del gran día»</w:t>
      </w:r>
      <w:r>
        <w:t xml:space="preserve"> (Jud 6)</w:t>
      </w:r>
      <w:r>
        <w:br/>
      </w:r>
      <w:r>
        <w:rPr>
          <w:b/>
        </w:rPr>
        <w:t>leída en su fuente · Jud 6</w:t>
      </w:r>
      <w:r>
        <w:br/>
      </w:r>
      <w:r>
        <w:rPr>
          <w:b/>
        </w:rPr>
        <w:t>Archivo leído:</w:t>
      </w:r>
      <w:r>
        <w:t xml:space="preserve"> jud6.html (ant\canon\jud6.html) · contraste del archivo de pasajes: ✔</w:t>
      </w:r>
      <w:r>
        <w:br/>
      </w:r>
      <w:r>
        <w:rPr>
          <w:b/>
        </w:rPr>
        <w:t>Lugar:</w:t>
      </w:r>
      <w:r>
        <w:t xml:space="preserve"> Jud 6</w:t>
      </w:r>
      <w:r>
        <w:br/>
      </w:r>
      <w:r>
        <w:rPr>
          <w:b/>
        </w:rPr>
        <w:t>Tal como está en la fuente:</w:t>
      </w:r>
      <w:r>
        <w:t xml:space="preserve"> á los ángeles que no guardaron su dignidad […] los ha reservado […] hasta el juicio del gran día</w:t>
      </w:r>
      <w:r>
        <w:t>.</w:t>
      </w:r>
    </w:p>
    <w:p>
      <w:r>
        <w:t>[glosario 12, texto y lectura aprobados por Kiko el 5-oct; lo de los ángeles se desarrolla en 4.3]</w:t>
      </w:r>
    </w:p>
    <w:p>
      <w:pPr>
        <w:pStyle w:val="Heading2"/>
      </w:pPr>
      <w:r>
        <w:t>3.6 El hilo del Arca: servir</w:t>
      </w:r>
    </w:p>
    <w:p>
      <w:pPr>
        <w:pBdr>
          <w:left w:val="single" w:sz="24" w:space="6" w:color="E2DED6"/>
        </w:pBdr>
        <w:shd w:val="clear" w:color="auto" w:fill="F1EEE8"/>
        <w:spacing w:before="80" w:after="160"/>
        <w:ind w:left="142" w:right="142"/>
      </w:pPr>
      <w:r>
        <w:rPr>
          <w:b/>
        </w:rPr>
        <w:t>La idea: los nueve principios del Arca dicen lo mismo de nueve maneras: hemos venido a servir. El que manda sirve, quien sirve no pierde, y lo que no sirve se separa.</w:t>
      </w:r>
    </w:p>
    <w:p>
      <w:r>
        <w:rPr>
          <w:b/>
        </w:rPr>
        <w:t>El relato, con sus textos:</w:t>
      </w:r>
    </w:p>
    <w:p>
      <w:pPr>
        <w:spacing w:after="60"/>
        <w:ind w:left="510" w:hanging="397"/>
      </w:pPr>
      <w:r>
        <w:rPr>
          <w:b w:val="0"/>
        </w:rPr>
        <w:t xml:space="preserve">1. </w:t>
      </w:r>
      <w:r>
        <w:rPr>
          <w:b/>
        </w:rPr>
        <w:t>Para qué estamos: para servir y guardar.</w:t>
      </w:r>
      <w:r>
        <w:t xml:space="preserve"> Dios puso al hombre en el huerto «para que lo labrara y lo guardase»</w:t>
      </w:r>
      <w:r>
        <w:t xml:space="preserve"> [original: «לְעָבְדָהּ וּלְשָׁמְרָהּ»]</w:t>
      </w:r>
      <w:r>
        <w:t xml:space="preserve"> (Gn 2:15)</w:t>
      </w:r>
      <w:r>
        <w:br/>
      </w:r>
      <w:r>
        <w:rPr>
          <w:b/>
        </w:rPr>
        <w:t>leída en su fuente · Gn 2:15</w:t>
      </w:r>
      <w:r>
        <w:br/>
      </w:r>
      <w:r>
        <w:rPr>
          <w:b/>
        </w:rPr>
        <w:t>Original donde está:</w:t>
      </w:r>
      <w:r>
        <w:t xml:space="preserve"> hebreo_oshb_Gen.xml</w:t>
      </w:r>
      <w:r>
        <w:br/>
      </w:r>
      <w:r>
        <w:t>El pasaje literal no está en el archivo de pasajes con este comienzo; la auditoría lo halló en ese original.</w:t>
      </w:r>
      <w:r>
        <w:t>. En hebreo, el verbo de labrar es el mismo de servir a Dios: «escogeos hoy á quién sirváis […] que yo y mi casa serviremos á Jehová»</w:t>
      </w:r>
      <w:r>
        <w:t xml:space="preserve"> [original: «וְאָנֹכִי וּבֵיתִי נַעֲבֹד אֶת־יְהוָה»]</w:t>
      </w:r>
      <w:r>
        <w:t xml:space="preserve"> (Jos 24:15)</w:t>
      </w:r>
      <w:r>
        <w:br/>
      </w:r>
      <w:r>
        <w:rPr>
          <w:b/>
        </w:rPr>
        <w:t>leída en su fuente · Jos 24:15</w:t>
      </w:r>
      <w:r>
        <w:br/>
      </w:r>
      <w:r>
        <w:rPr>
          <w:b/>
        </w:rPr>
        <w:t>Original donde está:</w:t>
      </w:r>
      <w:r>
        <w:t xml:space="preserve"> jos24_15_wlc.html</w:t>
      </w:r>
      <w:r>
        <w:br/>
      </w:r>
      <w:r>
        <w:t>El pasaje literal no está en el archivo de pasajes con este comienzo; la auditoría lo halló en ese original.</w:t>
      </w:r>
      <w:r>
        <w:t>. Y cada uno elige a quién sirve.</w:t>
      </w:r>
    </w:p>
    <w:p>
      <w:pPr>
        <w:spacing w:after="60"/>
        <w:ind w:left="510" w:hanging="397"/>
      </w:pPr>
      <w:r>
        <w:rPr>
          <w:b w:val="0"/>
        </w:rPr>
        <w:t xml:space="preserve">2. </w:t>
      </w:r>
      <w:r>
        <w:rPr>
          <w:b/>
        </w:rPr>
        <w:t>El mayor es el que sirve.</w:t>
      </w:r>
      <w:r>
        <w:t xml:space="preserve"> Ya se vio que «el que quisiere entre vosotros hacerse grande, será vuestro servidor» (</w:t>
      </w:r>
      <w:r>
        <w:t>3.2</w:t>
      </w:r>
      <w:r>
        <w:t>); y sigue: «Como el Hijo del hombre no vino para ser servido, sino para servir»</w:t>
      </w:r>
      <w:r>
        <w:t xml:space="preserve"> [original: «οὐκ ἦλθεν διακονηθῆναι ἀλλὰ διακονῆσαι»]</w:t>
      </w:r>
      <w:r>
        <w:t xml:space="preserve"> (Mt 20:28)</w:t>
      </w:r>
      <w:r>
        <w:br/>
      </w:r>
      <w:r>
        <w:rPr>
          <w:b/>
        </w:rPr>
        <w:t>leída en su fuente · Mt 20:28</w:t>
      </w:r>
      <w:r>
        <w:br/>
      </w:r>
      <w:r>
        <w:rPr>
          <w:b/>
        </w:rPr>
        <w:t>Archivo leído:</w:t>
      </w:r>
      <w:r>
        <w:t xml:space="preserve"> spaRV1909_texto_corrido.txt (biblia_rv1909\spaRV1909_texto_corrido.txt) · contraste del archivo de pasajes: ✔</w:t>
      </w:r>
      <w:r>
        <w:br/>
      </w:r>
      <w:r>
        <w:rPr>
          <w:b/>
        </w:rPr>
        <w:t>Lugar:</w:t>
      </w:r>
      <w:r>
        <w:t xml:space="preserve"> Mt 20:28</w:t>
      </w:r>
      <w:r>
        <w:br/>
      </w:r>
      <w:r>
        <w:rPr>
          <w:b/>
        </w:rPr>
        <w:t>Tal como está en la fuente:</w:t>
      </w:r>
      <w:r>
        <w:t xml:space="preserve"> Como el Hijo del hombre no vino para ser servido, sino para servir</w:t>
      </w:r>
      <w:r>
        <w:t>. En China, sin contacto documentado con Israel: «los ríos y los mares pueden ser reyes de los cien valles porque saben ponerse por debajo de ellos […]; quien quiere estar por encima del pueblo debe ponerse por debajo en sus palabras; quien quiere ir delante del pueblo debe ponerse detrás»</w:t>
      </w:r>
      <w:r>
        <w:t xml:space="preserve"> [original: «江海所以能為百谷王者，以其善下之，故能為百谷王。是以欲上民，必以言下之。欲先民，必以身後之。»]</w:t>
      </w:r>
      <w:r>
        <w:t xml:space="preserve"> (Daodejing 66)</w:t>
      </w:r>
      <w:r>
        <w:br/>
      </w:r>
      <w:r>
        <w:rPr>
          <w:b/>
        </w:rPr>
        <w:t>leída en su fuente · Daodejing 66</w:t>
      </w:r>
      <w:r>
        <w:br/>
      </w:r>
      <w:r>
        <w:rPr>
          <w:b/>
        </w:rPr>
        <w:t>Original donde está:</w:t>
      </w:r>
      <w:r>
        <w:t xml:space="preserve"> 07.00-20.3_Daodejing_Wang_Bi_zhwikisource.html</w:t>
      </w:r>
      <w:r>
        <w:br/>
      </w:r>
      <w:r>
        <w:t>El pasaje literal no está en el archivo de pasajes con este comienzo; la auditoría lo halló en ese original.</w:t>
      </w:r>
      <w:r>
        <w:t>.</w:t>
      </w:r>
    </w:p>
    <w:p>
      <w:pPr>
        <w:spacing w:after="60"/>
        <w:ind w:left="510" w:hanging="397"/>
      </w:pPr>
      <w:r>
        <w:rPr>
          <w:b w:val="0"/>
        </w:rPr>
        <w:t xml:space="preserve">3. </w:t>
      </w:r>
      <w:r>
        <w:rPr>
          <w:b/>
        </w:rPr>
        <w:t>Quien sirve no pierde.</w:t>
      </w:r>
      <w:r>
        <w:t xml:space="preserve"> </w:t>
      </w:r>
    </w:p>
    <w:p>
      <w:pPr>
        <w:pStyle w:val="ListBullet2"/>
      </w:pPr>
      <w:r>
        <w:t>China: «el sabio no acumula: cuanto más hace por los demás, más tiene; cuanto más da a los demás, más abunda. El camino del cielo es beneficiar y no dañar»</w:t>
      </w:r>
      <w:r>
        <w:t xml:space="preserve"> [original: «聖人不積，既以為人己愈有，既以與人己愈多。天之道，利而不害»]</w:t>
      </w:r>
      <w:r>
        <w:t xml:space="preserve"> (Daodejing 81)</w:t>
      </w:r>
      <w:r>
        <w:br/>
      </w:r>
      <w:r>
        <w:rPr>
          <w:b/>
        </w:rPr>
        <w:t>pasaje guardado · Daodejing 81</w:t>
      </w:r>
      <w:r>
        <w:br/>
      </w:r>
      <w:r>
        <w:rPr>
          <w:b/>
        </w:rPr>
        <w:t>Original donde está:</w:t>
      </w:r>
      <w:r>
        <w:t xml:space="preserve"> reparacion_citas/zhwikisource_Daodejing_WangBi.txt</w:t>
      </w:r>
      <w:r>
        <w:br/>
      </w:r>
      <w:r>
        <w:t>El pasaje literal no está en el archivo de pasajes con este comienzo; la auditoría lo halló en ese original.</w:t>
      </w:r>
      <w:r>
        <w:t>;</w:t>
      </w:r>
    </w:p>
    <w:p>
      <w:pPr>
        <w:pStyle w:val="ListBullet2"/>
      </w:pPr>
      <w:r>
        <w:t>la India: hay que obrar «mirando también por el bien del mundo»</w:t>
      </w:r>
      <w:r>
        <w:t xml:space="preserve"> [original: «loka-saṃgraham evāpi saṃpaśyan kartum arhasi»]</w:t>
      </w:r>
      <w:r>
        <w:t xml:space="preserve"> (Bhagavad Gita 3.20)</w:t>
      </w:r>
      <w:r>
        <w:br/>
      </w:r>
      <w:r>
        <w:rPr>
          <w:b/>
        </w:rPr>
        <w:t>leída en su fuente · Bhagavad Gita 3.20</w:t>
      </w:r>
      <w:r>
        <w:br/>
      </w:r>
      <w:r>
        <w:rPr>
          <w:b/>
        </w:rPr>
        <w:t>Archivo leído:</w:t>
      </w:r>
      <w:r>
        <w:t xml:space="preserve"> bg_sanscrito_gretil_comm.txt (c4\bg_sanscrito_gretil_comm.txt) · contraste del archivo de pasajes: ✔</w:t>
      </w:r>
      <w:r>
        <w:br/>
      </w:r>
      <w:r>
        <w:rPr>
          <w:b/>
        </w:rPr>
        <w:t>Lugar:</w:t>
      </w:r>
      <w:r>
        <w:t xml:space="preserve"> Bhagavad Gita 3.20</w:t>
      </w:r>
      <w:r>
        <w:br/>
      </w:r>
      <w:r>
        <w:rPr>
          <w:b/>
        </w:rPr>
        <w:t>Tal como está en la fuente:</w:t>
      </w:r>
      <w:r>
        <w:t xml:space="preserve"> loka-saṃgraham evāpi saṃpaśyan kartum arhasi</w:t>
      </w:r>
      <w:r>
        <w:t>; y el Buda envía a sus monjes «por el bien de muchos, por la felicidad de muchos, por compasión del mundo»</w:t>
      </w:r>
      <w:r>
        <w:t xml:space="preserve"> [original: «Caratha, bhikkhave, cārikaṁ bahujanahitāya bahujanasukhāya lokānukampāya»]</w:t>
      </w:r>
      <w:r>
        <w:t xml:space="preserve"> (Vinaya, Mahāvagga 1.11)</w:t>
      </w:r>
      <w:r>
        <w:br/>
      </w:r>
      <w:r>
        <w:rPr>
          <w:b/>
        </w:rPr>
        <w:t>leída en su fuente · Vinaya, Mahāvagga 1.11</w:t>
      </w:r>
      <w:r>
        <w:br/>
      </w:r>
      <w:r>
        <w:rPr>
          <w:b/>
        </w:rPr>
        <w:t>Archivo leído:</w:t>
      </w:r>
      <w:r>
        <w:t xml:space="preserve"> suttacentral_vinaya_mahavagga_kd1_brahmali.json (g\costumbre\suttacentral_vinaya_mahavagga_kd1_brahmali.json) · contraste del archivo de pasajes: ✔</w:t>
      </w:r>
      <w:r>
        <w:br/>
      </w:r>
      <w:r>
        <w:rPr>
          <w:b/>
        </w:rPr>
        <w:t>Lugar:</w:t>
      </w:r>
      <w:r>
        <w:t xml:space="preserve"> Vinaya, Mahāvagga 1.11</w:t>
      </w:r>
      <w:r>
        <w:br/>
      </w:r>
      <w:r>
        <w:rPr>
          <w:b/>
        </w:rPr>
        <w:t>Tal como está en la fuente:</w:t>
      </w:r>
      <w:r>
        <w:t xml:space="preserve"> Caratha, bhikkhave, cārikaṁ bahujanahitāya bahujanasukhāya lokānukampāya</w:t>
      </w:r>
      <w:r>
        <w:t>;</w:t>
      </w:r>
    </w:p>
    <w:p>
      <w:pPr>
        <w:pStyle w:val="ListBullet2"/>
      </w:pPr>
      <w:r>
        <w:t>el islam: «Ayudaos unos a otros a practicar la piedad y el temor de Alá, no el pecado y la violación de la ley»</w:t>
      </w:r>
      <w:r>
        <w:t xml:space="preserve"> [original: «وَتَعَاوَنُوا۟ عَلَى ٱلْبِرِّ وَٱلتَّقْوَىٰ ۖ وَلَا تَعَاوَنُوا۟ عَلَى ٱلْإِثْمِ وَٱلْعُدْوَٰنِ»]</w:t>
      </w:r>
      <w:r>
        <w:t xml:space="preserve"> (Corán 5:2, traducción de Julio Cortés)</w:t>
      </w:r>
      <w:r>
        <w:br/>
      </w:r>
      <w:r>
        <w:rPr>
          <w:b/>
        </w:rPr>
        <w:t>leída en su fuente · Corán 5:2,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w:t>
      </w:r>
    </w:p>
    <w:p>
      <w:pPr>
        <w:spacing w:after="60"/>
        <w:ind w:left="510" w:hanging="397"/>
      </w:pPr>
      <w:r>
        <w:rPr>
          <w:b w:val="0"/>
        </w:rPr>
        <w:t xml:space="preserve">4. </w:t>
      </w:r>
      <w:r>
        <w:rPr>
          <w:b/>
        </w:rPr>
        <w:t>Lo que el Arca prohíbe es servirse.</w:t>
      </w:r>
      <w:r>
        <w:t xml:space="preserve"> Los nueve principios (</w:t>
      </w:r>
      <w:r>
        <w:t>3.2</w:t>
      </w:r>
      <w:r>
        <w:t>) y la usura (</w:t>
      </w:r>
      <w:r>
        <w:t>3.3</w:t>
      </w:r>
      <w:r>
        <w:t>) son el mismo mandato visto del revés: el impuesto que empobrece, la pesa falsa, el depósito que no se devuelve, el castigo que se cobra y el préstamo que esclaviza son formas de servirse del otro en lugar de servirle.</w:t>
      </w:r>
    </w:p>
    <w:p>
      <w:pPr>
        <w:spacing w:after="60"/>
        <w:ind w:left="510" w:hanging="397"/>
      </w:pPr>
      <w:r>
        <w:rPr>
          <w:b w:val="0"/>
        </w:rPr>
        <w:t xml:space="preserve">5. </w:t>
      </w:r>
      <w:r>
        <w:rPr>
          <w:b/>
        </w:rPr>
        <w:t>Lo que no sirve se separa.</w:t>
      </w:r>
      <w:r>
        <w:t xml:space="preserve"> «Todo árbol que no lleva buen fruto, córtase y échase en el fuego»</w:t>
      </w:r>
      <w:r>
        <w:t xml:space="preserve"> (Mt 7:19)</w:t>
      </w:r>
      <w:r>
        <w:br/>
      </w:r>
      <w:r>
        <w:rPr>
          <w:b/>
        </w:rPr>
        <w:t>leída en su fuente · Mt 7:19</w:t>
      </w:r>
      <w:r>
        <w:br/>
      </w:r>
      <w:r>
        <w:rPr>
          <w:b/>
        </w:rPr>
        <w:t>Archivo leído:</w:t>
      </w:r>
      <w:r>
        <w:t xml:space="preserve"> spaRV1909_texto_corrido.txt (biblia_rv1909\spaRV1909_texto_corrido.txt) · contraste del archivo de pasajes: ✔</w:t>
      </w:r>
      <w:r>
        <w:br/>
      </w:r>
      <w:r>
        <w:rPr>
          <w:b/>
        </w:rPr>
        <w:t>Lugar:</w:t>
      </w:r>
      <w:r>
        <w:t xml:space="preserve"> Mt 7:19</w:t>
      </w:r>
      <w:r>
        <w:br/>
      </w:r>
      <w:r>
        <w:rPr>
          <w:b/>
        </w:rPr>
        <w:t>Tal como está en la fuente:</w:t>
      </w:r>
      <w:r>
        <w:t xml:space="preserve"> Todo árbol que no lleva buen fruto, córtase y échase en el fuego</w:t>
      </w:r>
      <w:r>
        <w:t>; «allegará su trigo en el alfolí, y quemará la paja»</w:t>
      </w:r>
      <w:r>
        <w:t xml:space="preserve"> (Mt 3:12)</w:t>
      </w:r>
      <w:r>
        <w:br/>
      </w:r>
      <w:r>
        <w:rPr>
          <w:b/>
        </w:rPr>
        <w:t>leída en su fuente · Mt 3:12</w:t>
      </w:r>
      <w:r>
        <w:br/>
      </w:r>
      <w:r>
        <w:rPr>
          <w:b/>
        </w:rPr>
        <w:t>Archivo leído:</w:t>
      </w:r>
      <w:r>
        <w:t xml:space="preserve"> mt_3_12_rva.html (c9a\mt_3_12_rva.html) · contraste del archivo de pasajes: ✔</w:t>
      </w:r>
      <w:r>
        <w:br/>
      </w:r>
      <w:r>
        <w:rPr>
          <w:b/>
        </w:rPr>
        <w:t>Lugar:</w:t>
      </w:r>
      <w:r>
        <w:t xml:space="preserve"> passage-text, v. 12</w:t>
      </w:r>
      <w:r>
        <w:br/>
      </w:r>
      <w:r>
        <w:rPr>
          <w:b/>
        </w:rPr>
        <w:t>Dirección:</w:t>
      </w:r>
      <w:r>
        <w:t xml:space="preserve"> </w:t>
      </w:r>
      <w:r>
        <w:t>https://www.biblegateway.com/passage/?search=Matthew+3%3A12&amp;version=RVA</w:t>
      </w:r>
      <w:r>
        <w:br/>
      </w:r>
      <w:r>
        <w:rPr>
          <w:b/>
        </w:rPr>
        <w:t>Tal como está en la fuente:</w:t>
      </w:r>
      <w:r>
        <w:t xml:space="preserve"> Su aventador en su mano está, y aventará su era: y allegará su trigo en el alfolí, y quemará la paja en fuego que nunca se apagará.</w:t>
      </w:r>
      <w:r>
        <w:t>.</w:t>
      </w:r>
    </w:p>
    <w:p>
      <w:pPr>
        <w:spacing w:after="60"/>
        <w:ind w:left="510" w:hanging="397"/>
      </w:pPr>
      <w:r>
        <w:rPr>
          <w:b w:val="0"/>
        </w:rPr>
        <w:t xml:space="preserve">6. </w:t>
      </w:r>
      <w:r>
        <w:rPr>
          <w:b/>
        </w:rPr>
        <w:t>Servir o servirse se aprende repitiendo:</w:t>
      </w:r>
      <w:r>
        <w:t xml:space="preserve"> lo que se hace una y otra vez forma a quien lo hace (se verá en </w:t>
      </w:r>
      <w:r>
        <w:t>4.4</w:t>
      </w:r>
      <w:r>
        <w:t>).</w:t>
      </w:r>
    </w:p>
    <w:p>
      <w:pPr>
        <w:spacing w:after="60"/>
        <w:ind w:left="510" w:hanging="397"/>
      </w:pPr>
      <w:r>
        <w:rPr>
          <w:b w:val="0"/>
        </w:rPr>
        <w:t xml:space="preserve">7. </w:t>
      </w:r>
      <w:r>
        <w:rPr>
          <w:b/>
        </w:rPr>
        <w:t>Hay que abrir los ojos.</w:t>
      </w:r>
      <w:r>
        <w:t xml:space="preserve"> «Mas bienaventurados vuestros ojos, porque ven; y vuestros oídos, porque oyen»</w:t>
      </w:r>
      <w:r>
        <w:t xml:space="preserve"> (Mt 13:16)</w:t>
      </w:r>
      <w:r>
        <w:br/>
      </w:r>
      <w:r>
        <w:rPr>
          <w:b/>
        </w:rPr>
        <w:t>leída en su fuente · Mt 13:16</w:t>
      </w:r>
      <w:r>
        <w:br/>
      </w:r>
      <w:r>
        <w:rPr>
          <w:b/>
        </w:rPr>
        <w:t>Original donde está:</w:t>
      </w:r>
      <w:r>
        <w:t xml:space="preserve"> rva.txt</w:t>
      </w:r>
      <w:r>
        <w:br/>
      </w:r>
      <w:r>
        <w:t>El pasaje literal no está en el archivo de pasajes con este comienzo; la auditoría lo halló en ese original.</w:t>
      </w:r>
      <w:r>
        <w:t>.</w:t>
      </w:r>
    </w:p>
    <w:p>
      <w:r>
        <w:rPr>
          <w:b/>
        </w:rPr>
        <w:t>La pata coja.</w:t>
      </w:r>
      <w:r>
        <w:t xml:space="preserve"> Lo contrario también está escrito: «pueblo débil, Estado fuerte» (</w:t>
      </w:r>
      <w:r>
        <w:t>3.2</w:t>
      </w:r>
      <w:r>
        <w:t>). Y casi siempre lo escribió quien mandaba (</w:t>
      </w:r>
      <w:r>
        <w:t>3.4</w:t>
      </w:r>
      <w:r>
        <w:t>).</w:t>
      </w:r>
    </w:p>
    <w:p>
      <w:r>
        <w:t>[archivo del Arca, «El hilo del Arca: servir», leído por Claude el 5-oct; propuesta de Kiko del 5-oct]</w:t>
      </w:r>
    </w:p>
    <w:p>
      <w:r>
        <w:rPr>
          <w:b/>
        </w:rPr>
        <w:t>Conclusión, lo que arrojan los datos:</w:t>
      </w:r>
      <w:r>
        <w:t xml:space="preserve"> Israel y el cristianismo, China, la India (la Gita y el budismo) y el islam coinciden: el ser humano está para servir y guardar, el que manda sirve y quien sirve no pierde. Entre Israel, China y la India no hay contacto documentado. Y lo que el Arca prohíbe es siempre lo contrario: servirse del otro.</w:t>
      </w:r>
    </w:p>
    <w:p>
      <w:r>
        <w:rPr>
          <w:b/>
        </w:rPr>
        <w:t>Lectura del autor:</w:t>
      </w:r>
      <w:r>
        <w:t xml:space="preserve"> hemos venido a servir. Separar el grano de la paja es distinguir lo que sirve de lo que no sirve, y esa vara vale para todo: para las leyes, para las instituciones y para uno mismo. </w:t>
      </w:r>
      <w:r>
        <w:rPr>
          <w:b/>
        </w:rPr>
        <w:t>Hay que abrir los ojos y empezar a distinguir. Ante cada ley, cada institución y cada acto, una sola pregunta: ¿sirve, o se sirve?</w:t>
      </w:r>
    </w:p>
    <w:p>
      <w:pPr>
        <w:pStyle w:val="Heading2"/>
      </w:pPr>
      <w:r>
        <w:t>3.7 Arqueología en busca de las reglas del juego de la vida</w:t>
      </w:r>
    </w:p>
    <w:p>
      <w:pPr>
        <w:pBdr>
          <w:left w:val="single" w:sz="24" w:space="6" w:color="E2DED6"/>
        </w:pBdr>
        <w:shd w:val="clear" w:color="auto" w:fill="F1EEE8"/>
        <w:spacing w:before="80" w:after="160"/>
        <w:ind w:left="142" w:right="142"/>
      </w:pPr>
      <w:r>
        <w:rPr>
          <w:b/>
        </w:rPr>
        <w:t>La idea: doce tradiciones cuentan que se recibió una ley, una enseñanza o una sabiduría para vivir; nueve, que se perdió o que muchos se apartan de ella; y diez, que hay un camino de vuelta, que es volver a lo recibido.</w:t>
      </w:r>
    </w:p>
    <w:p>
      <w:r>
        <w:t>El autor llama a esto las reglas del juego de la vida, y pidió buscarlas como se busca en arqueología: texto a texto, en su original, sin dar por hecho lo que dicen. Se leyeron doce tradiciones con la misma pregunta en tres partes: qué se dio, qué se perdió y por dónde se vuelve. Todos los pasajes, tradición por tradición y cada uno con su fuente, están en F.9.</w:t>
      </w:r>
    </w:p>
    <w:p>
      <w:r>
        <w:rPr>
          <w:b/>
        </w:rPr>
        <w:t>El patrón, en tres tiempos.</w:t>
      </w:r>
    </w:p>
    <w:p>
      <w:pPr>
        <w:spacing w:after="60"/>
        <w:ind w:left="510" w:hanging="397"/>
      </w:pPr>
      <w:r>
        <w:rPr>
          <w:b w:val="0"/>
        </w:rPr>
        <w:t xml:space="preserve">1. </w:t>
      </w:r>
      <w:r>
        <w:rPr>
          <w:b/>
        </w:rPr>
        <w:t>Se dio.</w:t>
      </w:r>
      <w:r>
        <w:t xml:space="preserve"> Algo para vivir que no inventó el que lo recibe: un mandamiento que no está lejos, sino en la boca y en el corazón (Dt 30:11-14); la instrucción que el padre repite a sus hijos (Ptahhotep); el derecho y la justicia, dados a todos (Hesíodo; Platón).</w:t>
      </w:r>
    </w:p>
    <w:p>
      <w:pPr>
        <w:spacing w:after="60"/>
        <w:ind w:left="510" w:hanging="397"/>
      </w:pPr>
      <w:r>
        <w:rPr>
          <w:b w:val="0"/>
        </w:rPr>
        <w:t xml:space="preserve">2. </w:t>
      </w:r>
      <w:r>
        <w:rPr>
          <w:b/>
        </w:rPr>
        <w:t>Se perdió.</w:t>
      </w:r>
      <w:r>
        <w:t xml:space="preserve"> Con el largo tiempo (la Bhagavad Gita), por olvido (el Corán; Platón), cuando dejó de observarse el camino (el Daodejing), o porque se empañó la vista (el Popol Vuh).</w:t>
      </w:r>
    </w:p>
    <w:p>
      <w:pPr>
        <w:spacing w:after="60"/>
        <w:ind w:left="510" w:hanging="397"/>
      </w:pPr>
      <w:r>
        <w:rPr>
          <w:b w:val="0"/>
        </w:rPr>
        <w:t xml:space="preserve">3. </w:t>
      </w:r>
      <w:r>
        <w:rPr>
          <w:b/>
        </w:rPr>
        <w:t>Se vuelve.</w:t>
      </w:r>
      <w:r>
        <w:t xml:space="preserve"> Preguntando por las sendas antiguas y andando por ellas (Jer 6:16), siguiendo la dirección recibida (el Corán), buscando lo perdido (Mencio) o volviendo a decir la enseñanza antigua (la Bhagavad Gita).</w:t>
      </w:r>
    </w:p>
    <w:p>
      <w:r>
        <w:rPr>
          <w:b/>
        </w:rPr>
        <w:t>Las doce, en una tabla.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Tradición</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dio</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perdió</w:t>
            </w:r>
          </w:p>
        </w:tc>
        <w:tc>
          <w:tcPr>
            <w:tcW w:type="dxa" w:w="2296"/>
            <w:shd w:val="clear" w:color="auto" w:fill="F1EEE8"/>
          </w:tcPr>
          <w:p>
            <w:pPr>
              <w:spacing w:after="20" w:line="264" w:lineRule="auto"/>
            </w:pPr>
            <w:r>
              <w:rPr>
                <w:b/>
              </w:rPr>
            </w:r>
            <w:r>
              <w:rPr>
                <w:rFonts w:ascii="Segoe UI" w:hAnsi="Segoe UI" w:eastAsia="Segoe UI" w:cs="Segoe UI"/>
                <w:b/>
                <w:color w:val="1F1D1A"/>
                <w:sz w:val="18"/>
              </w:rPr>
              <w:t>El camino de vuelta</w:t>
            </w:r>
          </w:p>
        </w:tc>
      </w:tr>
      <w:tr>
        <w:tc>
          <w:tcPr>
            <w:tcW w:type="dxa" w:w="2296"/>
          </w:tcPr>
          <w:p>
            <w:pPr>
              <w:spacing w:after="20" w:line="264" w:lineRule="auto"/>
            </w:pPr>
            <w:r/>
            <w:r>
              <w:rPr>
                <w:rFonts w:ascii="Segoe UI" w:hAnsi="Segoe UI" w:eastAsia="Segoe UI" w:cs="Segoe UI"/>
                <w:color w:val="1F1D1A"/>
                <w:sz w:val="18"/>
              </w:rPr>
              <w:t>La Biblia hebrea</w:t>
            </w:r>
          </w:p>
        </w:tc>
        <w:tc>
          <w:tcPr>
            <w:tcW w:type="dxa" w:w="2296"/>
          </w:tcPr>
          <w:p>
            <w:pPr>
              <w:spacing w:after="20" w:line="264" w:lineRule="auto"/>
            </w:pPr>
            <w:r/>
            <w:r>
              <w:rPr>
                <w:rFonts w:ascii="Segoe UI" w:hAnsi="Segoe UI" w:eastAsia="Segoe UI" w:cs="Segoe UI"/>
                <w:color w:val="1F1D1A"/>
                <w:sz w:val="18"/>
              </w:rPr>
              <w:t>Un mandamiento que no está lejos, sino en la boca y en el corazón (Dt 30:11-14); hacer juicio, amar misericordia y humillarse para andar con Dios (Mi 6:8)</w:t>
            </w:r>
          </w:p>
        </w:tc>
        <w:tc>
          <w:tcPr>
            <w:tcW w:type="dxa" w:w="2296"/>
          </w:tcPr>
          <w:p>
            <w:pPr>
              <w:spacing w:after="20" w:line="264" w:lineRule="auto"/>
            </w:pPr>
            <w:r/>
            <w:r>
              <w:rPr>
                <w:rFonts w:ascii="Segoe UI" w:hAnsi="Segoe UI" w:eastAsia="Segoe UI" w:cs="Segoe UI"/>
                <w:color w:val="1F1D1A"/>
                <w:sz w:val="18"/>
              </w:rPr>
              <w:t>El camino del árbol de la vida queda guardado (Gn 3:24), y ante las sendas antiguas el pueblo dice que no andará por ellas (Jer 6:16)</w:t>
            </w:r>
          </w:p>
        </w:tc>
        <w:tc>
          <w:tcPr>
            <w:tcW w:type="dxa" w:w="2296"/>
          </w:tcPr>
          <w:p>
            <w:pPr>
              <w:spacing w:after="20" w:line="264" w:lineRule="auto"/>
            </w:pPr>
            <w:r/>
            <w:r>
              <w:rPr>
                <w:rFonts w:ascii="Segoe UI" w:hAnsi="Segoe UI" w:eastAsia="Segoe UI" w:cs="Segoe UI"/>
                <w:color w:val="1F1D1A"/>
                <w:sz w:val="18"/>
              </w:rPr>
              <w:t>Escoger la vida (Dt 30:19) y andar por las sendas antiguas (Jer 6:16)</w:t>
            </w:r>
          </w:p>
        </w:tc>
      </w:tr>
      <w:tr>
        <w:tc>
          <w:tcPr>
            <w:tcW w:type="dxa" w:w="2296"/>
          </w:tcPr>
          <w:p>
            <w:pPr>
              <w:spacing w:after="20" w:line="264" w:lineRule="auto"/>
            </w:pPr>
            <w:r/>
            <w:r>
              <w:rPr>
                <w:rFonts w:ascii="Segoe UI" w:hAnsi="Segoe UI" w:eastAsia="Segoe UI" w:cs="Segoe UI"/>
                <w:color w:val="1F1D1A"/>
                <w:sz w:val="18"/>
              </w:rPr>
              <w:t>El Nuevo Testamento</w:t>
            </w:r>
          </w:p>
        </w:tc>
        <w:tc>
          <w:tcPr>
            <w:tcW w:type="dxa" w:w="2296"/>
          </w:tcPr>
          <w:p>
            <w:pPr>
              <w:spacing w:after="20" w:line="264" w:lineRule="auto"/>
            </w:pPr>
            <w:r/>
            <w:r>
              <w:rPr>
                <w:rFonts w:ascii="Segoe UI" w:hAnsi="Segoe UI" w:eastAsia="Segoe UI" w:cs="Segoe UI"/>
                <w:color w:val="1F1D1A"/>
                <w:sz w:val="18"/>
              </w:rPr>
              <w:t>Amar a Dios y al prójimo: de esos dos mandamientos depende toda la ley (Mt 22:37-40)</w:t>
            </w:r>
          </w:p>
        </w:tc>
        <w:tc>
          <w:tcPr>
            <w:tcW w:type="dxa" w:w="2296"/>
          </w:tcPr>
          <w:p>
            <w:pPr>
              <w:spacing w:after="20" w:line="264" w:lineRule="auto"/>
            </w:pPr>
            <w:r/>
            <w:r>
              <w:rPr>
                <w:rFonts w:ascii="Segoe UI" w:hAnsi="Segoe UI" w:eastAsia="Segoe UI" w:cs="Segoe UI"/>
                <w:color w:val="1F1D1A"/>
                <w:sz w:val="18"/>
              </w:rPr>
              <w:t>La puerta ancha, por la que entran muchos y que lleva a la perdición (Mt 7:13)</w:t>
            </w:r>
          </w:p>
        </w:tc>
        <w:tc>
          <w:tcPr>
            <w:tcW w:type="dxa" w:w="2296"/>
          </w:tcPr>
          <w:p>
            <w:pPr>
              <w:spacing w:after="20" w:line="264" w:lineRule="auto"/>
            </w:pPr>
            <w:r/>
            <w:r>
              <w:rPr>
                <w:rFonts w:ascii="Segoe UI" w:hAnsi="Segoe UI" w:eastAsia="Segoe UI" w:cs="Segoe UI"/>
                <w:color w:val="1F1D1A"/>
                <w:sz w:val="18"/>
              </w:rPr>
              <w:t>La puerta estrecha (Mt 7:14), volverse como niños (Mt 18:3) y guardar sus mandamientos para llegar al árbol de la vida (Ap 22:14)</w:t>
            </w:r>
          </w:p>
        </w:tc>
      </w:tr>
      <w:tr>
        <w:tc>
          <w:tcPr>
            <w:tcW w:type="dxa" w:w="2296"/>
          </w:tcPr>
          <w:p>
            <w:pPr>
              <w:spacing w:after="20" w:line="264" w:lineRule="auto"/>
            </w:pPr>
            <w:r/>
            <w:r>
              <w:rPr>
                <w:rFonts w:ascii="Segoe UI" w:hAnsi="Segoe UI" w:eastAsia="Segoe UI" w:cs="Segoe UI"/>
                <w:color w:val="1F1D1A"/>
                <w:sz w:val="18"/>
              </w:rPr>
              <w:t>La tradición rabínica</w:t>
            </w:r>
          </w:p>
        </w:tc>
        <w:tc>
          <w:tcPr>
            <w:tcW w:type="dxa" w:w="2296"/>
          </w:tcPr>
          <w:p>
            <w:pPr>
              <w:spacing w:after="20" w:line="264" w:lineRule="auto"/>
            </w:pPr>
            <w:r/>
            <w:r>
              <w:rPr>
                <w:rFonts w:ascii="Segoe UI" w:hAnsi="Segoe UI" w:eastAsia="Segoe UI" w:cs="Segoe UI"/>
                <w:color w:val="1F1D1A"/>
                <w:sz w:val="18"/>
              </w:rPr>
              <w:t>La Torá, recibida en el Sinaí y transmitida de unos a otros (Avot 1:1); el mundo se sostiene en la Torá, el culto y las obras de bondad (Avot 1:2)</w:t>
            </w:r>
          </w:p>
        </w:tc>
        <w:tc>
          <w:tcPr>
            <w:tcW w:type="dxa" w:w="2296"/>
          </w:tcPr>
          <w:p>
            <w:pPr>
              <w:spacing w:after="20" w:line="264" w:lineRule="auto"/>
            </w:pPr>
            <w:r/>
            <w:r>
              <w:rPr>
                <w:rFonts w:ascii="Segoe UI" w:hAnsi="Segoe UI" w:eastAsia="Segoe UI" w:cs="Segoe UI"/>
                <w:color w:val="1F1D1A"/>
                <w:sz w:val="18"/>
              </w:rPr>
              <w:t>En lo leído, no se cuenta</w:t>
            </w:r>
          </w:p>
        </w:tc>
        <w:tc>
          <w:tcPr>
            <w:tcW w:type="dxa" w:w="2296"/>
          </w:tcPr>
          <w:p>
            <w:pPr>
              <w:spacing w:after="20" w:line="264" w:lineRule="auto"/>
            </w:pPr>
            <w:r/>
            <w:r>
              <w:rPr>
                <w:rFonts w:ascii="Segoe UI" w:hAnsi="Segoe UI" w:eastAsia="Segoe UI" w:cs="Segoe UI"/>
                <w:color w:val="1F1D1A"/>
                <w:sz w:val="18"/>
              </w:rPr>
              <w:t>Escoger el camino recto (Avot 2:1), saber de dónde se viene y ante quién se dará cuenta (Avot 3:1), y el arrepentimiento, que queda abierto (Génesis Rabbah 21:6, fuente secundaria)</w:t>
            </w:r>
          </w:p>
        </w:tc>
      </w:tr>
      <w:tr>
        <w:tc>
          <w:tcPr>
            <w:tcW w:type="dxa" w:w="2296"/>
          </w:tcPr>
          <w:p>
            <w:pPr>
              <w:spacing w:after="20" w:line="264" w:lineRule="auto"/>
            </w:pPr>
            <w:r/>
            <w:r>
              <w:rPr>
                <w:rFonts w:ascii="Segoe UI" w:hAnsi="Segoe UI" w:eastAsia="Segoe UI" w:cs="Segoe UI"/>
                <w:color w:val="1F1D1A"/>
                <w:sz w:val="18"/>
              </w:rPr>
              <w:t>El islam</w:t>
            </w:r>
          </w:p>
        </w:tc>
        <w:tc>
          <w:tcPr>
            <w:tcW w:type="dxa" w:w="2296"/>
          </w:tcPr>
          <w:p>
            <w:pPr>
              <w:spacing w:after="20" w:line="264" w:lineRule="auto"/>
            </w:pPr>
            <w:r/>
            <w:r>
              <w:rPr>
                <w:rFonts w:ascii="Segoe UI" w:hAnsi="Segoe UI" w:eastAsia="Segoe UI" w:cs="Segoe UI"/>
                <w:color w:val="1F1D1A"/>
                <w:sz w:val="18"/>
              </w:rPr>
              <w:t>Dios enseña a Adán los nombres y hace con él una alianza (Corán 2:31 y 20:115)</w:t>
            </w:r>
          </w:p>
        </w:tc>
        <w:tc>
          <w:tcPr>
            <w:tcW w:type="dxa" w:w="2296"/>
          </w:tcPr>
          <w:p>
            <w:pPr>
              <w:spacing w:after="20" w:line="264" w:lineRule="auto"/>
            </w:pPr>
            <w:r/>
            <w:r>
              <w:rPr>
                <w:rFonts w:ascii="Segoe UI" w:hAnsi="Segoe UI" w:eastAsia="Segoe UI" w:cs="Segoe UI"/>
                <w:color w:val="1F1D1A"/>
                <w:sz w:val="18"/>
              </w:rPr>
              <w:t>Adán olvida, y el Demonio les hace caer (Corán 20:115 y 2:36)</w:t>
            </w:r>
          </w:p>
        </w:tc>
        <w:tc>
          <w:tcPr>
            <w:tcW w:type="dxa" w:w="2296"/>
          </w:tcPr>
          <w:p>
            <w:pPr>
              <w:spacing w:after="20" w:line="264" w:lineRule="auto"/>
            </w:pPr>
            <w:r/>
            <w:r>
              <w:rPr>
                <w:rFonts w:ascii="Segoe UI" w:hAnsi="Segoe UI" w:eastAsia="Segoe UI" w:cs="Segoe UI"/>
                <w:color w:val="1F1D1A"/>
                <w:sz w:val="18"/>
              </w:rPr>
              <w:t>Adán recibe palabras de su Señor (2:37), y quien siga la dirección de Dios no se extraviará (20:123)</w:t>
            </w:r>
          </w:p>
        </w:tc>
      </w:tr>
      <w:tr>
        <w:tc>
          <w:tcPr>
            <w:tcW w:type="dxa" w:w="2296"/>
          </w:tcPr>
          <w:p>
            <w:pPr>
              <w:spacing w:after="20" w:line="264" w:lineRule="auto"/>
            </w:pPr>
            <w:r/>
            <w:r>
              <w:rPr>
                <w:rFonts w:ascii="Segoe UI" w:hAnsi="Segoe UI" w:eastAsia="Segoe UI" w:cs="Segoe UI"/>
                <w:color w:val="1F1D1A"/>
                <w:sz w:val="18"/>
              </w:rPr>
              <w:t>Persia</w:t>
            </w:r>
          </w:p>
        </w:tc>
        <w:tc>
          <w:tcPr>
            <w:tcW w:type="dxa" w:w="2296"/>
          </w:tcPr>
          <w:p>
            <w:pPr>
              <w:spacing w:after="20" w:line="264" w:lineRule="auto"/>
            </w:pPr>
            <w:r/>
            <w:r>
              <w:rPr>
                <w:rFonts w:ascii="Segoe UI" w:hAnsi="Segoe UI" w:eastAsia="Segoe UI" w:cs="Segoe UI"/>
                <w:color w:val="1F1D1A"/>
                <w:sz w:val="18"/>
              </w:rPr>
              <w:t>Ahura Mazda enseña la Religión a Yima, el primer mortal (Vendidad 2:2)</w:t>
            </w:r>
          </w:p>
        </w:tc>
        <w:tc>
          <w:tcPr>
            <w:tcW w:type="dxa" w:w="2296"/>
          </w:tcPr>
          <w:p>
            <w:pPr>
              <w:spacing w:after="20" w:line="264" w:lineRule="auto"/>
            </w:pPr>
            <w:r/>
            <w:r>
              <w:rPr>
                <w:rFonts w:ascii="Segoe UI" w:hAnsi="Segoe UI" w:eastAsia="Segoe UI" w:cs="Segoe UI"/>
                <w:color w:val="1F1D1A"/>
                <w:sz w:val="18"/>
              </w:rPr>
              <w:t>Yima no quiere ser su predicador, y la Religión la lleva un ave al recinto que él hizo (Vendidad 2:3 y 2:42)</w:t>
            </w:r>
          </w:p>
        </w:tc>
        <w:tc>
          <w:tcPr>
            <w:tcW w:type="dxa" w:w="2296"/>
          </w:tcPr>
          <w:p>
            <w:pPr>
              <w:spacing w:after="20" w:line="264" w:lineRule="auto"/>
            </w:pPr>
            <w:r/>
            <w:r>
              <w:rPr>
                <w:rFonts w:ascii="Segoe UI" w:hAnsi="Segoe UI" w:eastAsia="Segoe UI" w:cs="Segoe UI"/>
                <w:color w:val="1F1D1A"/>
                <w:sz w:val="18"/>
              </w:rPr>
              <w:t>Elegir, cada uno por sí mismo, entre los dos espíritus (Yasna 30:2-3), y poner en práctica la palabra (Yasna 45:3)</w:t>
            </w:r>
          </w:p>
        </w:tc>
      </w:tr>
      <w:tr>
        <w:tc>
          <w:tcPr>
            <w:tcW w:type="dxa" w:w="2296"/>
          </w:tcPr>
          <w:p>
            <w:pPr>
              <w:spacing w:after="20" w:line="264" w:lineRule="auto"/>
            </w:pPr>
            <w:r/>
            <w:r>
              <w:rPr>
                <w:rFonts w:ascii="Segoe UI" w:hAnsi="Segoe UI" w:eastAsia="Segoe UI" w:cs="Segoe UI"/>
                <w:color w:val="1F1D1A"/>
                <w:sz w:val="18"/>
              </w:rPr>
              <w:t>La India</w:t>
            </w:r>
          </w:p>
        </w:tc>
        <w:tc>
          <w:tcPr>
            <w:tcW w:type="dxa" w:w="2296"/>
          </w:tcPr>
          <w:p>
            <w:pPr>
              <w:spacing w:after="20" w:line="264" w:lineRule="auto"/>
            </w:pPr>
            <w:r/>
            <w:r>
              <w:rPr>
                <w:rFonts w:ascii="Segoe UI" w:hAnsi="Segoe UI" w:eastAsia="Segoe UI" w:cs="Segoe UI"/>
                <w:color w:val="1F1D1A"/>
                <w:sz w:val="18"/>
              </w:rPr>
              <w:t>Obrar lo debido sin mirar al fruto (Bhagavad Gita 2.47 y 3.19), una enseñanza que conocían los reyes sabios (Gita 4.2)</w:t>
            </w:r>
          </w:p>
        </w:tc>
        <w:tc>
          <w:tcPr>
            <w:tcW w:type="dxa" w:w="2296"/>
          </w:tcPr>
          <w:p>
            <w:pPr>
              <w:spacing w:after="20" w:line="264" w:lineRule="auto"/>
            </w:pPr>
            <w:r/>
            <w:r>
              <w:rPr>
                <w:rFonts w:ascii="Segoe UI" w:hAnsi="Segoe UI" w:eastAsia="Segoe UI" w:cs="Segoe UI"/>
                <w:color w:val="1F1D1A"/>
                <w:sz w:val="18"/>
              </w:rPr>
              <w:t>Con el largo tiempo, se perdió (Gita 4.2)</w:t>
            </w:r>
          </w:p>
        </w:tc>
        <w:tc>
          <w:tcPr>
            <w:tcW w:type="dxa" w:w="2296"/>
          </w:tcPr>
          <w:p>
            <w:pPr>
              <w:spacing w:after="20" w:line="264" w:lineRule="auto"/>
            </w:pPr>
            <w:r/>
            <w:r>
              <w:rPr>
                <w:rFonts w:ascii="Segoe UI" w:hAnsi="Segoe UI" w:eastAsia="Segoe UI" w:cs="Segoe UI"/>
                <w:color w:val="1F1D1A"/>
                <w:sz w:val="18"/>
              </w:rPr>
              <w:t>Se dice de nuevo (Gita 4.3), y siempre que decae el dharma, se restablece, de era en era (Gita 4.7-8)</w:t>
            </w:r>
          </w:p>
        </w:tc>
      </w:tr>
      <w:tr>
        <w:tc>
          <w:tcPr>
            <w:tcW w:type="dxa" w:w="2296"/>
          </w:tcPr>
          <w:p>
            <w:pPr>
              <w:spacing w:after="20" w:line="264" w:lineRule="auto"/>
            </w:pPr>
            <w:r/>
            <w:r>
              <w:rPr>
                <w:rFonts w:ascii="Segoe UI" w:hAnsi="Segoe UI" w:eastAsia="Segoe UI" w:cs="Segoe UI"/>
                <w:color w:val="1F1D1A"/>
                <w:sz w:val="18"/>
              </w:rPr>
              <w:t>El budismo</w:t>
            </w:r>
          </w:p>
        </w:tc>
        <w:tc>
          <w:tcPr>
            <w:tcW w:type="dxa" w:w="2296"/>
          </w:tcPr>
          <w:p>
            <w:pPr>
              <w:spacing w:after="20" w:line="264" w:lineRule="auto"/>
            </w:pPr>
            <w:r/>
            <w:r>
              <w:rPr>
                <w:rFonts w:ascii="Segoe UI" w:hAnsi="Segoe UI" w:eastAsia="Segoe UI" w:cs="Segoe UI"/>
                <w:color w:val="1F1D1A"/>
                <w:sz w:val="18"/>
              </w:rPr>
              <w:t>No hacer el mal, hacer el bien y purificar la mente (Dhammapada 183); lo que se piensa y se hace trae su consecuencia (Dhammapada 1-2)</w:t>
            </w:r>
          </w:p>
        </w:tc>
        <w:tc>
          <w:tcPr>
            <w:tcW w:type="dxa" w:w="2296"/>
          </w:tcPr>
          <w:p>
            <w:pPr>
              <w:spacing w:after="20" w:line="264" w:lineRule="auto"/>
            </w:pPr>
            <w:r/>
            <w:r>
              <w:rPr>
                <w:rFonts w:ascii="Segoe UI" w:hAnsi="Segoe UI" w:eastAsia="Segoe UI" w:cs="Segoe UI"/>
                <w:color w:val="1F1D1A"/>
                <w:sz w:val="18"/>
              </w:rPr>
              <w:t>En lo leído, no se cuenta</w:t>
            </w:r>
          </w:p>
        </w:tc>
        <w:tc>
          <w:tcPr>
            <w:tcW w:type="dxa" w:w="2296"/>
          </w:tcPr>
          <w:p>
            <w:pPr>
              <w:spacing w:after="20" w:line="264" w:lineRule="auto"/>
            </w:pPr>
            <w:r/>
            <w:r>
              <w:rPr>
                <w:rFonts w:ascii="Segoe UI" w:hAnsi="Segoe UI" w:eastAsia="Segoe UI" w:cs="Segoe UI"/>
                <w:color w:val="1F1D1A"/>
                <w:sz w:val="18"/>
              </w:rPr>
              <w:t>El camino que predicó el Buda, con el esfuerzo de cada uno (Dhammapada 274-276)</w:t>
            </w:r>
          </w:p>
        </w:tc>
      </w:tr>
      <w:tr>
        <w:tc>
          <w:tcPr>
            <w:tcW w:type="dxa" w:w="2296"/>
          </w:tcPr>
          <w:p>
            <w:pPr>
              <w:spacing w:after="20" w:line="264" w:lineRule="auto"/>
            </w:pPr>
            <w:r/>
            <w:r>
              <w:rPr>
                <w:rFonts w:ascii="Segoe UI" w:hAnsi="Segoe UI" w:eastAsia="Segoe UI" w:cs="Segoe UI"/>
                <w:color w:val="1F1D1A"/>
                <w:sz w:val="18"/>
              </w:rPr>
              <w:t>China</w:t>
            </w:r>
          </w:p>
        </w:tc>
        <w:tc>
          <w:tcPr>
            <w:tcW w:type="dxa" w:w="2296"/>
          </w:tcPr>
          <w:p>
            <w:pPr>
              <w:spacing w:after="20" w:line="264" w:lineRule="auto"/>
            </w:pPr>
            <w:r/>
            <w:r>
              <w:rPr>
                <w:rFonts w:ascii="Segoe UI" w:hAnsi="Segoe UI" w:eastAsia="Segoe UI" w:cs="Segoe UI"/>
                <w:color w:val="1F1D1A"/>
                <w:sz w:val="18"/>
              </w:rPr>
              <w:t>El Gran Tao; y la benevolencia y la justicia, que son la mente y el camino del hombre (Mencio 6A11)</w:t>
            </w:r>
          </w:p>
        </w:tc>
        <w:tc>
          <w:tcPr>
            <w:tcW w:type="dxa" w:w="2296"/>
          </w:tcPr>
          <w:p>
            <w:pPr>
              <w:spacing w:after="20" w:line="264" w:lineRule="auto"/>
            </w:pPr>
            <w:r/>
            <w:r>
              <w:rPr>
                <w:rFonts w:ascii="Segoe UI" w:hAnsi="Segoe UI" w:eastAsia="Segoe UI" w:cs="Segoe UI"/>
                <w:color w:val="1F1D1A"/>
                <w:sz w:val="18"/>
              </w:rPr>
              <w:t>Cuando se perdió el Tao vinieron, uno tras otro, sus atributos, la benevolencia, la justicia y los ritos, que son el comienzo del desorden (Daodejing 18 y 38)</w:t>
            </w:r>
          </w:p>
        </w:tc>
        <w:tc>
          <w:tcPr>
            <w:tcW w:type="dxa" w:w="2296"/>
          </w:tcPr>
          <w:p>
            <w:pPr>
              <w:spacing w:after="20" w:line="264" w:lineRule="auto"/>
            </w:pPr>
            <w:r/>
            <w:r>
              <w:rPr>
                <w:rFonts w:ascii="Segoe UI" w:hAnsi="Segoe UI" w:eastAsia="Segoe UI" w:cs="Segoe UI"/>
                <w:color w:val="1F1D1A"/>
                <w:sz w:val="18"/>
              </w:rPr>
              <w:t>Buscar la mente perdida (Mencio 6A11) y oír el camino recto, aunque sea al final de la vida (Analectas 4.8)</w:t>
            </w:r>
          </w:p>
        </w:tc>
      </w:tr>
      <w:tr>
        <w:tc>
          <w:tcPr>
            <w:tcW w:type="dxa" w:w="2296"/>
          </w:tcPr>
          <w:p>
            <w:pPr>
              <w:spacing w:after="20" w:line="264" w:lineRule="auto"/>
            </w:pPr>
            <w:r/>
            <w:r>
              <w:rPr>
                <w:rFonts w:ascii="Segoe UI" w:hAnsi="Segoe UI" w:eastAsia="Segoe UI" w:cs="Segoe UI"/>
                <w:color w:val="1F1D1A"/>
                <w:sz w:val="18"/>
              </w:rPr>
              <w:t>Mesopotamia</w:t>
            </w:r>
          </w:p>
        </w:tc>
        <w:tc>
          <w:tcPr>
            <w:tcW w:type="dxa" w:w="2296"/>
          </w:tcPr>
          <w:p>
            <w:pPr>
              <w:spacing w:after="20" w:line="264" w:lineRule="auto"/>
            </w:pPr>
            <w:r/>
            <w:r>
              <w:rPr>
                <w:rFonts w:ascii="Segoe UI" w:hAnsi="Segoe UI" w:eastAsia="Segoe UI" w:cs="Segoe UI"/>
                <w:color w:val="1F1D1A"/>
                <w:sz w:val="18"/>
              </w:rPr>
              <w:t>Las instrucciones del padre al hijo, que se han de cumplir (Instrucciones de Shuruppak)</w:t>
            </w:r>
          </w:p>
        </w:tc>
        <w:tc>
          <w:tcPr>
            <w:tcW w:type="dxa" w:w="2296"/>
          </w:tcPr>
          <w:p>
            <w:pPr>
              <w:spacing w:after="20" w:line="264" w:lineRule="auto"/>
            </w:pPr>
            <w:r/>
            <w:r>
              <w:rPr>
                <w:rFonts w:ascii="Segoe UI" w:hAnsi="Segoe UI" w:eastAsia="Segoe UI" w:cs="Segoe UI"/>
                <w:color w:val="1F1D1A"/>
                <w:sz w:val="18"/>
              </w:rPr>
              <w:t>La planta de la vida, que una serpiente roba a Gilgamesh (Gilgamesh, tablilla XI)</w:t>
            </w:r>
          </w:p>
        </w:tc>
        <w:tc>
          <w:tcPr>
            <w:tcW w:type="dxa" w:w="2296"/>
          </w:tcPr>
          <w:p>
            <w:pPr>
              <w:spacing w:after="20" w:line="264" w:lineRule="auto"/>
            </w:pPr>
            <w:r/>
            <w:r>
              <w:rPr>
                <w:rFonts w:ascii="Segoe UI" w:hAnsi="Segoe UI" w:eastAsia="Segoe UI" w:cs="Segoe UI"/>
                <w:color w:val="1F1D1A"/>
                <w:sz w:val="18"/>
              </w:rPr>
              <w:t>En lo leído, no se nombra</w:t>
            </w:r>
          </w:p>
        </w:tc>
      </w:tr>
      <w:tr>
        <w:tc>
          <w:tcPr>
            <w:tcW w:type="dxa" w:w="2296"/>
          </w:tcPr>
          <w:p>
            <w:pPr>
              <w:spacing w:after="20" w:line="264" w:lineRule="auto"/>
            </w:pPr>
            <w:r/>
            <w:r>
              <w:rPr>
                <w:rFonts w:ascii="Segoe UI" w:hAnsi="Segoe UI" w:eastAsia="Segoe UI" w:cs="Segoe UI"/>
                <w:color w:val="1F1D1A"/>
                <w:sz w:val="18"/>
              </w:rPr>
              <w:t>Egipto</w:t>
            </w:r>
          </w:p>
        </w:tc>
        <w:tc>
          <w:tcPr>
            <w:tcW w:type="dxa" w:w="2296"/>
          </w:tcPr>
          <w:p>
            <w:pPr>
              <w:spacing w:after="20" w:line="264" w:lineRule="auto"/>
            </w:pPr>
            <w:r/>
            <w:r>
              <w:rPr>
                <w:rFonts w:ascii="Segoe UI" w:hAnsi="Segoe UI" w:eastAsia="Segoe UI" w:cs="Segoe UI"/>
                <w:color w:val="1F1D1A"/>
                <w:sz w:val="18"/>
              </w:rPr>
              <w:t>La Instrucción: la verdad y la justicia que el padre repite a sus hijos (Ptahhotep, máximas 5 y 41), y la enseñanza sobre cómo vivir (Amenemope)</w:t>
            </w:r>
          </w:p>
        </w:tc>
        <w:tc>
          <w:tcPr>
            <w:tcW w:type="dxa" w:w="2296"/>
          </w:tcPr>
          <w:p>
            <w:pPr>
              <w:spacing w:after="20" w:line="264" w:lineRule="auto"/>
            </w:pPr>
            <w:r/>
            <w:r>
              <w:rPr>
                <w:rFonts w:ascii="Segoe UI" w:hAnsi="Segoe UI" w:eastAsia="Segoe UI" w:cs="Segoe UI"/>
                <w:color w:val="1F1D1A"/>
                <w:sz w:val="18"/>
              </w:rPr>
              <w:t>Quien pierde el rumbo no halla un camino recto (Ptahhotep, máxima 12)</w:t>
            </w:r>
          </w:p>
        </w:tc>
        <w:tc>
          <w:tcPr>
            <w:tcW w:type="dxa" w:w="2296"/>
          </w:tcPr>
          <w:p>
            <w:pPr>
              <w:spacing w:after="20" w:line="264" w:lineRule="auto"/>
            </w:pPr>
            <w:r/>
            <w:r>
              <w:rPr>
                <w:rFonts w:ascii="Segoe UI" w:hAnsi="Segoe UI" w:eastAsia="Segoe UI" w:cs="Segoe UI"/>
                <w:color w:val="1F1D1A"/>
                <w:sz w:val="18"/>
              </w:rPr>
              <w:t>Dejarse guiar por la enseñanza: los guiados no se extravían (Ptahhotep, máxima 12; Amenemope, cap. 30)</w:t>
            </w:r>
          </w:p>
        </w:tc>
      </w:tr>
      <w:tr>
        <w:tc>
          <w:tcPr>
            <w:tcW w:type="dxa" w:w="2296"/>
          </w:tcPr>
          <w:p>
            <w:pPr>
              <w:spacing w:after="20" w:line="264" w:lineRule="auto"/>
            </w:pPr>
            <w:r/>
            <w:r>
              <w:rPr>
                <w:rFonts w:ascii="Segoe UI" w:hAnsi="Segoe UI" w:eastAsia="Segoe UI" w:cs="Segoe UI"/>
                <w:color w:val="1F1D1A"/>
                <w:sz w:val="18"/>
              </w:rPr>
              <w:t>Grecia</w:t>
            </w:r>
          </w:p>
        </w:tc>
        <w:tc>
          <w:tcPr>
            <w:tcW w:type="dxa" w:w="2296"/>
          </w:tcPr>
          <w:p>
            <w:pPr>
              <w:spacing w:after="20" w:line="264" w:lineRule="auto"/>
            </w:pPr>
            <w:r/>
            <w:r>
              <w:rPr>
                <w:rFonts w:ascii="Segoe UI" w:hAnsi="Segoe UI" w:eastAsia="Segoe UI" w:cs="Segoe UI"/>
                <w:color w:val="1F1D1A"/>
                <w:sz w:val="18"/>
              </w:rPr>
              <w:t>El derecho, dado a los hombres y no a las fieras (Hesíodo, Trabajos y días 276-280), y la reverencia y la justicia, a todos (Platón, Protágoras)</w:t>
            </w:r>
          </w:p>
        </w:tc>
        <w:tc>
          <w:tcPr>
            <w:tcW w:type="dxa" w:w="2296"/>
          </w:tcPr>
          <w:p>
            <w:pPr>
              <w:spacing w:after="20" w:line="264" w:lineRule="auto"/>
            </w:pPr>
            <w:r/>
            <w:r>
              <w:rPr>
                <w:rFonts w:ascii="Segoe UI" w:hAnsi="Segoe UI" w:eastAsia="Segoe UI" w:cs="Segoe UI"/>
                <w:color w:val="1F1D1A"/>
                <w:sz w:val="18"/>
              </w:rPr>
              <w:t>La edad en que la fuerza será el derecho (Trabajos y días 192-200), y el olvido de las instrucciones del Padre (Platón, Político)</w:t>
            </w:r>
          </w:p>
        </w:tc>
        <w:tc>
          <w:tcPr>
            <w:tcW w:type="dxa" w:w="2296"/>
          </w:tcPr>
          <w:p>
            <w:pPr>
              <w:spacing w:after="20" w:line="264" w:lineRule="auto"/>
            </w:pPr>
            <w:r/>
            <w:r>
              <w:rPr>
                <w:rFonts w:ascii="Segoe UI" w:hAnsi="Segoe UI" w:eastAsia="Segoe UI" w:cs="Segoe UI"/>
                <w:color w:val="1F1D1A"/>
                <w:sz w:val="18"/>
              </w:rPr>
              <w:t>El dios vuelve a tomar el timón, y a los hombres se les dan los dones y la enseñanza indispensable (Platón, Político)</w:t>
            </w:r>
          </w:p>
        </w:tc>
      </w:tr>
      <w:tr>
        <w:tc>
          <w:tcPr>
            <w:tcW w:type="dxa" w:w="2296"/>
          </w:tcPr>
          <w:p>
            <w:pPr>
              <w:spacing w:after="20" w:line="264" w:lineRule="auto"/>
            </w:pPr>
            <w:r/>
            <w:r>
              <w:rPr>
                <w:rFonts w:ascii="Segoe UI" w:hAnsi="Segoe UI" w:eastAsia="Segoe UI" w:cs="Segoe UI"/>
                <w:color w:val="1F1D1A"/>
                <w:sz w:val="18"/>
              </w:rPr>
              <w:t>América: el Popol Vuh</w:t>
            </w:r>
          </w:p>
        </w:tc>
        <w:tc>
          <w:tcPr>
            <w:tcW w:type="dxa" w:w="2296"/>
          </w:tcPr>
          <w:p>
            <w:pPr>
              <w:spacing w:after="20" w:line="264" w:lineRule="auto"/>
            </w:pPr>
            <w:r/>
            <w:r>
              <w:rPr>
                <w:rFonts w:ascii="Segoe UI" w:hAnsi="Segoe UI" w:eastAsia="Segoe UI" w:cs="Segoe UI"/>
                <w:color w:val="1F1D1A"/>
                <w:sz w:val="18"/>
              </w:rPr>
              <w:t>Los primeros hombres lo veían y lo sabían todo</w:t>
            </w:r>
          </w:p>
        </w:tc>
        <w:tc>
          <w:tcPr>
            <w:tcW w:type="dxa" w:w="2296"/>
          </w:tcPr>
          <w:p>
            <w:pPr>
              <w:spacing w:after="20" w:line="264" w:lineRule="auto"/>
            </w:pPr>
            <w:r/>
            <w:r>
              <w:rPr>
                <w:rFonts w:ascii="Segoe UI" w:hAnsi="Segoe UI" w:eastAsia="Segoe UI" w:cs="Segoe UI"/>
                <w:color w:val="1F1D1A"/>
                <w:sz w:val="18"/>
              </w:rPr>
              <w:t>Los dioses les empañan los ojos, como un espejo en el que se sopla, y se pierde su sabiduría</w:t>
            </w:r>
          </w:p>
        </w:tc>
        <w:tc>
          <w:tcPr>
            <w:tcW w:type="dxa" w:w="2296"/>
          </w:tcPr>
          <w:p>
            <w:pPr>
              <w:spacing w:after="20" w:line="264" w:lineRule="auto"/>
            </w:pPr>
            <w:r/>
            <w:r>
              <w:rPr>
                <w:rFonts w:ascii="Segoe UI" w:hAnsi="Segoe UI" w:eastAsia="Segoe UI" w:cs="Segoe UI"/>
                <w:color w:val="1F1D1A"/>
                <w:sz w:val="18"/>
              </w:rPr>
              <w:t>En lo leído, no se nombra</w:t>
            </w:r>
          </w:p>
        </w:tc>
      </w:tr>
    </w:tbl>
    <w:p>
      <w:pPr>
        <w:spacing w:after="80"/>
      </w:pPr>
    </w:p>
    <w:p>
      <w:r>
        <w:t>[parlamento de la arqueología (08/21), apartados 4 y 6; el índice del agente reglas_del_juego, 12-oct-2026, comprobado por programa: 188 de 188 frases en su archivo; los pasajes, en F.9]</w:t>
      </w:r>
    </w:p>
    <w:p>
      <w:r>
        <w:rPr>
          <w:b/>
        </w:rPr>
        <w:t>Conclusión, lo que arrojan los datos:</w:t>
      </w:r>
    </w:p>
    <w:p>
      <w:pPr>
        <w:pStyle w:val="ListBullet"/>
      </w:pPr>
      <w:r>
        <w:rPr>
          <w:b/>
        </w:rPr>
        <w:t>Lo que se dio lo cuentan las doce:</w:t>
      </w:r>
      <w:r>
        <w:t xml:space="preserve"> una ley, una enseñanza, una instrucción o una sabiduría.</w:t>
      </w:r>
    </w:p>
    <w:p>
      <w:pPr>
        <w:pStyle w:val="ListBullet"/>
      </w:pPr>
      <w:r>
        <w:rPr>
          <w:b/>
        </w:rPr>
        <w:t>Que se perdió, nueve.</w:t>
      </w:r>
      <w:r>
        <w:t xml:space="preserve"> Seis cuentan que se perdió, se olvidó o se veló: la Biblia hebrea, el islam, la India, China, Grecia y el Popol Vuh. Tres, que se rechazó o que muchos se apartan: Persia (Yima no quiso predicarla), el Nuevo Testamento (la puerta ancha) y Egipto (quien pierde el rumbo). En Mesopotamia lo que se pierde es la planta de la vida, no unas reglas; y en lo leído de la tradición rabínica y del budismo no se cuenta una pérdida.</w:t>
      </w:r>
    </w:p>
    <w:p>
      <w:pPr>
        <w:pStyle w:val="ListBullet"/>
      </w:pPr>
      <w:r>
        <w:rPr>
          <w:b/>
        </w:rPr>
        <w:t>El camino de vuelta lo nombran diez,</w:t>
      </w:r>
      <w:r>
        <w:t xml:space="preserve"> y en nueve lleva a lo que se dio: las sendas antiguas (la Biblia hebrea), los mandamientos (el Nuevo Testamento), la dirección de Dios (el islam), la palabra que hay que poner en práctica (Persia), la enseñanza dicha de nuevo (la India), el camino predicado (el budismo), la mente perdida (China), la instrucción del padre (Egipto) y los dones y la enseñanza dados a los hombres (Grecia). En la tradición rabínica, la vuelta es el arrepentimiento y saber de dónde se viene. No lo nombran, en lo leído, Mesopotamia ni el Popol Vuh.</w:t>
      </w:r>
    </w:p>
    <w:p>
      <w:pPr>
        <w:pStyle w:val="ListBullet"/>
      </w:pPr>
      <w:r>
        <w:rPr>
          <w:b/>
        </w:rPr>
        <w:t>En siete, la vuelta la da cada uno:</w:t>
      </w:r>
      <w:r>
        <w:t xml:space="preserve"> escoger (la Biblia hebrea y la tradición rabínica), entrar (el Nuevo Testamento), seguir (el islam), elegir (Persia), esforzarse (el budismo) y buscar (China).</w:t>
      </w:r>
    </w:p>
    <w:p>
      <w:pPr>
        <w:pStyle w:val="ListBullet"/>
      </w:pPr>
      <w:r>
        <w:rPr>
          <w:b/>
        </w:rPr>
        <w:t>El camino lo anda cada uno, y nadie lo anda por otro:</w:t>
      </w:r>
      <w:r>
        <w:t xml:space="preserve"> quien enseña lo predica, avisa o da ejemplo, pero el trabajo es de cada uno. Lo dicen siete tradiciones con sus palabras: el budismo (Dhammapada 165 y 276), la tradición rabínica (Avot 2:16), el islam (Corán 17:15 y 53:39), la India (Bhagavad Gita 6.5), China (Analectas 15.28; Mencio 6A11), Grecia (Hesíodo, Trabajos y días 293-297; Platón, el mito de Er) y Persia (Yasna 30:2); Egipto, en parte (Ptahhotep, máxima 38); y el Nuevo Testamento pide andarlo: tomar cada uno su cruz cada día y seguirle (Lc 9:23), andar como él (1 Jn 2:6) y llevar cada uno su carga (Gál 6:5). Converge en las tres patas sin contacto documentado: Israel, la India y China (</w:t>
      </w:r>
      <w:r>
        <w:t>F.9</w:t>
      </w:r>
      <w:r>
        <w:t>).</w:t>
      </w:r>
    </w:p>
    <w:p>
      <w:pPr>
        <w:pStyle w:val="ListBullet"/>
      </w:pPr>
      <w:r>
        <w:rPr>
          <w:b/>
        </w:rPr>
        <w:t>La convergencia:</w:t>
      </w:r>
      <w:r>
        <w:t xml:space="preserve"> ocho cuentan los tres tiempos enteros: la Biblia hebrea, el Nuevo Testamento, el islam, Persia, la India, China, Egipto y Grecia. Tres de ellas no tienen contacto documentado entre sí: Israel, la India y China. Con la regla de la obra (</w:t>
      </w:r>
      <w:r>
        <w:t>0.5</w:t>
      </w:r>
      <w:r>
        <w:t>), el patrón se sostiene en esas tres patas; las demás coinciden, pero no cuentan aparte (Límite honesto de la prueba).</w:t>
      </w:r>
    </w:p>
    <w:p>
      <w:r>
        <w:rPr>
          <w:b/>
        </w:rPr>
        <w:t>Lo que no encaja.</w:t>
      </w:r>
      <w:r>
        <w:t xml:space="preserve"> No todas cuentan la pérdida como culpa del hombre: en el Popol Vuh, los dioses empañan los ojos de los primeros hombres porque lo veían todo; en Hesíodo, los dioses esconden a los hombres el sustento de la vida. Y la vuelta no está en todas: Mesopotamia y el Popol Vuh no la nombran, y Hesíodo solo desea haber nacido en otro tiempo (</w:t>
      </w:r>
      <w:r>
        <w:t>F.9</w:t>
      </w:r>
      <w:r>
        <w:t>).</w:t>
      </w:r>
    </w:p>
    <w:p>
      <w:r>
        <w:rPr>
          <w:b/>
        </w:rPr>
        <w:t>La orden de Zeus, tal como la dice el texto.</w:t>
      </w:r>
      <w:r>
        <w:t xml:space="preserve"> Es un mito, que Protágoras elige contar en lugar de argumentar (</w:t>
      </w:r>
      <w:r>
        <w:t>F.9</w:t>
      </w:r>
      <w:r>
        <w:t>). En él, Zeus manda repartir la reverencia y la justicia a todos, y añade una ley: que se dé muerte al que no pueda participar de ellas, como enfermedad de la ciudad. La ley es de Zeus, pero la cumple la ciudad, de hombre a hombre. Y el mismo diálogo dice cómo se aplica: al que le falta, se le enseña y se le castiga hasta que se haga mejor; el castigo mira al futuro y es para disuadir, no para vengarse de lo pasado; y el destierro o la muerte quedan para el que se rebela contra la enseñanza y el castigo, por incurable (Platón, Protágoras 322d, 324a-b y 325a-b).</w:t>
      </w:r>
    </w:p>
    <w:p>
      <w:r>
        <w:rPr>
          <w:b/>
        </w:rPr>
        <w:t>Conclusión, lo que arrojan los datos: el aviso y quién juzga.</w:t>
      </w:r>
      <w:r>
        <w:t xml:space="preserve"> Con dos preguntas más, si hay aviso antes de la consecuencia y quién la ejecuta, se leyeron 71 textos de once tradiciones; la cuenta, tradición por tradición, está en F.9.</w:t>
      </w:r>
    </w:p>
    <w:p>
      <w:pPr>
        <w:pStyle w:val="ListBullet"/>
      </w:pPr>
      <w:r>
        <w:rPr>
          <w:b/>
        </w:rPr>
        <w:t>Antes de la consecuencia va el aviso</w:t>
      </w:r>
      <w:r>
        <w:t xml:space="preserve"> en las siete tradiciones del tronco bíblico y sus vecinos (Israel, el Nuevo Testamento, el islam, Persia, Egipto, Mesopotamia, y Grecia y Roma), en la India y en América: la primera prohibición ya dice lo que pasará (Gn 2:17; </w:t>
      </w:r>
      <w:r>
        <w:t>4.2</w:t>
      </w:r>
      <w:r>
        <w:t xml:space="preserve">); el atalaya avisa de parte de Dios (Ez 3:17-19); el Corán dice que nunca castiga sin haber mandado antes un enviado (Corán 17:15); la Bhagavad Gita nombra las tres puertas de la ruina y manda dejarlas (Gita 16.21; </w:t>
      </w:r>
      <w:r>
        <w:t>4.3</w:t>
      </w:r>
      <w:r>
        <w:t>); y la Gran Ley de la Paz avisa tres veces al jefe que obra mal antes de deponerlo (arts. 19 y 25). En lo leído de China y del norte no se halló. Con la regla de la obra (</w:t>
      </w:r>
      <w:r>
        <w:t>0.5</w:t>
      </w:r>
      <w:r>
        <w:t>), converge en dos patas de tres: Israel y la India.</w:t>
      </w:r>
    </w:p>
    <w:p>
      <w:pPr>
        <w:pStyle w:val="ListBullet"/>
      </w:pPr>
      <w:r>
        <w:rPr>
          <w:b/>
        </w:rPr>
        <w:t>El juicio último no es del hombre,</w:t>
      </w:r>
      <w:r>
        <w:t xml:space="preserve"> y eso converge en las tres patas: los siervos no arrancan la cizaña, porque la siega es de los ángeles al fin del mundo (Mt 13:29-30 y 13:39); cada uno recoge la obra que hace (Bṛhadāraṇyaka Upanishad 4.4.5); y el que mata en lugar del encargado de matar rara vez no se hiere las manos (Daodejing 74). La otra cara, que aquí no se resuelve: «¿O no sabéis que los santos han de juzgar al mundo? Y si el mundo ha de ser juzgado por vosotros, ¿sois indignos de juzgar cosas muy pequeñas?»</w:t>
      </w:r>
      <w:r>
        <w:t xml:space="preserve"> (1 Co 6:2)</w:t>
      </w:r>
      <w:r>
        <w:br/>
      </w:r>
      <w:r>
        <w:rPr>
          <w:b/>
        </w:rPr>
        <w:t>leída en su fuente · 1 Co 6:2</w:t>
      </w:r>
      <w:r>
        <w:br/>
      </w:r>
      <w:r>
        <w:rPr>
          <w:b/>
        </w:rPr>
        <w:t>Archivo leído:</w:t>
      </w:r>
      <w:r>
        <w:t xml:space="preserve"> spaRV1909_texto_corrido.txt (biblia_rv1909\spaRV1909_texto_corrido.txt) · contraste del archivo de pasajes: ✔</w:t>
      </w:r>
      <w:r>
        <w:br/>
      </w:r>
      <w:r>
        <w:rPr>
          <w:b/>
        </w:rPr>
        <w:t>Lugar:</w:t>
      </w:r>
      <w:r>
        <w:t xml:space="preserve"> 1 Co 6:2</w:t>
      </w:r>
      <w:r>
        <w:br/>
      </w:r>
      <w:r>
        <w:rPr>
          <w:b/>
        </w:rPr>
        <w:t>Tal como está en la fuente:</w:t>
      </w:r>
      <w:r>
        <w:t xml:space="preserve"> ¿O no sabéis que los santos han de juzgar al mundo? Y si el mundo ha de ser juzgado por vosotros, ¿sois indignos de juzgar cosas muy pequeñas?</w:t>
      </w:r>
      <w:r>
        <w:t>; lo dice la primera carta a los corintios para que sus pleitos no vayan «delante de los injustos»</w:t>
      </w:r>
      <w:r>
        <w:t xml:space="preserve"> (1 Co 6:1)</w:t>
      </w:r>
      <w:r>
        <w:t>.</w:t>
      </w:r>
    </w:p>
    <w:p>
      <w:pPr>
        <w:pStyle w:val="ListBullet"/>
      </w:pPr>
      <w:r>
        <w:rPr>
          <w:b/>
        </w:rPr>
        <w:t>Pero en diez de las once hay también textos donde ejecutan los hombres</w:t>
      </w:r>
      <w:r>
        <w:t xml:space="preserve"> (en lo leído, no en Persia: Dt 17:6-7; Corán 5:33; las Leyes de Manu, 7; Mencio 1B7; Platón, Leyes X; la Gran Ley de la Paz), </w:t>
      </w:r>
      <w:r>
        <w:rPr>
          <w:b/>
        </w:rPr>
        <w:t>y entonces antes van el aviso, la investigación y el límite:</w:t>
      </w:r>
      <w:r>
        <w:t xml:space="preserve"> nadie muere por el dicho de un solo testigo (Dt 17:6); a los testigos se les pregunta si le avisaron (Misná, Sanhedrín 5:1), y el tribunal que ejecuta a uno en siete años se llama destructor (Makkot 1:10); se exceptúa al que se arrepiente antes de caer en manos de los hombres (Corán 5:34); el castigo aplicado sin pensarlo lo destruye todo (Leyes de Manu 7.19); el rey investiga antes de condenar, aunque lo pida todo el pueblo (Mencio 1B7); y la ley proclama antes, y al que yerra por falta de entendimiento lo tiene al menos cinco años en la Casa de la Reforma antes de que una segunda condena pueda costarle la vida (Leyes X). Converge en las tres patas, y es lo que el Arca ya guarda: examinar antes de castigar (</w:t>
      </w:r>
      <w:r>
        <w:t>3.2</w:t>
      </w:r>
      <w:r>
        <w:t>, P7).</w:t>
      </w:r>
    </w:p>
    <w:p>
      <w:r>
        <w:t>[parlamento 08/23, apartados 8 a 10; el encargo de fuentes el_camino_y_el_aviso, lotes A, B y C, 12-oct-2026, comprobado por programa: 456 de 456 frases en su archivo; la cuenta, por programa, sobre la etiqueta que lleva cada texto; los pasajes, en F.9]</w:t>
      </w:r>
    </w:p>
    <w:p>
      <w:r>
        <w:rPr>
          <w:b/>
        </w:rPr>
        <w:t>Conclusión, lo que arrojan los datos: el séptimo sello, tal como lo dice el texto.</w:t>
      </w:r>
      <w:r>
        <w:t xml:space="preserve"> El último libro de la Biblia, el Apocalipsis (la palabra se explica en </w:t>
      </w:r>
      <w:r>
        <w:t>0.2</w:t>
      </w:r>
      <w:r>
        <w:t>), cuenta un libro «escrito de dentro y de fuera, sellado con siete sellos»</w:t>
      </w:r>
      <w:r>
        <w:t xml:space="preserve"> (Ap 5:1)</w:t>
      </w:r>
      <w:r>
        <w:br/>
      </w:r>
      <w:r>
        <w:rPr>
          <w:b/>
        </w:rPr>
        <w:t>leída en su fuente · Ap 5:1</w:t>
      </w:r>
      <w:r>
        <w:br/>
      </w:r>
      <w:r>
        <w:rPr>
          <w:b/>
        </w:rPr>
        <w:t>Archivo leído:</w:t>
      </w:r>
      <w:r>
        <w:t xml:space="preserve"> spaRV1909_vpl.txt (biblia_rv1909\spaRV1909_vpl.txt) · contraste del archivo de pasajes: ✔</w:t>
      </w:r>
      <w:r>
        <w:br/>
      </w:r>
      <w:r>
        <w:rPr>
          <w:b/>
        </w:rPr>
        <w:t>Lugar:</w:t>
      </w:r>
      <w:r>
        <w:t xml:space="preserve"> Ap 5:1 (RV1909)</w:t>
      </w:r>
      <w:r>
        <w:br/>
      </w:r>
      <w:r>
        <w:rPr>
          <w:b/>
        </w:rPr>
        <w:t>Tal como está en la fuente:</w:t>
      </w:r>
      <w:r>
        <w:t xml:space="preserve"> Y VI en la mano derecha del que estaba sentado sobre el trono un libro escrito de dentro y de fuera, sellado con siete sellos.</w:t>
      </w:r>
      <w:r>
        <w:t>. Leído en la Reina-Valera Antigua y en el griego, dice esto; los pasajes, en F.9.</w:t>
      </w:r>
    </w:p>
    <w:p>
      <w:pPr>
        <w:pStyle w:val="ListBullet"/>
      </w:pPr>
      <w:r>
        <w:rPr>
          <w:b/>
        </w:rPr>
        <w:t>Quién abre, y con qué verbo.</w:t>
      </w:r>
      <w:r>
        <w:t xml:space="preserve"> «ninguno podía, ni en el cielo, ni en la tierra, ni debajo de la tierra, abrir el libro»</w:t>
      </w:r>
      <w:r>
        <w:t xml:space="preserve"> (Ap 5:3)</w:t>
      </w:r>
      <w:r>
        <w:br/>
      </w:r>
      <w:r>
        <w:rPr>
          <w:b/>
        </w:rPr>
        <w:t>leída en su fuente · Ap 5:3</w:t>
      </w:r>
      <w:r>
        <w:br/>
      </w:r>
      <w:r>
        <w:rPr>
          <w:b/>
        </w:rPr>
        <w:t>Archivo leído:</w:t>
      </w:r>
      <w:r>
        <w:t xml:space="preserve"> spaRV1909_vpl.txt (biblia_rv1909\spaRV1909_vpl.txt) · contraste del archivo de pasajes: ✔</w:t>
      </w:r>
      <w:r>
        <w:br/>
      </w:r>
      <w:r>
        <w:rPr>
          <w:b/>
        </w:rPr>
        <w:t>Lugar:</w:t>
      </w:r>
      <w:r>
        <w:t xml:space="preserve"> Ap 5:3 (RV1909)</w:t>
      </w:r>
      <w:r>
        <w:br/>
      </w:r>
      <w:r>
        <w:rPr>
          <w:b/>
        </w:rPr>
        <w:t>Tal como está en la fuente:</w:t>
      </w:r>
      <w:r>
        <w:t xml:space="preserve"> Y ninguno podía, ni en el cielo, ni en la tierra, ni debajo de la tierra, abrir el libro, ni mirarlo.</w:t>
      </w:r>
      <w:r>
        <w:t>; lo abre «el león de la tribu de Judá, la raíz de David, que ha vencido»</w:t>
      </w:r>
      <w:r>
        <w:t xml:space="preserve"> (Ap 5:5)</w:t>
      </w:r>
      <w:r>
        <w:br/>
      </w:r>
      <w:r>
        <w:rPr>
          <w:b/>
        </w:rPr>
        <w:t>leída en su fuente · Ap 5:5</w:t>
      </w:r>
      <w:r>
        <w:br/>
      </w:r>
      <w:r>
        <w:rPr>
          <w:b/>
        </w:rPr>
        <w:t>Archivo leído:</w:t>
      </w:r>
      <w:r>
        <w:t xml:space="preserve"> sblgnt_Rev.txt (biblia_rv1909\spaRV1909_texto_corrido.txt) · contraste del archivo de pasajes: ✔</w:t>
      </w:r>
      <w:r>
        <w:br/>
      </w:r>
      <w:r>
        <w:rPr>
          <w:b/>
        </w:rPr>
        <w:t>Lugar:</w:t>
      </w:r>
      <w:r>
        <w:t xml:space="preserve"> Ap 5:5 (RV1909)</w:t>
      </w:r>
      <w:r>
        <w:br/>
      </w:r>
      <w:r>
        <w:rPr>
          <w:b/>
        </w:rPr>
        <w:t>Tal como está en la fuente:</w:t>
      </w:r>
      <w:r>
        <w:t xml:space="preserve"> Y uno de los ancianos me dice: No llores: he aquí el león de la tribu de Judá, la raíz de David, que ha vencido para abrir el libro, y desatar sus siete sellos.</w:t>
      </w:r>
      <w:r>
        <w:t>, y lo que se ve entonces es «un Cordero como inmolado»</w:t>
      </w:r>
      <w:r>
        <w:t xml:space="preserve"> (Ap 5:6)</w:t>
      </w:r>
      <w:r>
        <w:t>. En la Reina-Valera ha vencido «para abrir el libro, y desatar sus siete sellos»; el griego dice «abrir el libro y sus siete sellos», sin «desatar»</w:t>
      </w:r>
      <w:r>
        <w:t xml:space="preserve"> [original: «⸀ἀνοῖξαι τὸ βιβλίον καὶ τὰς ἑπτὰ σφραγῖδας αὐτοῦ», en el griego de la edición SBLGNT; el signo ⸀ marca que ahí hay una variante]</w:t>
      </w:r>
      <w:r>
        <w:t xml:space="preserve"> (Ap 5:5)</w:t>
      </w:r>
      <w:r>
        <w:t>. Al abrir los sellos, el verbo es «abrió»</w:t>
      </w:r>
      <w:r>
        <w:t xml:space="preserve"> [original: «ἤνοιξεν»]</w:t>
      </w:r>
      <w:r>
        <w:t xml:space="preserve"> (Ap 6:1 y 8:1)</w:t>
      </w:r>
      <w:r>
        <w:t>.</w:t>
      </w:r>
    </w:p>
    <w:p>
      <w:pPr>
        <w:pStyle w:val="ListBullet"/>
      </w:pPr>
      <w:r>
        <w:rPr>
          <w:b/>
        </w:rPr>
        <w:t>El séptimo sello es un silencio, no el final.</w:t>
      </w:r>
      <w:r>
        <w:t xml:space="preserve"> «Y CUANDO él abrió el séptimo sello, fué hecho silencio en el cielo casi por media hora»</w:t>
      </w:r>
      <w:r>
        <w:t xml:space="preserve"> (Ap 8:1)</w:t>
      </w:r>
      <w:r>
        <w:br/>
      </w:r>
      <w:r>
        <w:rPr>
          <w:b/>
        </w:rPr>
        <w:t>leída en su fuente · Ap 8:1</w:t>
      </w:r>
      <w:r>
        <w:br/>
      </w:r>
      <w:r>
        <w:rPr>
          <w:b/>
        </w:rPr>
        <w:t>Archivo leído:</w:t>
      </w:r>
      <w:r>
        <w:t xml:space="preserve"> sblgnt_Rev.txt (biblia_rv1909\spaRV1909_texto_corrido.txt) · contraste del archivo de pasajes: ✔</w:t>
      </w:r>
      <w:r>
        <w:br/>
      </w:r>
      <w:r>
        <w:rPr>
          <w:b/>
        </w:rPr>
        <w:t>Lugar:</w:t>
      </w:r>
      <w:r>
        <w:t xml:space="preserve"> Ap 8:1 (RV1909)</w:t>
      </w:r>
      <w:r>
        <w:br/>
      </w:r>
      <w:r>
        <w:rPr>
          <w:b/>
        </w:rPr>
        <w:t>Tal como está en la fuente:</w:t>
      </w:r>
      <w:r>
        <w:t xml:space="preserve"> Y CUANDO él abrió el séptimo sello, fué hecho silencio en el cielo casi por media hora.</w:t>
      </w:r>
      <w:r>
        <w:t>. Detrás vienen «los siete ángeles que estaban delante de Dios; y les fueron dadas siete trompetas»</w:t>
      </w:r>
      <w:r>
        <w:t xml:space="preserve"> (Ap 8:2)</w:t>
      </w:r>
      <w:r>
        <w:br/>
      </w:r>
      <w:r>
        <w:rPr>
          <w:b/>
        </w:rPr>
        <w:t>leída en su fuente · Ap 8:2</w:t>
      </w:r>
      <w:r>
        <w:br/>
      </w:r>
      <w:r>
        <w:rPr>
          <w:b/>
        </w:rPr>
        <w:t>Archivo leído:</w:t>
      </w:r>
      <w:r>
        <w:t xml:space="preserve"> spaRV1909_vpl.txt (biblia_rv1909\spaRV1909_vpl.txt) · contraste del archivo de pasajes: ✔</w:t>
      </w:r>
      <w:r>
        <w:br/>
      </w:r>
      <w:r>
        <w:rPr>
          <w:b/>
        </w:rPr>
        <w:t>Lugar:</w:t>
      </w:r>
      <w:r>
        <w:t xml:space="preserve"> Ap 8:2 (RV1909)</w:t>
      </w:r>
      <w:r>
        <w:br/>
      </w:r>
      <w:r>
        <w:rPr>
          <w:b/>
        </w:rPr>
        <w:t>Tal como está en la fuente:</w:t>
      </w:r>
      <w:r>
        <w:t xml:space="preserve"> Y vi los siete ángeles que estaban delante de Dios; y les fueron dadas siete trompetas.</w:t>
      </w:r>
      <w:r>
        <w:t>, y con la séptima llega «el tiempo de los muertos, para que sean juzgados»</w:t>
      </w:r>
      <w:r>
        <w:t xml:space="preserve"> (Ap 11:18)</w:t>
      </w:r>
      <w:r>
        <w:br/>
      </w:r>
      <w:r>
        <w:rPr>
          <w:b/>
        </w:rPr>
        <w:t>leída en su fuente · Ap 11:18</w:t>
      </w:r>
      <w:r>
        <w:br/>
      </w:r>
      <w:r>
        <w:rPr>
          <w:b/>
        </w:rPr>
        <w:t>Archivo leído:</w:t>
      </w:r>
      <w:r>
        <w:t xml:space="preserve"> sblgnt_Rev.txt (biblia_rv1909\spaRV1909_texto_corrido.txt) · contraste del archivo de pasajes: ✔</w:t>
      </w:r>
      <w:r>
        <w:br/>
      </w:r>
      <w:r>
        <w:rPr>
          <w:b/>
        </w:rPr>
        <w:t>Lugar:</w:t>
      </w:r>
      <w:r>
        <w:t xml:space="preserve"> Ap 11:15 (RV1909)</w:t>
      </w:r>
      <w:r>
        <w:br/>
      </w:r>
      <w:r>
        <w:rPr>
          <w:b/>
        </w:rPr>
        <w:t>Tal como está en la fuente:</w:t>
      </w:r>
      <w:r>
        <w:t xml:space="preserve"> Y se han airado las naciones, y tu ira es venida, y el tiempo de los muertos, para que sean juzgados, y para que des el galardón á tus siervos los profetas, y á los santos, y á los que temen tu nombre, á los pequeñitos y á los grandes, y para que destruyas los que destruyen la tierra.</w:t>
      </w:r>
      <w:r>
        <w:t>. Abre la serie siguiente.</w:t>
      </w:r>
    </w:p>
    <w:p>
      <w:pPr>
        <w:pStyle w:val="ListBullet"/>
      </w:pPr>
      <w:r>
        <w:rPr>
          <w:b/>
        </w:rPr>
        <w:t>El juicio es de Dios y del Cordero, y a cada uno según sus obras.</w:t>
      </w:r>
      <w:r>
        <w:t xml:space="preserve"> Las almas que piden justicia se la piden a Dios: «¿Hasta cuándo, Señor, santo y verdadero, no juzgas y vengas nuestra sangre de los que moran en la tierra?»</w:t>
      </w:r>
      <w:r>
        <w:t xml:space="preserve"> (Ap 6:10)</w:t>
      </w:r>
      <w:r>
        <w:br/>
      </w:r>
      <w:r>
        <w:rPr>
          <w:b/>
        </w:rPr>
        <w:t>leída en su fuente · Ap 6:10</w:t>
      </w:r>
      <w:r>
        <w:br/>
      </w:r>
      <w:r>
        <w:rPr>
          <w:b/>
        </w:rPr>
        <w:t>Archivo leído:</w:t>
      </w:r>
      <w:r>
        <w:t xml:space="preserve"> spaRV1909_vpl.txt (biblia_rv1909\spaRV1909_vpl.txt) · contraste del archivo de pasajes: ✔</w:t>
      </w:r>
      <w:r>
        <w:br/>
      </w:r>
      <w:r>
        <w:rPr>
          <w:b/>
        </w:rPr>
        <w:t>Lugar:</w:t>
      </w:r>
      <w:r>
        <w:t xml:space="preserve"> Ap 6:9 (RV1909)</w:t>
      </w:r>
      <w:r>
        <w:br/>
      </w:r>
      <w:r>
        <w:rPr>
          <w:b/>
        </w:rPr>
        <w:t>Tal como está en la fuente:</w:t>
      </w:r>
      <w:r>
        <w:t xml:space="preserve"> Y clamaban en alta voz diciendo: ¿Hasta cuándo, Señor, santo y verdadero, no juzgas y vengas nuestra sangre de los que moran en la tierra?</w:t>
      </w:r>
      <w:r>
        <w:t>; los que se esconden piden que se los esconda «de la cara de aquél que está sentado sobre el trono, y de la ira del Cordero»</w:t>
      </w:r>
      <w:r>
        <w:t xml:space="preserve"> (Ap 6:16)</w:t>
      </w:r>
      <w:r>
        <w:br/>
      </w:r>
      <w:r>
        <w:rPr>
          <w:b/>
        </w:rPr>
        <w:t>leída en su fuente · Ap 6:16</w:t>
      </w:r>
      <w:r>
        <w:br/>
      </w:r>
      <w:r>
        <w:rPr>
          <w:b/>
        </w:rPr>
        <w:t>Archivo leído:</w:t>
      </w:r>
      <w:r>
        <w:t xml:space="preserve"> spaRV1909_vpl.txt (biblia_rv1909\spaRV1909_vpl.txt) · contraste del archivo de pasajes: ✔</w:t>
      </w:r>
      <w:r>
        <w:br/>
      </w:r>
      <w:r>
        <w:rPr>
          <w:b/>
        </w:rPr>
        <w:t>Lugar:</w:t>
      </w:r>
      <w:r>
        <w:t xml:space="preserve"> Ap 6:12 (RV1909)</w:t>
      </w:r>
      <w:r>
        <w:br/>
      </w:r>
      <w:r>
        <w:rPr>
          <w:b/>
        </w:rPr>
        <w:t>Tal como está en la fuente:</w:t>
      </w:r>
      <w:r>
        <w:t xml:space="preserve"> Y decían á los montes y á las peñas: Caed sobre nosotros, y escondednos de la cara de aquél que está sentado sobre el trono, y de la ira del Cordero:</w:t>
      </w:r>
      <w:r>
        <w:t>; y de los muertos, «fué hecho juicio de cada uno según sus obras»</w:t>
      </w:r>
      <w:r>
        <w:t xml:space="preserve"> (Ap 20:13; el 20:12, arriba)</w:t>
      </w:r>
      <w:r>
        <w:br/>
      </w:r>
      <w:r>
        <w:rPr>
          <w:b/>
        </w:rPr>
        <w:t>leída en su fuente · Ap 20:13; el 20:12, arriba</w:t>
      </w:r>
      <w:r>
        <w:br/>
      </w:r>
      <w:r>
        <w:rPr>
          <w:b/>
        </w:rPr>
        <w:t>Archivo leído:</w:t>
      </w:r>
      <w:r>
        <w:t xml:space="preserve"> 3 LO QUE TODAS LAS TRADICIONES GUARDARON - EL ARCA.md (biblia_rv1909\spaRV1909_texto_corrido.txt) · contraste del archivo de pasajes: ✔</w:t>
      </w:r>
      <w:r>
        <w:br/>
      </w:r>
      <w:r>
        <w:rPr>
          <w:b/>
        </w:rPr>
        <w:t>Lugar:</w:t>
      </w:r>
      <w:r>
        <w:t xml:space="preserve"> Ap 20:11 (RV1909)</w:t>
      </w:r>
      <w:r>
        <w:br/>
      </w:r>
      <w:r>
        <w:rPr>
          <w:b/>
        </w:rPr>
        <w:t>Tal como está en la fuente:</w:t>
      </w:r>
      <w:r>
        <w:t xml:space="preserve"> Y el mar dió los muertos que estaban en él; y la muerte y el infierno dieron los muertos que estaban en ellos; y fué hecho juicio de cada uno según sus obras.</w:t>
      </w:r>
      <w:r>
        <w:t>. En la serie de los sellos y las trompetas no juzga ningún hombre. La otra cara: el mismo libro dice también «Y vi tronos, y se sentaron sobre ellos, y les fué dado juicio»</w:t>
      </w:r>
      <w:r>
        <w:t xml:space="preserve"> (Ap 20:4)</w:t>
      </w:r>
      <w:r>
        <w:br/>
      </w:r>
      <w:r>
        <w:rPr>
          <w:b/>
        </w:rPr>
        <w:t>leída en su fuente · Ap 20:4</w:t>
      </w:r>
      <w:r>
        <w:br/>
      </w:r>
      <w:r>
        <w:rPr>
          <w:b/>
        </w:rPr>
        <w:t>Archivo leído:</w:t>
      </w:r>
      <w:r>
        <w:t xml:space="preserve"> spaRV1909_texto_corrido.txt (biblia_rv1909\spaRV1909_texto_corrido.txt) · contraste del archivo de pasajes: ✔</w:t>
      </w:r>
      <w:r>
        <w:br/>
      </w:r>
      <w:r>
        <w:rPr>
          <w:b/>
        </w:rPr>
        <w:t>Lugar:</w:t>
      </w:r>
      <w:r>
        <w:t xml:space="preserve"> Ap 20:4</w:t>
      </w:r>
      <w:r>
        <w:br/>
      </w:r>
      <w:r>
        <w:rPr>
          <w:b/>
        </w:rPr>
        <w:t>Tal como está en la fuente:</w:t>
      </w:r>
      <w:r>
        <w:t xml:space="preserve"> Y vi tronos, y se sentaron sobre ellos, y les fué dado juicio</w:t>
      </w:r>
      <w:r>
        <w:t>. Converge con lo de arriba: la siega es de los ángeles (Mt 13:39).</w:t>
      </w:r>
    </w:p>
    <w:p>
      <w:pPr>
        <w:pStyle w:val="ListBullet"/>
      </w:pPr>
      <w:r>
        <w:rPr>
          <w:b/>
        </w:rPr>
        <w:t>El cuándo, en sus dos caras.</w:t>
      </w:r>
      <w:r>
        <w:t xml:space="preserve"> «el tiempo está cerca»</w:t>
      </w:r>
      <w:r>
        <w:t xml:space="preserve"> (Ap 1:3; y 22:10)</w:t>
      </w:r>
      <w:r>
        <w:t>; y, en el Evangelio, «del día y hora nadie sabe, ni aun los ángeles de los cielos, sino mi Padre solo»</w:t>
      </w:r>
      <w:r>
        <w:t xml:space="preserve"> (Mt 24:36)</w:t>
      </w:r>
      <w:r>
        <w:br/>
      </w:r>
      <w:r>
        <w:rPr>
          <w:b/>
        </w:rPr>
        <w:t>leída en su fuente · Mt 24:36</w:t>
      </w:r>
      <w:r>
        <w:br/>
      </w:r>
      <w:r>
        <w:rPr>
          <w:b/>
        </w:rPr>
        <w:t>Archivo leído:</w:t>
      </w:r>
      <w:r>
        <w:t xml:space="preserve"> sblgnt_Matt.txt (biblia_rv1909\spaRV1909_texto_corrido.txt) · contraste del archivo de pasajes: ✔</w:t>
      </w:r>
      <w:r>
        <w:br/>
      </w:r>
      <w:r>
        <w:rPr>
          <w:b/>
        </w:rPr>
        <w:t>Lugar:</w:t>
      </w:r>
      <w:r>
        <w:t xml:space="preserve"> Mt 24:36 (RV1909)</w:t>
      </w:r>
      <w:r>
        <w:br/>
      </w:r>
      <w:r>
        <w:rPr>
          <w:b/>
        </w:rPr>
        <w:t>Tal como está en la fuente:</w:t>
      </w:r>
      <w:r>
        <w:t xml:space="preserve"> Empero del día y hora nadie sabe, ni aun los ángeles de los cielos, sino mi Padre solo.</w:t>
      </w:r>
      <w:r>
        <w:t>. De no saber la hora el texto no saca una fecha, sino velar: «Velad pues, porque no sabéis á qué hora ha de venir vuestro Señor»</w:t>
      </w:r>
      <w:r>
        <w:t xml:space="preserve"> (Mt 24:42)</w:t>
      </w:r>
      <w:r>
        <w:br/>
      </w:r>
      <w:r>
        <w:rPr>
          <w:b/>
        </w:rPr>
        <w:t>leída en su fuente · Mt 24:42</w:t>
      </w:r>
      <w:r>
        <w:br/>
      </w:r>
      <w:r>
        <w:rPr>
          <w:b/>
        </w:rPr>
        <w:t>Archivo leído:</w:t>
      </w:r>
      <w:r>
        <w:t xml:space="preserve"> spaRV1909_vpl.txt (biblia_rv1909\spaRV1909_vpl.txt) · contraste del archivo de pasajes: ✔</w:t>
      </w:r>
      <w:r>
        <w:br/>
      </w:r>
      <w:r>
        <w:rPr>
          <w:b/>
        </w:rPr>
        <w:t>Lugar:</w:t>
      </w:r>
      <w:r>
        <w:t xml:space="preserve"> Mt 24:42 (RV1909)</w:t>
      </w:r>
      <w:r>
        <w:br/>
      </w:r>
      <w:r>
        <w:rPr>
          <w:b/>
        </w:rPr>
        <w:t>Tal como está en la fuente:</w:t>
      </w:r>
      <w:r>
        <w:t xml:space="preserve"> Velad pues, porque no sabéis á qué hora ha de venir vuestro Señor.</w:t>
      </w:r>
      <w:r>
        <w:t>.</w:t>
      </w:r>
    </w:p>
    <w:p>
      <w:r>
        <w:t>[orden firme de 08.26 con las palabras de Kiko, chat de 08.26, 12-oct-2026, 17:0x; el encargo de fuentes el_septimo_sello, 12-oct-2026, comprobado por programa: 119 de 119 frases en su archivo; los pasajes, en F.9]</w:t>
      </w:r>
    </w:p>
    <w:p>
      <w:r>
        <w:rPr>
          <w:b/>
        </w:rPr>
        <w:t>Lectura del autor: el cribado, con la pesa.</w:t>
      </w:r>
      <w:r>
        <w:t xml:space="preserve"> Qué de todo esto es la ley de Dios, y qué no, lo juzga el autor, y por eso va aquí y no como dato. Se pesa con la misma pesa de toda la obra (</w:t>
      </w:r>
      <w:r>
        <w:t>0.5</w:t>
      </w:r>
      <w:r>
        <w:t>): primero, ¿roca o arena?, y cada texto está leído en su original o en una traducción reconocida (</w:t>
      </w:r>
      <w:r>
        <w:t>F.9</w:t>
      </w:r>
      <w:r>
        <w:t>); después, por sus frutos, ¿sirve más allá de sí, se sirve, o no cuida ni cumple? Así quedan tres montones:</w:t>
      </w:r>
    </w:p>
    <w:p>
      <w:pPr>
        <w:pStyle w:val="ListBullet"/>
      </w:pPr>
      <w:r>
        <w:rPr>
          <w:b/>
        </w:rPr>
        <w:t>Lo que converge y sirve, candidato a lo recibido:</w:t>
      </w:r>
      <w:r>
        <w:t xml:space="preserve"> que las reglas no las inventa quien manda, sino que se reciben y se transmiten de padres a hijos (Dt 30:19; Ptahhotep; Shuruppak; Avot 1:1); que lo que mandan es hacer lo justo y lo verdadero (Mi 6:8; Ptahhotep; Mencio; Hesíodo; Platón); y que la vuelta está en manos de cada uno. Es lo mismo que guarda el Arca (</w:t>
      </w:r>
      <w:r>
        <w:t>3.2</w:t>
      </w:r>
      <w:r>
        <w:t>), con el mismo hilo: servir (</w:t>
      </w:r>
      <w:r>
        <w:t>3.6</w:t>
      </w:r>
      <w:r>
        <w:t>).</w:t>
      </w:r>
    </w:p>
    <w:p>
      <w:pPr>
        <w:pStyle w:val="ListBullet"/>
      </w:pPr>
      <w:r>
        <w:rPr>
          <w:b/>
        </w:rPr>
        <w:t>Lo propio de cada tradición, que se nombra y no se tacha:</w:t>
      </w:r>
      <w:r>
        <w:t xml:space="preserve"> quién trae la vuelta y cómo se llama lo recibido. Quién la trae: en el Nuevo Testamento, Jesús, que se llama a sí mismo el camino y pide que cada uno lo siga; el mismo libro dice también que nadie viene al Padre sino por él. En la Gita, el que nace de era en era; en el Corán, la dirección de Dios; en Platón, el dios que vuelve al timón. Cómo se llama lo recibido: la Torá, el yoga, el Tao, la Religión de Ahura. Es la fe de cada una, y la obra no toma partido entre ellas; lo que tienen en común, que el camino lo anda cada uno, es dato y está arriba.</w:t>
      </w:r>
    </w:p>
    <w:p>
      <w:pPr>
        <w:pStyle w:val="ListBullet"/>
      </w:pPr>
      <w:r>
        <w:rPr>
          <w:b/>
        </w:rPr>
        <w:t>Lo que se nombra con su diferencia: la orden de Zeus.</w:t>
      </w:r>
      <w:r>
        <w:t xml:space="preserve"> No se aparta ni se fuerza. El texto manda a la ciudad dar muerte al que no pueda participar de la reverencia y la justicia, pero después de la enseñanza y del castigo que disuade (arriba); y lo que converge con él lleva su diferencia: el juicio último no es del hombre y, cuando el hombre ejecuta, antes van el aviso, la investigación y el límite. Lo que el autor lee en ella va aparte, como aviso a navegantes.</w:t>
      </w:r>
    </w:p>
    <w:p>
      <w:r>
        <w:t>Y la pesa vale para quien pesa (</w:t>
      </w:r>
      <w:r>
        <w:t>2.5</w:t>
      </w:r>
      <w:r>
        <w:t>): lo que es dato es la cuenta; lo demás, lectura.</w:t>
      </w:r>
    </w:p>
    <w:p>
      <w:r>
        <w:rPr>
          <w:b/>
        </w:rPr>
        <w:t>Donde la fuente dice otra cosa.</w:t>
      </w:r>
      <w:r>
        <w:t xml:space="preserve"> En varios textos se esperaba una cosa y la fuente dice otra: Ezequiel no nombra el árbol de la vida, el traductor de Ptahhotep no escribe Maat, el Vendidad no habla de elegir, y el griego del Protágoras dice </w:t>
      </w:r>
      <w:r>
        <w:rPr>
          <w:i/>
        </w:rPr>
        <w:t>el que no pueda</w:t>
      </w:r>
      <w:r>
        <w:t xml:space="preserve"> participar donde la traducción de Jowett dice </w:t>
      </w:r>
      <w:r>
        <w:rPr>
          <w:i/>
        </w:rPr>
        <w:t>el que no tenga parte</w:t>
      </w:r>
      <w:r>
        <w:t>, y la Reina-Valera dice «desatar» los siete sellos donde el griego del Apocalipsis dice solo «abrir» (Ap 5:5; arriba). Se escribe lo que dice la fuente y se anota la diferencia, tradición por tradición, en F.9.</w:t>
      </w:r>
    </w:p>
    <w:p>
      <w:r>
        <w:t>[parlamento de la arqueología (08/21), apartado 4.4, con la pesa calibrada del parlamento de la balanza (08/22), 11.4; los montones segundo y tercero, con las decisiones de Kiko del parlamento 08/23, apartado 10; lectura del autor, sin dato nuevo]</w:t>
      </w:r>
    </w:p>
    <w:p>
      <w:r>
        <w:rPr>
          <w:b/>
        </w:rPr>
        <w:t>Conclusión, lo que arrojan los datos: todo se ve y, en la mayoría, queda escrito.</w:t>
      </w:r>
      <w:r>
        <w:t xml:space="preserve"> Con otra pregunta, si todo se ve y si todo queda escrito, se leyeron trece tradiciones: las doce de arriba y el norte. Los pasajes, en F.9.</w:t>
      </w:r>
    </w:p>
    <w:p>
      <w:pPr>
        <w:pStyle w:val="ListBullet"/>
      </w:pPr>
      <w:r>
        <w:rPr>
          <w:b/>
        </w:rPr>
        <w:t>Todo se ve, en diez de las trece,</w:t>
      </w:r>
      <w:r>
        <w:t xml:space="preserve"> también lo que se hace a escondidas. Dios conoce el sentarse y el levantarse del hombre y su palabra antes de que la diga, y las tinieblas no le encubren nada (Sal 139:1-12); sus ojos están en todo lugar, mirando a los malos y a los buenos (Pr 15:3). Varuna está como tercero donde dos cuchichean y ha contado los parpadeos de los hombres (Atharva Veda 4.16), y sus espías recorren con la vista las dos mitades del mundo (Rig Veda 7.87.3). El Cielo ve como ve el pueblo (Shujing, la Gran Declaración, que ya cita Mencio, 5A5), y su red, de mallas anchas, no deja escapar nada (Daodejing 73). Lo dicen también el Nuevo Testamento, la tradición rabínica, el islam, Persia, Egipto y Grecia, y el Popol Vuh al revés: lo ven todo los dioses, que empañan los ojos de los primeros hombres para que solo vean lo cercano. Converge en las tres patas sin contacto documentado: Israel, la India y China. En el norte, en parte (los cuervos de Odín); en lo leído de Mesopotamia no se halló; y en el budismo nadie mira: la consecuencia sigue sola a la obra.</w:t>
      </w:r>
    </w:p>
    <w:p>
      <w:pPr>
        <w:pStyle w:val="ListBullet"/>
      </w:pPr>
      <w:r>
        <w:rPr>
          <w:b/>
        </w:rPr>
        <w:t>Queda escrito, en ocho:</w:t>
      </w:r>
      <w:r>
        <w:t xml:space="preserve"> en el libro de memoria (Mal 3:16) y en los libros que se abren en el juicio (Dn 7:10); en el libro donde se escriben todas las obras (Avot 2:1); en los libros por los que se juzga a los muertos según sus obras (Ap 20:12); por unos escribas nobles que saben lo que hace cada uno, en una Escritura que no deja nada sin contar, ni grande ni pequeño (Corán 82:10-12 y 18:49); por Thot, que con Maat lleva el registro (Papiro de Ani); en los registros según los cuales se da a los justos lo que les corresponde (Yasna 31:14, en la traducción de avesta.org); por los espíritus que anotan las culpas de los hombres (Ganying Pian); y por Hades, que lo observa todo y lo inscribe en su mente (Esquilo, Euménides 273-275). Pero no converge en las tres patas, solo en una, Israel: en la India y en el budismo no hay libro ni escriba, porque la cuenta la lleva la propia obra (Bṛhadāraṇyaka Upanishad 4.4.5; Dhammapada 127); y el texto chino es un tratado taoísta que su traductor sitúa en el siglo XI, y él mismo dice que la llegada del sistema indio a China fue lo que más influyó en el taoísmo (Legge). En lo leído de Mesopotamia, del norte y del Popol Vuh no se dice.</w:t>
      </w:r>
    </w:p>
    <w:p>
      <w:pPr>
        <w:pStyle w:val="ListBullet"/>
      </w:pPr>
      <w:r>
        <w:rPr>
          <w:b/>
        </w:rPr>
        <w:t>Para qué:</w:t>
      </w:r>
      <w:r>
        <w:t xml:space="preserve"> casi siempre, para el juicio; a veces, para el cuidado o para la memoria (Sal 56:8; Mal 3:16). Y la frase de que hasta los cabellos están contados (Mt 10:30; Lc 12:7) va entre dos llamadas a no temer, junto a los pajarillos, de los que ni uno cae a tierra sin el Padre: habla de su cuidado hasta lo más pequeño, no de un libro de las obras.</w:t>
      </w:r>
    </w:p>
    <w:p>
      <w:pPr>
        <w:pStyle w:val="ListBullet"/>
      </w:pPr>
      <w:r>
        <w:rPr>
          <w:b/>
        </w:rPr>
        <w:t>En contra o con matiz:</w:t>
      </w:r>
      <w:r>
        <w:t xml:space="preserve"> Job se queja de que Dios lo mire a todas horas (Job 7:17-20); el Eclesiastés dice que de los muertos se olvida hasta la memoria (Ecl 9:5); para Epicuro, el ser bienaventurado no conoce la ira ni el favor (Diógenes Laercio X, 139); y el Cielo y la Tierra del Daodejing no obran por benevolencia (Daodejing 5).</w:t>
      </w:r>
    </w:p>
    <w:p>
      <w:r>
        <w:t>[fila 569 de 08/01: Kiko, chat de 08.24, 12-oct-2026; el encargo de fuentes el_registro_de_todo, 12-oct-2026, comprobado por programa: 209 de 209 frases en su archivo; la fecha del Ganying Pian, de la introducción de Legge (Sacred Books of the East, 39, 1891); los pasajes, en F.9]</w:t>
      </w:r>
    </w:p>
    <w:p>
      <w:r>
        <w:rPr>
          <w:b/>
        </w:rPr>
        <w:t>Conclusión, lo que arrojan los datos: el ungido, tal como lo dice el texto.</w:t>
      </w:r>
      <w:r>
        <w:t xml:space="preserve"> La palabra «Cristo» sí está en los textos, y dice esto; los pasajes, en F.9.</w:t>
      </w:r>
    </w:p>
    <w:p>
      <w:pPr>
        <w:pStyle w:val="ListBullet"/>
      </w:pPr>
      <w:r>
        <w:rPr>
          <w:b/>
        </w:rPr>
        <w:t>«Cristo» es «ungido»: un título, no un apellido.</w:t>
      </w:r>
      <w:r>
        <w:t xml:space="preserve"> El propio Nuevo Testamento lo traduce: «Hemos hallado al Mesías (que declarado es, el Cristo)»</w:t>
      </w:r>
      <w:r>
        <w:t xml:space="preserve"> (Jn 1:41)</w:t>
      </w:r>
      <w:r>
        <w:br/>
      </w:r>
      <w:r>
        <w:rPr>
          <w:b/>
        </w:rPr>
        <w:t>leída en su fuente · Jn 1:41</w:t>
      </w:r>
      <w:r>
        <w:br/>
      </w:r>
      <w:r>
        <w:rPr>
          <w:b/>
        </w:rPr>
        <w:t>Archivo leído:</w:t>
      </w:r>
      <w:r>
        <w:t xml:space="preserve"> sblgnt_John.txt (biblia_rv1909\spaRV1909_texto_corrido.txt) · contraste del archivo de pasajes: ✔</w:t>
      </w:r>
      <w:r>
        <w:br/>
      </w:r>
      <w:r>
        <w:rPr>
          <w:b/>
        </w:rPr>
        <w:t>Lugar:</w:t>
      </w:r>
      <w:r>
        <w:t xml:space="preserve"> Jn 1:41 (RV1909)</w:t>
      </w:r>
      <w:r>
        <w:br/>
      </w:r>
      <w:r>
        <w:rPr>
          <w:b/>
        </w:rPr>
        <w:t>Tal como está en la fuente:</w:t>
      </w:r>
      <w:r>
        <w:t xml:space="preserve"> Este halló primero á su hermano Simón, y díjole: Hemos hallado al Mesías (que declarado es, el Cristo).</w:t>
      </w:r>
      <w:r>
        <w:t>; de Jesús dice que Dios lo «ha hecho Señor y Cristo»</w:t>
      </w:r>
      <w:r>
        <w:t xml:space="preserve"> (Hch 2:36)</w:t>
      </w:r>
      <w:r>
        <w:t xml:space="preserve"> y que «le ungió Dios de Espíritu Santo y de potencia»</w:t>
      </w:r>
      <w:r>
        <w:t xml:space="preserve"> (Hch 10:38)</w:t>
      </w:r>
      <w:r>
        <w:br/>
      </w:r>
      <w:r>
        <w:rPr>
          <w:b/>
        </w:rPr>
        <w:t>leída en su fuente · Hch 10:38</w:t>
      </w:r>
      <w:r>
        <w:br/>
      </w:r>
      <w:r>
        <w:rPr>
          <w:b/>
        </w:rPr>
        <w:t>Archivo leído:</w:t>
      </w:r>
      <w:r>
        <w:t xml:space="preserve"> sblgnt_Acts.txt (biblia_rv1909\spaRV1909_texto_corrido.txt) · contraste del archivo de pasajes: ✔</w:t>
      </w:r>
      <w:r>
        <w:br/>
      </w:r>
      <w:r>
        <w:rPr>
          <w:b/>
        </w:rPr>
        <w:t>Lugar:</w:t>
      </w:r>
      <w:r>
        <w:t xml:space="preserve"> Hch 10:38 (RV1909)</w:t>
      </w:r>
      <w:r>
        <w:br/>
      </w:r>
      <w:r>
        <w:rPr>
          <w:b/>
        </w:rPr>
        <w:t>Tal como está en la fuente:</w:t>
      </w:r>
      <w:r>
        <w:t xml:space="preserve"> [Cuanto] á Jesús de Nazaret; cómo le ungió Dios de Espíritu Santo y de potencia; el cual anduvo haciendo bienes, y sanando á todos los oprimidos del diablo; porque Dios era con él.</w:t>
      </w:r>
      <w:r>
        <w:t>. En la Biblia hebrea, «ungido» se dice del sacerdote (Lv 4:3), del rey, «el ungido de Jehová»</w:t>
      </w:r>
      <w:r>
        <w:t xml:space="preserve"> (1 S 24:7)</w:t>
      </w:r>
      <w:r>
        <w:t>, y hasta de Ciro, rey de Persia: «á su ungido, á Ciro»</w:t>
      </w:r>
      <w:r>
        <w:t xml:space="preserve"> (Is 45:1)</w:t>
      </w:r>
      <w:r>
        <w:t>, «aunque no me conociste»</w:t>
      </w:r>
      <w:r>
        <w:t xml:space="preserve"> (Is 45:4)</w:t>
      </w:r>
      <w:r>
        <w:t>.</w:t>
      </w:r>
    </w:p>
    <w:p>
      <w:pPr>
        <w:pStyle w:val="ListBullet"/>
      </w:pPr>
      <w:r>
        <w:rPr>
          <w:b/>
        </w:rPr>
        <w:t>Ungir es untar con aceite para un oficio.</w:t>
      </w:r>
      <w:r>
        <w:t xml:space="preserve"> Con el mismo verbo hebreo se pinta una casa (Jer 22:14) y se unta un escudo (Is 21:5). Se unge al sacerdote, «Ungirás también á Aarón y á sus hijos, y los consagrarás para que sean mis sacerdotes»</w:t>
      </w:r>
      <w:r>
        <w:t xml:space="preserve"> (Ex 30:30)</w:t>
      </w:r>
      <w:r>
        <w:br/>
      </w:r>
      <w:r>
        <w:rPr>
          <w:b/>
        </w:rPr>
        <w:t>leída en su fuente · Ex 30:30</w:t>
      </w:r>
      <w:r>
        <w:br/>
      </w:r>
      <w:r>
        <w:rPr>
          <w:b/>
        </w:rPr>
        <w:t>Archivo leído:</w:t>
      </w:r>
      <w:r>
        <w:t xml:space="preserve"> Exod.txt (biblia_rv1909\spaRV1909_texto_corrido.txt) · contraste del archivo de pasajes: ✔</w:t>
      </w:r>
      <w:r>
        <w:br/>
      </w:r>
      <w:r>
        <w:rPr>
          <w:b/>
        </w:rPr>
        <w:t>Lugar:</w:t>
      </w:r>
      <w:r>
        <w:t xml:space="preserve"> Ex 30:30 (RV1909)</w:t>
      </w:r>
      <w:r>
        <w:br/>
      </w:r>
      <w:r>
        <w:rPr>
          <w:b/>
        </w:rPr>
        <w:t>Tal como está en la fuente:</w:t>
      </w:r>
      <w:r>
        <w:t xml:space="preserve"> Ungirás también á Aarón y á sus hijos, y los consagrarás para que sean mis sacerdotes.</w:t>
      </w:r>
      <w:r>
        <w:t>, al rey (1 S 10:1) y, por mandato, al profeta (1 R 19:16).</w:t>
      </w:r>
    </w:p>
    <w:p>
      <w:pPr>
        <w:pStyle w:val="ListBullet"/>
      </w:pPr>
      <w:r>
        <w:rPr>
          <w:b/>
        </w:rPr>
        <w:t>El Espíritu lo muda.</w:t>
      </w:r>
      <w:r>
        <w:t xml:space="preserve"> A Saúl, al ungirlo: «serás mudado en otro hombre»</w:t>
      </w:r>
      <w:r>
        <w:t xml:space="preserve"> (1 S 10:6)</w:t>
      </w:r>
      <w:r>
        <w:br/>
      </w:r>
      <w:r>
        <w:rPr>
          <w:b/>
        </w:rPr>
        <w:t>pasaje guardado</w:t>
      </w:r>
      <w:r>
        <w:br/>
      </w:r>
      <w:r>
        <w:rPr>
          <w:b/>
        </w:rPr>
        <w:t>Archivo leído:</w:t>
      </w:r>
      <w:r>
        <w:t xml:space="preserve"> 1Sam.txt (biblia_rv1909\spaRV1909_texto_corrido.txt) · contraste del archivo de pasajes: ✔</w:t>
      </w:r>
      <w:r>
        <w:br/>
      </w:r>
      <w:r>
        <w:rPr>
          <w:b/>
        </w:rPr>
        <w:t>Lugar:</w:t>
      </w:r>
      <w:r>
        <w:t xml:space="preserve"> 1 S 10:1 (RV1909)</w:t>
      </w:r>
      <w:r>
        <w:br/>
      </w:r>
      <w:r>
        <w:rPr>
          <w:b/>
        </w:rPr>
        <w:t>Tal como está en la fuente:</w:t>
      </w:r>
      <w:r>
        <w:t xml:space="preserve"> Y el espíritu de Jehová te arrebatará, y profetizarás con ellos, y serás mudado en otro hombre.</w:t>
      </w:r>
      <w:r>
        <w:t>; a David, «desde aquel día en adelante el espíritu de Jehová tomó á David»</w:t>
      </w:r>
      <w:r>
        <w:t xml:space="preserve"> (1 S 16:13)</w:t>
      </w:r>
      <w:r>
        <w:br/>
      </w:r>
      <w:r>
        <w:rPr>
          <w:b/>
        </w:rPr>
        <w:t>leída en su fuente · 1 S 16:13</w:t>
      </w:r>
      <w:r>
        <w:br/>
      </w:r>
      <w:r>
        <w:rPr>
          <w:b/>
        </w:rPr>
        <w:t>Archivo leído:</w:t>
      </w:r>
      <w:r>
        <w:t xml:space="preserve"> 1Sam.txt (biblia_rv1909\spaRV1909_texto_corrido.txt) · contraste del archivo de pasajes: ✔</w:t>
      </w:r>
      <w:r>
        <w:br/>
      </w:r>
      <w:r>
        <w:rPr>
          <w:b/>
        </w:rPr>
        <w:t>Lugar:</w:t>
      </w:r>
      <w:r>
        <w:t xml:space="preserve"> 1 S 16:13 (RV1909)</w:t>
      </w:r>
      <w:r>
        <w:br/>
      </w:r>
      <w:r>
        <w:rPr>
          <w:b/>
        </w:rPr>
        <w:t>Tal como está en la fuente:</w:t>
      </w:r>
      <w:r>
        <w:t xml:space="preserve"> Y Samuel tomó el cuerno del aceite, y ungiólo de entre sus hermanos: y desde aquel día en adelante el espíritu de Jehová tomó á David. Levantóse luego Samuel, y volvióse á Rama.</w:t>
      </w:r>
      <w:r>
        <w:t>. Y Isaías une unción, Espíritu y tarea: «EL espíritu del Señor Jehová es sobre mí, porque me ungió Jehová»</w:t>
      </w:r>
      <w:r>
        <w:t xml:space="preserve"> (Is 61:1)</w:t>
      </w:r>
      <w:r>
        <w:br/>
      </w:r>
      <w:r>
        <w:rPr>
          <w:b/>
        </w:rPr>
        <w:t>leída en su fuente · Is 61:1</w:t>
      </w:r>
      <w:r>
        <w:br/>
      </w:r>
      <w:r>
        <w:rPr>
          <w:b/>
        </w:rPr>
        <w:t>Archivo leído:</w:t>
      </w:r>
      <w:r>
        <w:t xml:space="preserve"> sblgnt_Luke.txt (biblia_rv1909\spaRV1909_texto_corrido.txt) · contraste del archivo de pasajes: ✔</w:t>
      </w:r>
      <w:r>
        <w:br/>
      </w:r>
      <w:r>
        <w:rPr>
          <w:b/>
        </w:rPr>
        <w:t>Lugar:</w:t>
      </w:r>
      <w:r>
        <w:t xml:space="preserve"> Is 61:1 (RV1909)</w:t>
      </w:r>
      <w:r>
        <w:br/>
      </w:r>
      <w:r>
        <w:rPr>
          <w:b/>
        </w:rPr>
        <w:t>Tal como está en la fuente:</w:t>
      </w:r>
      <w:r>
        <w:t xml:space="preserve"> EL espíritu del Señor Jehová es sobre mí, porque me ungió Jehová; hame enviado á predicar buenas nuevas á los abatidos, á vendar á los quebrantados de corazón, á publicar libertad á los cautivos, y á los presos abertura de la cárcel;</w:t>
      </w:r>
      <w:r>
        <w:t>, que Jesús lee de sí (Lc 4:21).</w:t>
      </w:r>
    </w:p>
    <w:p>
      <w:pPr>
        <w:pStyle w:val="ListBullet"/>
      </w:pPr>
      <w:r>
        <w:rPr>
          <w:b/>
        </w:rPr>
        <w:t>De unos pocos, y prometido a todos.</w:t>
      </w:r>
      <w:r>
        <w:t xml:space="preserve"> En la Biblia hebrea se unge a unos pocos, por su oficio, con el deseo de Moisés, «ojalá que todo el pueblo de Jehová fuesen profetas»</w:t>
      </w:r>
      <w:r>
        <w:t xml:space="preserve"> (Nm 11:29)</w:t>
      </w:r>
      <w:r>
        <w:br/>
      </w:r>
      <w:r>
        <w:rPr>
          <w:b/>
        </w:rPr>
        <w:t>leída en su fuente · Nm 11:29</w:t>
      </w:r>
      <w:r>
        <w:br/>
      </w:r>
      <w:r>
        <w:rPr>
          <w:b/>
        </w:rPr>
        <w:t>Archivo leído:</w:t>
      </w:r>
      <w:r>
        <w:t xml:space="preserve"> Num.txt (biblia_rv1909\spaRV1909_texto_corrido.txt) · contraste del archivo de pasajes: ✔</w:t>
      </w:r>
      <w:r>
        <w:br/>
      </w:r>
      <w:r>
        <w:rPr>
          <w:b/>
        </w:rPr>
        <w:t>Lugar:</w:t>
      </w:r>
      <w:r>
        <w:t xml:space="preserve"> Nm 11:29 (RV1909)</w:t>
      </w:r>
      <w:r>
        <w:br/>
      </w:r>
      <w:r>
        <w:rPr>
          <w:b/>
        </w:rPr>
        <w:t>Tal como está en la fuente:</w:t>
      </w:r>
      <w:r>
        <w:t xml:space="preserve"> Y Moisés le respondió: ¿Tienes tú celos por mí? mas ojalá que todo el pueblo de Jehová fuesen profetas, que Jehová pusiera su espíritu sobre ellos.</w:t>
      </w:r>
      <w:r>
        <w:t>, y la promesa, «derramaré mi Espíritu sobre toda carne»</w:t>
      </w:r>
      <w:r>
        <w:t xml:space="preserve"> (Jl 2:28)</w:t>
      </w:r>
      <w:r>
        <w:br/>
      </w:r>
      <w:r>
        <w:rPr>
          <w:b/>
        </w:rPr>
        <w:t>leída en su fuente · Jl 2:28</w:t>
      </w:r>
      <w:r>
        <w:br/>
      </w:r>
      <w:r>
        <w:rPr>
          <w:b/>
        </w:rPr>
        <w:t>Archivo leído:</w:t>
      </w:r>
      <w:r>
        <w:t xml:space="preserve"> sblgnt_Acts.txt (biblia_rv1909\spaRV1909_texto_corrido.txt) · contraste del archivo de pasajes: ✔</w:t>
      </w:r>
      <w:r>
        <w:br/>
      </w:r>
      <w:r>
        <w:rPr>
          <w:b/>
        </w:rPr>
        <w:t>Lugar:</w:t>
      </w:r>
      <w:r>
        <w:t xml:space="preserve"> Jl 2:28 (RV1909)</w:t>
      </w:r>
      <w:r>
        <w:br/>
      </w:r>
      <w:r>
        <w:rPr>
          <w:b/>
        </w:rPr>
        <w:t>Tal como está en la fuente:</w:t>
      </w:r>
      <w:r>
        <w:t xml:space="preserve"> Y será que después de esto, derramaré mi Espíritu sobre toda carne, y profetizarán vuestros hijos y vuestras hijas; vuestros viejos soñarán sueños, y vuestros mancebos verán visiones.</w:t>
      </w:r>
      <w:r>
        <w:t>, que Pedro cita (Hch 2:17). En el Nuevo Testamento, de todos los que creen: «la unción que vosotros habéis recibido de él, mora en vosotros»</w:t>
      </w:r>
      <w:r>
        <w:t xml:space="preserve"> (1 Jn 2:27)</w:t>
      </w:r>
      <w:r>
        <w:br/>
      </w:r>
      <w:r>
        <w:rPr>
          <w:b/>
        </w:rPr>
        <w:t>leída en su fuente · 1 Jn 2:27</w:t>
      </w:r>
      <w:r>
        <w:br/>
      </w:r>
      <w:r>
        <w:rPr>
          <w:b/>
        </w:rPr>
        <w:t>Archivo leído:</w:t>
      </w:r>
      <w:r>
        <w:t xml:space="preserve"> sblgnt_1John.txt (biblia_rv1909\spaRV1909_texto_corrido.txt) · contraste del archivo de pasajes: ✔</w:t>
      </w:r>
      <w:r>
        <w:br/>
      </w:r>
      <w:r>
        <w:rPr>
          <w:b/>
        </w:rPr>
        <w:t>Lugar:</w:t>
      </w:r>
      <w:r>
        <w:t xml:space="preserve"> 1 Jn 2:20 (RV1909)</w:t>
      </w:r>
      <w:r>
        <w:br/>
      </w:r>
      <w:r>
        <w:rPr>
          <w:b/>
        </w:rPr>
        <w:t>Tal como está en la fuente:</w:t>
      </w:r>
      <w:r>
        <w:t xml:space="preserve"> Pero la unción que vosotros habéis recibido de él, mora en vosotros, y no tenéis necesidad que ninguno os enseñe; mas como la unción misma os enseña de todas cosas, y es verdadera, y no es mentira, así como os ha enseñado, perseveraréis en él.</w:t>
      </w:r>
      <w:r>
        <w:t>.</w:t>
      </w:r>
    </w:p>
    <w:p>
      <w:pPr>
        <w:pStyle w:val="ListBullet"/>
      </w:pPr>
      <w:r>
        <w:rPr>
          <w:b/>
        </w:rPr>
        <w:t>Converge en las tres patas, con límites.</w:t>
      </w:r>
      <w:r>
        <w:t xml:space="preserve"> En las tres tradiciones sin contacto documentado alguien recibe o alcanza algo de lo alto: en Israel, por unción y Espíritu; en la India, por un camino propio y sin unción (el de mente firme, Bhagavad Gita 2.55 y 2.72); en China, por la virtud (el Mandato del Cielo, en el Shujing; el sabio, de nuestra misma especie, Mencio 6A7). Israel lo dice como algo que Dios da; la India y China, como algo que se alcanza. Y las tres le ponen límite: «se levantarán falsos Cristos, y falsos profetas»</w:t>
      </w:r>
      <w:r>
        <w:t xml:space="preserve"> (Mt 24:24)</w:t>
      </w:r>
      <w:r>
        <w:br/>
      </w:r>
      <w:r>
        <w:rPr>
          <w:b/>
        </w:rPr>
        <w:t>leída en su fuente · Mt 24:24</w:t>
      </w:r>
      <w:r>
        <w:br/>
      </w:r>
      <w:r>
        <w:rPr>
          <w:b/>
        </w:rPr>
        <w:t>Archivo leído:</w:t>
      </w:r>
      <w:r>
        <w:t xml:space="preserve"> sblgnt_Matt.txt (biblia_rv1909\spaRV1909_texto_corrido.txt) · contraste del archivo de pasajes: ✔</w:t>
      </w:r>
      <w:r>
        <w:br/>
      </w:r>
      <w:r>
        <w:rPr>
          <w:b/>
        </w:rPr>
        <w:t>Lugar:</w:t>
      </w:r>
      <w:r>
        <w:t xml:space="preserve"> Mt 24:24 (RV1909)</w:t>
      </w:r>
      <w:r>
        <w:br/>
      </w:r>
      <w:r>
        <w:rPr>
          <w:b/>
        </w:rPr>
        <w:t>Tal como está en la fuente:</w:t>
      </w:r>
      <w:r>
        <w:t xml:space="preserve"> Porque se levantarán falsos Cristos, y falsos profetas, y darán señales grandes y prodigios; de tal manera que engañarán, si [es] posible, aun á los escogidos.</w:t>
      </w:r>
      <w:r>
        <w:t>, y la prueba del que habla en nombre de Dios es que se cumpla (Dt 18:22); el Cielo ayuda solo al virtuoso (Shujing); y el sabio es difícil de hallar (Bhagavad Gita 7.19).</w:t>
      </w:r>
    </w:p>
    <w:p>
      <w:r>
        <w:t>[orden firme de 08.26 con las palabras de Kiko, chat de 08.26, 12-oct-2026, 17:0x; el encargo de fuentes el_camino_y_el_aviso, lotes D y E, 12-oct-2026, verificados por programa; los pasajes, en F.9]</w:t>
      </w:r>
    </w:p>
    <w:p>
      <w:r>
        <w:rPr>
          <w:b/>
        </w:rPr>
        <w:t>Lectura del autor: aviso a navegantes.</w:t>
      </w:r>
      <w:r>
        <w:t xml:space="preserve"> El autor lee la orden de Zeus como un aviso a navegantes: no habla de un hombre frente a otro, sino que transmite las consecuencias del día del juicio; y, como con el hijo que se porta mal, antes de la corrección van varios avisos. Es lectura y no dato, porque el texto de Platón manda a la ciudad ejecutar (arriba); y al lado va lo que la obra pide a todos: nadie se toma la justicia por su mano (el </w:t>
      </w:r>
      <w:r>
        <w:t>capítulo 9</w:t>
      </w:r>
      <w:r>
        <w:t xml:space="preserve">, en su límite honesto; </w:t>
      </w:r>
      <w:r>
        <w:t>10.3</w:t>
      </w:r>
      <w:r>
        <w:t>). El camino, para el autor, es el del poeta: «caminante, no hay camino, / se hace camino al andar»</w:t>
      </w:r>
      <w:r>
        <w:t xml:space="preserve"> (Antonio Machado, Poesías completas, Madrid, Publicaciones de la Residencia de Estudiantes, 1917, CXXXVI, «Proverbios y cantares», XXVIII)</w:t>
      </w:r>
      <w:r>
        <w:br/>
      </w:r>
      <w:r>
        <w:rPr>
          <w:b/>
        </w:rPr>
        <w:t>leída en su fuente · Antonio Machado, Poesías completas, Madrid, Publicaciones de la Residencia de Estudiantes,</w:t>
      </w:r>
      <w:r>
        <w:br/>
      </w:r>
      <w:r>
        <w:rPr>
          <w:b/>
        </w:rPr>
        <w:t>Archivo leído:</w:t>
      </w:r>
      <w:r>
        <w:t xml:space="preserve"> machado_poesias_completas_1917_gutenberg_68525.txt (reglas_del_juego_12oct\originales\machado_poesias_completas_1917_gutenberg_68525.txt) · contraste del archivo de pasajes: ✔</w:t>
      </w:r>
      <w:r>
        <w:br/>
      </w:r>
      <w:r>
        <w:rPr>
          <w:b/>
        </w:rPr>
        <w:t>Lugar:</w:t>
      </w:r>
      <w:r>
        <w:t xml:space="preserve"> Antonio Machado, Poesías completas, Madrid, Publicaciones de la Residencia de Estudiantes, 1917, CXXXVI, «Proverbios y cantares», XXVIII</w:t>
      </w:r>
      <w:r>
        <w:br/>
      </w:r>
      <w:r>
        <w:rPr>
          <w:b/>
        </w:rPr>
        <w:t>Tal como está en la fuente:</w:t>
      </w:r>
      <w:r>
        <w:t xml:space="preserve"> caminante, no hay camino, / se hace camino al andar</w:t>
      </w:r>
      <w:r>
        <w:t>. Y lo dice con una imagen suya: sigue al conejo blanco por las baldosas amarillas. Es el aviso para los navegantes en el fluir de la vida. Lo que el autor llama «energía crística» no está en los textos con ese nombre (lo más cercano es la teosofía de 1887; lo que sí dice el texto: «Dios es el que en vosotros obra»</w:t>
      </w:r>
      <w:r>
        <w:t xml:space="preserve"> (Flp 2:13)</w:t>
      </w:r>
      <w:r>
        <w:br/>
      </w:r>
      <w:r>
        <w:rPr>
          <w:b/>
        </w:rPr>
        <w:t>leída en su fuente · Flp 2:13</w:t>
      </w:r>
      <w:r>
        <w:br/>
      </w:r>
      <w:r>
        <w:rPr>
          <w:b/>
        </w:rPr>
        <w:t>Archivo leído:</w:t>
      </w:r>
      <w:r>
        <w:t xml:space="preserve"> sblgnt_Phil.txt (biblia_rv1909\spaRV1909_texto_corrido.txt) · contraste del archivo de pasajes: ✔</w:t>
      </w:r>
      <w:r>
        <w:br/>
      </w:r>
      <w:r>
        <w:rPr>
          <w:b/>
        </w:rPr>
        <w:t>Lugar:</w:t>
      </w:r>
      <w:r>
        <w:t xml:space="preserve"> Flp 2:13 (RV1909)</w:t>
      </w:r>
      <w:r>
        <w:br/>
      </w:r>
      <w:r>
        <w:rPr>
          <w:b/>
        </w:rPr>
        <w:t>Tal como está en la fuente:</w:t>
      </w:r>
      <w:r>
        <w:t xml:space="preserve"> Porque Dios es el que en vosotros obra así el querer como el hacer, por su buena voluntad.</w:t>
      </w:r>
      <w:r>
        <w:t xml:space="preserve">, </w:t>
      </w:r>
      <w:r>
        <w:t>F.9</w:t>
      </w:r>
      <w:r>
        <w:t xml:space="preserve">): es su palabra para el estado del ungido, «tocado por la mano de Dios», que él lee como estar alineado en un estado de equilibrio en virtud (el centro de la balanza, </w:t>
      </w:r>
      <w:r>
        <w:t>0.5</w:t>
      </w:r>
      <w:r>
        <w:t>). Ahora que conoces las verdaderas reglas del juego, ¿qué vas a hacer cuando nadie te mira? ¿Realmente estás seguro? Con toda la documentación recopilada, ¿crees ya que existe un ser superior? ¿Alguna vez has dejado de creer que existe Dios? ¿Cómo es posible que tantas tradiciones converjan? Algo de verdad tiene que haber: cuando el río suena, agua lleva. Ahora que todo ha sido desvelado, las reglas del juego ya están en manos de todos. ¿Qué vamos a hacer con todo esto?</w:t>
      </w:r>
    </w:p>
    <w:p>
      <w:r>
        <w:t>[parlamento 08/23, apartado 10: las palabras de Kiko del 12-oct-2026; lectura del autor, sin dato nuevo]</w:t>
      </w:r>
    </w:p>
    <w:p>
      <w:pPr>
        <w:pStyle w:val="Heading2"/>
      </w:pPr>
      <w:r>
        <w:t>Límite honesto de la prueba</w:t>
      </w:r>
    </w:p>
    <w:p>
      <w:pPr>
        <w:pStyle w:val="ListBullet"/>
      </w:pPr>
      <w:r>
        <w:rPr>
          <w:b/>
        </w:rPr>
        <w:t>La convergencia no es unanimidad.</w:t>
      </w:r>
      <w:r>
        <w:t xml:space="preserve"> Cada principio tiene su pata coja, a veces dentro de la misma tradición (la usura con el extranjero en Dt 23:20; la obediencia al mal gobernante en algunos hadices). Se dicen todas.</w:t>
      </w:r>
    </w:p>
    <w:p>
      <w:pPr>
        <w:pStyle w:val="ListBullet"/>
      </w:pPr>
      <w:r>
        <w:rPr>
          <w:b/>
        </w:rPr>
        <w:t>Las fuentes no son todas «puras».</w:t>
      </w:r>
      <w:r>
        <w:t xml:space="preserve"> Muchas de las de África, América y Oceanía las escribieron autores formados en el cristianismo u observadores europeos, y Garcilaso idealiza a los incas. Valen como constancia de lo que esas tradiciones contaban de sí mismas. </w:t>
      </w:r>
      <w:r>
        <w:t>[archivo del Arca, aviso del bloque de África, América y Oceanía]</w:t>
      </w:r>
    </w:p>
    <w:p>
      <w:pPr>
        <w:pStyle w:val="ListBullet"/>
      </w:pPr>
      <w:r>
        <w:rPr>
          <w:b/>
        </w:rPr>
        <w:t>No todas las patas cuentan como independientes, y algunas fechas se discuten.</w:t>
      </w:r>
      <w:r>
        <w:t xml:space="preserve"> Un texto que repite a otro, que es de la misma obra o que se parece a un código vecino se dice, pero no cuenta aparte: Etiopía, Nicea y España parten de la Biblia en la usura (</w:t>
      </w:r>
      <w:r>
        <w:t>3.3</w:t>
      </w:r>
      <w:r>
        <w:t xml:space="preserve">); 1 Samuel y 1 Reyes son una sola narración (P2); el Código de la Alianza trata el mismo caso que Hammurabi (P5). Y varias fechas no están cerradas: las Analectas 20.1 están en un libro que una tesis tradicional tiene por tardío (P4), y no se puede probar que ningún texto chino sobre pesas y medidas sea más antiguo que él, porque el Canon de Shun y el Yueling tampoco tienen fecha cerrada; las máximas de Ptahhotep pudieron componerse en el Reino Medio (P3); y la fecha de la Gran Ley de la Paz se discute, desde 1142 hasta las últimas décadas del siglo XVI, y su texto escrito es reciente: la versión que se cita es de 1916 (P1). Sirven para el siglo y la región, no para un año exacto. </w:t>
      </w:r>
      <w:r>
        <w:t>[cierre de los avisos, 9-oct; Parker 1916, Legge, Britannica, The Canadian Encyclopedia y Mercado, leídos]</w:t>
      </w:r>
    </w:p>
    <w:p>
      <w:pPr>
        <w:pStyle w:val="ListBullet"/>
      </w:pPr>
      <w:r>
        <w:rPr>
          <w:b/>
        </w:rPr>
        <w:t>Los hadices</w:t>
      </w:r>
      <w:r>
        <w:t xml:space="preserve"> se leyeron en una copia de datos de la colección, no en su edición impresa: van como fuente secundaria hasta cotejarlos.</w:t>
      </w:r>
    </w:p>
    <w:p>
      <w:pPr>
        <w:pStyle w:val="ListBullet"/>
      </w:pPr>
      <w:r>
        <w:rPr>
          <w:b/>
        </w:rPr>
        <w:t>Las sociedades grandes necesitan ley escrita,</w:t>
      </w:r>
      <w:r>
        <w:t xml:space="preserve"> y la obra no propone abolirla: pide respetar el orden de las fuentes (</w:t>
      </w:r>
      <w:r>
        <w:t>1.7</w:t>
      </w:r>
      <w:r>
        <w:t xml:space="preserve">). Y no todos los órdenes de costumbre eran igualitarios: el derecho </w:t>
      </w:r>
      <w:r>
        <w:rPr>
          <w:i/>
        </w:rPr>
        <w:t>brehon</w:t>
      </w:r>
      <w:r>
        <w:t xml:space="preserve"> graduaba la compensación según el rango de la víctima. </w:t>
      </w:r>
      <w:r>
        <w:t>[07.00-24.1 y 24.2]</w:t>
      </w:r>
    </w:p>
    <w:p>
      <w:pPr>
        <w:pStyle w:val="ListBullet"/>
      </w:pPr>
      <w:r>
        <w:rPr>
          <w:b/>
        </w:rPr>
        <w:t>La Ley de la usura de 1908 es para los préstamos,</w:t>
      </w:r>
      <w:r>
        <w:t xml:space="preserve"> no para los impuestos: el impuesto no es un préstamo, y presentarla ante la Agencia Tributaria sería un error. Su valor es de coherencia. </w:t>
      </w:r>
      <w:r>
        <w:t>[07.00-17.3, 26.1 y 26.2]</w:t>
      </w:r>
    </w:p>
    <w:p>
      <w:pPr>
        <w:pStyle w:val="ListBullet"/>
      </w:pPr>
      <w:r>
        <w:rPr>
          <w:b/>
        </w:rPr>
        <w:t>Hoy las leyes se publican gratis en el BOE, en español.</w:t>
      </w:r>
      <w:r>
        <w:t xml:space="preserve"> El latín ya no es la barrera; si lo es el volumen, se examina en el </w:t>
      </w:r>
      <w:r>
        <w:t>cargo 8</w:t>
      </w:r>
      <w:r>
        <w:t xml:space="preserve">. </w:t>
      </w:r>
      <w:r>
        <w:t>[07.00-28.1 y 28.2]</w:t>
      </w:r>
    </w:p>
    <w:p>
      <w:pPr>
        <w:pStyle w:val="ListBullet"/>
      </w:pPr>
      <w:r>
        <w:rPr>
          <w:b/>
        </w:rPr>
        <w:t>Fuentes secundarias, marcadas en el texto:</w:t>
      </w:r>
      <w:r>
        <w:t xml:space="preserve"> la treintena de cancelaciones de deudas, las tablillas de cuentas, las fechas de Qin y los avisos de fecha y de dependencia entre textos de </w:t>
      </w:r>
      <w:r>
        <w:t>3.2</w:t>
      </w:r>
      <w:r>
        <w:t xml:space="preserve"> y </w:t>
      </w:r>
      <w:r>
        <w:t>3.3</w:t>
      </w:r>
      <w:r>
        <w:t>. Los que llevan la nota «referencia hallada en Wikipedia, sin leer en su fuente» no están leídos en su fuente: Wikipedia no vale como fuente, solo ayudó a encontrar la referencia.</w:t>
      </w:r>
    </w:p>
    <w:p>
      <w:pPr>
        <w:pStyle w:val="ListBullet"/>
      </w:pPr>
      <w:r>
        <w:rPr>
          <w:b/>
        </w:rPr>
        <w:t xml:space="preserve">La arqueología de </w:t>
      </w:r>
      <w:r>
        <w:rPr>
          <w:b/>
        </w:rPr>
        <w:t>3.7</w:t>
      </w:r>
      <w:r>
        <w:rPr>
          <w:b/>
        </w:rPr>
        <w:t xml:space="preserve"> se sostiene en tres patas independientes, no en doce.</w:t>
      </w:r>
      <w:r>
        <w:t xml:space="preserve"> La Biblia hebrea, el Nuevo Testamento, la tradición rabínica y el islam son de un mismo tronco; Persia, Mesopotamia, Egipto y Grecia tuvieron contacto con Israel; y el Popol Vuh se escribió hacia 1554-1558, después de la llegada de los españoles (fecha de nivel C, </w:t>
      </w:r>
      <w:r>
        <w:t>2.3</w:t>
      </w:r>
      <w:r>
        <w:t xml:space="preserve">). De la Enseñanza para Merikare solo se leyó el resumen de Budge; Génesis Rabbah 21 va en una versión inglesa sin traductor nombrado (fuente secundaria); Platón se leyó en la traducción de Jowett, que no trae la numeración de Stephanus (el Protágoras, también en el griego de Burnet, que sí la trae); y los versos de la Bhagavad Gita se numeran por el sánscrito, porque la traducción de Arnold no los numera. La cuenta del aviso y de quién ejecuta va sobre la etiqueta que se puso a cada texto al leerlo: es la lectura de quien lo leyó, y cualquiera puede repetirla con los pasajes de F.9. </w:t>
      </w:r>
      <w:r>
        <w:t>[índice del agente reglas_del_juego, «Incidencias respecto a lo esperado»; encargo el_camino_y_el_aviso, 12-oct-2026]</w:t>
      </w:r>
    </w:p>
    <w:p>
      <w:pPr>
        <w:pStyle w:val="Heading2"/>
      </w:pPr>
      <w:r>
        <w:t>Dónde se oye la defensa del Estado</w:t>
      </w:r>
    </w:p>
    <w:p>
      <w:r>
        <w:t>La defensa del Estado frente a este capítulo, y lo que la obra le responde, se oyen en el juicio:</w:t>
      </w:r>
    </w:p>
    <w:p>
      <w:pPr>
        <w:pStyle w:val="ListBullet"/>
      </w:pPr>
      <w:r>
        <w:rPr>
          <w:b/>
        </w:rPr>
        <w:t xml:space="preserve">en el </w:t>
      </w:r>
      <w:r>
        <w:rPr>
          <w:b/>
        </w:rPr>
        <w:t>cargo 1</w:t>
      </w:r>
      <w:r>
        <w:rPr>
          <w:b/>
        </w:rPr>
        <w:t xml:space="preserve"> («La ley humana, primera fuente»):</w:t>
      </w:r>
      <w:r>
        <w:t xml:space="preserve"> «las sociedades complejas necesitan ley escrita»;</w:t>
      </w:r>
    </w:p>
    <w:p>
      <w:pPr>
        <w:pStyle w:val="ListBullet"/>
      </w:pPr>
      <w:r>
        <w:rPr>
          <w:b/>
        </w:rPr>
        <w:t xml:space="preserve">en el </w:t>
      </w:r>
      <w:r>
        <w:rPr>
          <w:b/>
        </w:rPr>
        <w:t>cargo 7</w:t>
      </w:r>
      <w:r>
        <w:rPr>
          <w:b/>
        </w:rPr>
        <w:t xml:space="preserve"> («Lo legal es lo justo»):</w:t>
      </w:r>
      <w:r>
        <w:t xml:space="preserve"> «el Estado de derecho fue quien abolió la esclavitud»;</w:t>
      </w:r>
    </w:p>
    <w:p>
      <w:pPr>
        <w:pStyle w:val="ListBullet"/>
      </w:pPr>
      <w:r>
        <w:rPr>
          <w:b/>
        </w:rPr>
        <w:t xml:space="preserve">en el </w:t>
      </w:r>
      <w:r>
        <w:rPr>
          <w:b/>
        </w:rPr>
        <w:t>cargo 8</w:t>
      </w:r>
      <w:r>
        <w:rPr>
          <w:b/>
        </w:rPr>
        <w:t xml:space="preserve"> («Todos conocen todas las leyes»):</w:t>
      </w:r>
      <w:r>
        <w:t xml:space="preserve"> «hoy las leyes se publican para todos»;</w:t>
      </w:r>
    </w:p>
    <w:p>
      <w:pPr>
        <w:pStyle w:val="ListBullet"/>
      </w:pPr>
      <w:r>
        <w:rPr>
          <w:b/>
        </w:rPr>
        <w:t xml:space="preserve">y en el </w:t>
      </w:r>
      <w:r>
        <w:rPr>
          <w:b/>
        </w:rPr>
        <w:t>cargo 13</w:t>
      </w:r>
      <w:r>
        <w:rPr>
          <w:b/>
        </w:rPr>
        <w:t xml:space="preserve"> («El cobro sin juez»):</w:t>
      </w:r>
      <w:r>
        <w:t xml:space="preserve"> «la usura no se aplica a los impuestos».</w:t>
      </w:r>
    </w:p>
    <w:p>
      <w:r>
        <w:t>[clasificación de las defensas, aprobada; glosario 8.13]</w:t>
      </w:r>
    </w:p>
    <w:p>
      <w:pPr>
        <w:pStyle w:val="Heading2"/>
      </w:pPr>
      <w:r>
        <w:t>Para recordar</w:t>
      </w:r>
    </w:p>
    <w:p>
      <w:pPr>
        <w:pStyle w:val="ListBullet"/>
      </w:pPr>
      <w:r>
        <w:t>El Arca es la ley de Dios tal como la guardaron todos los pueblos: lo que converge y además pasa la vara.</w:t>
      </w:r>
    </w:p>
    <w:p>
      <w:pPr>
        <w:pStyle w:val="ListBullet"/>
      </w:pPr>
      <w:r>
        <w:t>Nueve principios se repiten en pueblos sin contacto documentado entre sí: el gobernante sirve al pueblo, impuestos moderados, el tiempo del pueblo es suyo, medidas justas, devolver lo confiado, no a la usura, cada uno responde de lo suyo, el castigo no es un negocio, y más leyes, más pobreza.</w:t>
      </w:r>
    </w:p>
    <w:p>
      <w:pPr>
        <w:pStyle w:val="ListBullet"/>
      </w:pPr>
      <w:r>
        <w:t>Cada principio tiene su pata coja, y casi siempre la escribió quien mandaba.</w:t>
      </w:r>
    </w:p>
    <w:p>
      <w:pPr>
        <w:pStyle w:val="ListBullet"/>
      </w:pPr>
      <w:r>
        <w:t>Perdonar las deudas es la ley escrita más antigua que se conserva, y la ley española todavía anula el préstamo usurario.</w:t>
      </w:r>
    </w:p>
    <w:p>
      <w:pPr>
        <w:pStyle w:val="ListBullet"/>
      </w:pPr>
      <w:r>
        <w:t>Casi nadie conoce esta ley porque no se escribió, porque se escribió en latín o porque quedó fuera de las listas.</w:t>
      </w:r>
    </w:p>
    <w:p>
      <w:pPr>
        <w:pStyle w:val="ListBullet"/>
      </w:pPr>
      <w:r>
        <w:t>El hilo del Arca es servir. Ante cada ley, cada institución y cada acto, la pregunta es una sola: ¿sirve, o se sirve?</w:t>
      </w:r>
    </w:p>
    <w:p>
      <w:pPr>
        <w:pStyle w:val="ListBullet"/>
      </w:pPr>
      <w:r>
        <w:t>Las reglas del juego de la vida: doce tradiciones cuentan que se recibieron; nueve, que se perdieron o que muchos se apartan de ellas; y diez, que hay un camino de vuelta (</w:t>
      </w:r>
      <w:r>
        <w:t>3.7</w:t>
      </w:r>
      <w:r>
        <w:t>).</w:t>
      </w:r>
    </w:p>
    <w:p>
      <w:pPr>
        <w:pStyle w:val="ListBullet"/>
      </w:pPr>
      <w:r>
        <w:rPr>
          <w:b/>
        </w:rPr>
        <w:t>Lo siguiente:</w:t>
      </w:r>
      <w:r>
        <w:t xml:space="preserve"> el otro lado: lo que las tradiciones dicen del mal sin cuerpo, y cómo distinguirlo (</w:t>
      </w:r>
      <w:r>
        <w:t>capítulo 4</w:t>
      </w:r>
      <w:r>
        <w:t>).</w:t>
      </w:r>
    </w:p>
    <w:p>
      <w:r>
        <w:br w:type="page"/>
      </w:r>
    </w:p>
    <w:p>
      <w:pPr>
        <w:pStyle w:val="Heading1"/>
      </w:pPr>
      <w:r>
        <w:t>4 Discernir: el mal sin cuerpo</w:t>
      </w:r>
    </w:p>
    <w:p>
      <w:pPr>
        <w:spacing w:after="200"/>
      </w:pPr>
      <w:r>
        <w:rPr>
          <w:rFonts w:ascii="Segoe UI" w:hAnsi="Segoe UI" w:eastAsia="Segoe UI" w:cs="Segoe UI"/>
          <w:color w:val="6B665E"/>
          <w:sz w:val="17"/>
        </w:rPr>
        <w:t>Primera versión: 5 de octubre de 2026 · Última revisión: 12 de octubre de 2026 · Cambios anotados en el capítulo: 11 · Citas leídas en su fuente: 134</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(Kiko, chat de 08.19, 08:5x, pasado por 08.19 tal cual, a «¿entran así los tres textos, el de 0.2, el llamamiento y estas líneas de cierre?»: «si entran»; parlamento del hilo de la poda, 08/20, con la forma que Kiko decidió a las 08:0x): al final de «Para recordar», un punto nuevo: «Lo siguiente», el puente al capítulo 5 (borrador B16). Ninguna otra palabra cambia. Cambio del 10-oct-2026, P4 (Kiko, chat de 08.4, pasado por 08.4 tal cual: «Sí a la P4, al escalón 6 de 4.2»; P4 del estudio 08/10, apartado 5, punto 4; generado por programa con 07/herramientas/generar_extenso_4_2.py desde la entrada 5 del índice del lote A): al final de 4.2, un bloque {extenso} que solo se ve en el escalón 6, «Lo extenso»: las promesas de vida eterna en los textos leídos, los 14 pasajes que lo dicen con sus palabras (Daniel, Juan, Mateo, Pablo, el Corán, la Katha Upanishad, el Dhammapada, los Textos de las Pirámides con Breasted, las Gathas), cada uno tal como está en su fuente y con su original, y los otros 17 en una línea; con la línea de entrada en llano (converge la promesa con una condición; no converge la palabra). El texto de lectura, la conclusión y las lecturas del autor de 4.2 no cambian. Las traducciones del inglés son de la edición, con el inglés al lado. Fuente nueva en I.9: Katha Upanishad. Cambio del 10-oct-2026, P3 (Kiko, chat de 08.4, pasado por 08.4 tal cual: «Sí a la P3, que entre con fuente»; P3 del estudio 08/10, apartado 5, punto 3; borrador de 07/borradores/caida_4_2): al final de la «Lectura del autor» de 4.2 (las tres jugadas de la serpiente), una frase con fuente: en el Corán (20:120 y 7:20, traducción de Julio Cortés, con el árabe al lado) quien promete el árbol de la inmortalidad y «os hagáis inmortales» es «el Demonio» que insinúa el mal a Adán, la misma jugada que «No moriréis» (Gn 3:4): la promesa de inmortalidad en boca del tentador, una presunción (0.4) hecha promesa; dos tradiciones que se conocían, dicho como dato y no como convergencia. Lote A, filas 5.13 y 5.14 (Cortés, nivel A; el árabe por la API, nivel B). La conclusión de 4.2 no cambia. Cambio del 10-oct-2026, P2 (Kiko, chat de 08.4, pasado por 08.4 tal cual: «Sí a la P2, que entre la línea»; P2 del estudio 08/10, apartado 5, punto 2; borrador de 07/borradores/caida_4_2): en «Lo que el texto no dice» de 4.2, una línea: la palabra «satán» («adversario» en hebreo, 4.1) no aparece ni una vez en el Génesis (contada por programa en el hebreo del códice de Leningrado, OSHB; lote A, entrada 4), en los libros históricos nombra a adversarios de carne y hueso (Adad y Rezón, 1 R 11:14 y 11:23) y la Reina-Valera 1909 la traduce «adversario» seis veces. Nivel A. La conclusión y las lecturas del autor de 4.2 no cambian. De paso, la viñeta del Límite honesto que decía «el hebreo no se ha leído» dice ahora que del hebreo solo se ha contado esa palabra. Cambio del 10-oct-2026, tarde (Kiko, chat de 07.2: «sí que hay que decir pistas que habría que investigar y desarrollar […] expondría todos los mencionados y no ocultarlos. Pero que son investigaciones en abierto», y «Sí, que entre tal cual»): al final de la «Lectura del autor, una hipótesis» de 4.2, una frase de cierre con las pistas en abierto, en la voz del autor y cada una sin prueba hoy (la luz de los seres vivos y el ADN, sin publicación con revisión ni réplica; el hipotálamo y los neuropéptidos; la serpiente y la genética, con el símbolo de la farmacia), la invitación a coger el relevo y la mirada al lenguaje antiguo. Nada entra como dato; «vibración» no entra. Sin bajar ninguna fuente. Cambio del 10-oct-2026, después (Kiko, chat de 08.3, pasado por 08.3 tal cual: «Yo añadiría a esto que faltaría una investigación mucho más profunda […] lo dejamos en abierto y se invita a la gente que tenga curiosidad a investigarlo […] basándome en este estudio no puedo ratificarme tanto»; complemento a la P1 del estudio 08/10, apartado 6 bis): en la «Lectura del autor, una hipótesis» de 4.2, la cadena que el autor imagina (lo pensado y sentido como señal química que llega a cada célula; el cortisol del estrés, las endorfinas), dicha como lectura y no como dato; que falta una investigación mucho más profunda y el autor no se ratifica más de lo que los estudios permiten; y que queda abierta e invita a investigarla. «Vibración» y «40.000» no entran. Sin bajar ninguna fuente. Cambio del 10-oct-2026 (Kiko, chat de 08.3: «Sí, que entre la hipótesis como dices»; P1 del estudio 08/10 de la carpeta 08, apartado 4; borrador de 07/borradores/caida_4_2): al final de 4.2, detrás de la «Lectura del autor» del relato de la caída, un párrafo nuevo «Lectura del autor, una hipótesis»: los dos árboles, la conducta repetida que deja huella en el cuerpo, lo que la ciencia mide (la conducta cambia qué genes se expresan, poco y a corto plazo; vivir con un propósito se asocia a vivir algo más; Kaliman 2014, Buric 2017 y Cohen 2016, este último solo en resumen, fuente secundaria) y lo que no mide, con el reconocimiento del autor de que es una teoría sin datos suficientes y la cautela del salto de vocabulario (8.11). Ni la conclusión ni el glosario cambian. Cambio del 9-oct-2026 (Kiko: «Sí a B7 y B8, aplícalos»; filas 12 y 13 de 04p; borrador B7 de la carpeta 07): tres bloques nuevos, sin renumerar. Al final de 4.2, «El relato de la caída, tal como está escrito» (Génesis 2:9, 2:16-17, 3:1-7, 3:22 y 3:24 en la Reina-Valera Antigua, con lo que el texto no dice, la conclusión y la lectura del autor: «seréis como dioses» es la autoridad derivada tomando por suya la original, 1.9). Al final de 4.3, «¿fue legítimo el susurro?» (no, por cuatro razones) y la «criba», como lectura del autor. Al final de 4.4, las improntas (el experimento mental y la pregunta final), como lectura del autor. Dos viñetas nuevas en el «Límite honesto de la prueba». Cambio del 9-oct-2026 (Kiko: «Sí, concuerdo» al texto de la mujer y el varón; borrador B2 versión 3 de la carpeta 07; 04p fila 12 y 03b A6): al final de 4.2, una línea de «Lectura del autor» sobre la mujer y el varón, que remite a 2.3. Cambio del 9-oct-2026 (Kiko: «solucionalo ya»; errata que dejó anotada la fase de reparación del 8-oct, libreta 80, y que se aplicó desde la carpeta 07): en 4.2, la transliteración del Libro de los Muertos cap. 125 decía «an-nek maat, ter-nà-nek àsfet». Budge, The Papyrus of Ani (1895), p. 194, línea 6 (lámina XXX), la imprime «ȧn-nȧ-nek maāt, ṭer-nȧ-nek ȧsfet»: faltaba «-nȧ-» en la primera mitad y las letras no llevaban las marcas impresas (ȧ con punto encima, ā con raya encima, ṭ con punto debajo). La traducción inglesa lleva también «Maāt», como la página. Leído a mano en la imagen de la página 358 de la edición digital de Heidelberg (10 FUENTES LEIDAS/flecos2/05.00_Maat_Budge_1895_Papyrus_of_Ani_transliteracion_archive.pdf), anotado en herramientas/citas_vistas_a_mano.tsv y quitado de herramientas/citas_pendientes_de_otra_conversacion.tsv. No cambia ningún dato. ESTADO: APROBADO por Kiko el 5-oct-2026 («sí a las tres»). Su material está marcado en el inventario (04 CAPITULOS/marcas/marcas del capitulo 4.txt). Cualquier cambio posterior, con su aprobación. Añadido el 5-oct, con su aprobación («sí a todo»): en 4.1, Robbers Cave; en 4.2, Egipto y el Ragnarök (flecos leídos en su fuente; libreta 72, punto 137). Añadido el 5-oct, con su aprobación: en 4.3, «¿Están entre nosotros?», cómo obran y cómo no caer en sus susurros (libreta 72, punto 127); en 4.3, la lectura de quienes cayeron en los susurros creyendo que era lícito, con dos cautelas; y en 4.4, la repetición que forma (dato de los textos) y la polarización (lectura del autor) (libreta 72, punto 128). Escrito en tres niveles y con remisiones enlazables. Trazabilidad: al final de cada párrafo o bloque, entre corchetes (se ve en el nivel completo). Reparto (Kiko, 5-oct): las fuentes las localizó y descargó un agente; Claude leyó cada original y extrajo las citas. Leído hoy en su original: Biblia, Reina-Valera Antigua, con el griego (SBLGNT) y el hebreo (códice de Leningrado): Nm 22:22; Job 1:7; Mc 5:9; Mt 6:24; Ap 12:7-9; Dn 10:13 y 10:20; Jn 8:31-32, 8:44, 12:31 y 14:30; 2 Co 4:4 y 11:14; Ef 5:13 y 6:12; Gn 6:2-4; Dt 32:17; 1 Sam 8:7; 1 Co 10:20; Jud 6; 2 Pe 2:4. Avesta, Yasna 30 (avéstico de la edición de Geldner y la traducción inglesa de avesta.org). Rig Veda 1.32 (edición de Aufrecht, GRETIL). Bhagavad Gita 16 (GRETIL; traducción inglesa de Telang, 1882). Enuma Elish IV (electronic Babylonian Library, traducción de B. R. Foster). Corán 7:22, 17:81, 35:6 y 114:4-6 (árabe y traducción de Julio Cortés). Sutta Nipata 3.2 y Dhammapada 223 (SuttaCentral, pali). Mundaka Upanishad 3.1.6 (Wikisource, sánscrito). 1 Enoc 8, 15 y 19 (R. H. Charles, The Book of Enoch, Londres, 1917, edición impresa). Jubileos 10 y 11 (Charles, 1902, edición impresa; glosario 5.4.2). La Boétie, Discours de la servitude volontaire (Wikisource, edición de 1922, cotejada con la de Bonnefon, 1892). No entra por no tener texto completo abierto: la Regla de la Guerra de Qumrán (solo se lee la columna 1) y el ciclo de Baal de Ugarit (solo una columna). La Teogonía de Hesíodo, leída, no se usa: es una guerra de dioses por el poder, y ese punto ya lo da el Enuma Elish. Hallado al escribir (para corregir en la Biblioteca, 00.00, sección 6): el Dhammapada 11-12 habla de lo esencial; vencer al mentiroso con la verdad está en el verso 223. Conceptos que ancla: el mal sin cuerpo y la servidumbre voluntaria (4.1). Desarrolla la fórmula del padre de la mentira, anclada en breve en 0.3. Cambio del 8-oct-2026 (petición de Kiko, «hace un anexo al apartado de Ángel y el demonio, enlázalo con la virtud»; ubicación aprobada por él: al final de 4.3, no como anexo J): sección «Anexo al apartado 4.3. El extremo con cara de ángel: la línea de la virtud», con Aristóteles, Ética a Nicómaco II, 6 y 7, leído en el griego. Nuevo concepto que ancla: la virtud como término medio entre dos vicios (4.3). Anotado en el registro y en las libretas.</w:t>
      </w:r>
    </w:p>
    <w:p>
      <w:pPr>
        <w:pBdr>
          <w:left w:val="single" w:sz="24" w:space="6" w:color="E2DED6"/>
        </w:pBdr>
        <w:shd w:val="clear" w:color="auto" w:fill="F1EEE8"/>
        <w:spacing w:before="80" w:after="160"/>
        <w:ind w:left="142" w:right="142"/>
      </w:pPr>
      <w:r>
        <w:rPr>
          <w:b/>
        </w:rPr>
        <w:t>En pocas palabras:</w:t>
      </w:r>
    </w:p>
    <w:p>
      <w:pPr>
        <w:pStyle w:val="ListBullet"/>
      </w:pPr>
      <w:r>
        <w:t>Muchas tradiciones describen un mal que no tiene cuerpo propio: acusa, engaña, se hace muchos y actúa a través de otros.</w:t>
      </w:r>
    </w:p>
    <w:p>
      <w:pPr>
        <w:pStyle w:val="ListBullet"/>
      </w:pPr>
      <w:r>
        <w:t>Cuentan también una lucha entre el bien y el mal, pero casi todas ponen al ser humano a elegir; y varios textos ven poderes sin cuerpo detrás de los reinos.</w:t>
      </w:r>
    </w:p>
    <w:p>
      <w:pPr>
        <w:pStyle w:val="ListBullet"/>
      </w:pPr>
      <w:r>
        <w:t>El canon etíope cuenta que unos ángeles caídos enseñaron a los hombres las armas y los llevaron a adorar lo que no es Dios. La Biblia común guarda el mismo aviso. Sus espíritus, dicen los textos, siguen en la tierra, y las tradiciones enseñan a no caer en sus susurros.</w:t>
      </w:r>
    </w:p>
    <w:p>
      <w:pPr>
        <w:pStyle w:val="ListBullet"/>
      </w:pPr>
      <w:r>
        <w:t>El Evangelio llama al diablo «padre de mentira». La obra solo usa esa imagen como lectura del autor, y con una sola fórmula.</w:t>
      </w:r>
    </w:p>
    <w:p>
      <w:pPr>
        <w:pStyle w:val="Heading2"/>
      </w:pPr>
      <w:r>
        <w:t>4.0 Propósito</w:t>
      </w:r>
    </w:p>
    <w:p>
      <w:r>
        <w:t xml:space="preserve">El </w:t>
      </w:r>
      <w:r>
        <w:t>capítulo 2</w:t>
      </w:r>
      <w:r>
        <w:t xml:space="preserve"> explicó el ente sin cuerpo: la persona jurídica, que la ley crea y que no nace (</w:t>
      </w:r>
      <w:r>
        <w:t>2.1</w:t>
      </w:r>
      <w:r>
        <w:t xml:space="preserve">). El </w:t>
      </w:r>
      <w:r>
        <w:t>capítulo 3</w:t>
      </w:r>
      <w:r>
        <w:t xml:space="preserve"> abrió el Arca. Este capítulo mira el otro lado: lo que las tradiciones dicen del mal que no tiene cuerpo, y cómo distinguirlo.</w:t>
      </w:r>
    </w:p>
    <w:p>
      <w:r>
        <w:rPr>
          <w:b/>
        </w:rPr>
        <w:t>Cómo se discierne.</w:t>
      </w:r>
      <w:r>
        <w:t xml:space="preserve"> El criterio ya está dicho: probar los espíritus (</w:t>
      </w:r>
      <w:r>
        <w:t>1.3</w:t>
      </w:r>
      <w:r>
        <w:t>). Y la vara es la de toda la obra: por sus frutos (</w:t>
      </w:r>
      <w:r>
        <w:t>0.5</w:t>
      </w:r>
      <w:r>
        <w:t>).</w:t>
      </w:r>
    </w:p>
    <w:p>
      <w:r>
        <w:rPr>
          <w:b/>
        </w:rPr>
        <w:t>Lo que este capítulo no hace.</w:t>
      </w:r>
      <w:r>
        <w:t xml:space="preserve"> No señala a ninguna persona ni a ningún colectivo: describe actos e instituciones. Y lo que lee en los textos sagrados lo marca como lectura del autor.</w:t>
      </w:r>
    </w:p>
    <w:p>
      <w:r>
        <w:t>Este capítulo dice:</w:t>
      </w:r>
    </w:p>
    <w:p>
      <w:pPr>
        <w:pStyle w:val="ListBullet"/>
      </w:pPr>
      <w:r>
        <w:rPr>
          <w:b/>
        </w:rPr>
        <w:t>4.1</w:t>
      </w:r>
      <w:r>
        <w:t xml:space="preserve"> cómo describen las religiones el mal sin cuerpo, y por qué el poder de uno solo vive de que muchos se lo den;</w:t>
      </w:r>
    </w:p>
    <w:p>
      <w:pPr>
        <w:pStyle w:val="ListBullet"/>
      </w:pPr>
      <w:r>
        <w:rPr>
          <w:b/>
        </w:rPr>
        <w:t>4.2</w:t>
      </w:r>
      <w:r>
        <w:t xml:space="preserve"> la lucha entre el bien y el mal, y los poderes que se ensalzan por encima de los hombres;</w:t>
      </w:r>
    </w:p>
    <w:p>
      <w:pPr>
        <w:pStyle w:val="ListBullet"/>
      </w:pPr>
      <w:r>
        <w:rPr>
          <w:b/>
        </w:rPr>
        <w:t>4.3</w:t>
      </w:r>
      <w:r>
        <w:t xml:space="preserve"> los ángeles caídos y la suplantación;</w:t>
      </w:r>
    </w:p>
    <w:p>
      <w:pPr>
        <w:pStyle w:val="ListBullet"/>
      </w:pPr>
      <w:r>
        <w:rPr>
          <w:b/>
        </w:rPr>
        <w:t>4.4</w:t>
      </w:r>
      <w:r>
        <w:t xml:space="preserve"> y el padre de la mentira.</w:t>
      </w:r>
    </w:p>
    <w:p>
      <w:pPr>
        <w:pStyle w:val="Heading2"/>
      </w:pPr>
      <w:r>
        <w:t>4.1 Cómo describen las religiones el mal sin cuerpo</w:t>
      </w:r>
    </w:p>
    <w:p>
      <w:pPr>
        <w:pBdr>
          <w:left w:val="single" w:sz="24" w:space="6" w:color="E2DED6"/>
        </w:pBdr>
        <w:shd w:val="clear" w:color="auto" w:fill="F1EEE8"/>
        <w:spacing w:before="80" w:after="160"/>
        <w:ind w:left="142" w:right="142"/>
      </w:pPr>
      <w:r>
        <w:rPr>
          <w:b/>
        </w:rPr>
        <w:t>La idea: muchas tradiciones describen un mal sin cuerpo propio, que acusa, engaña y se hace muchos, y que solo actúa a través de otros. La Boétie vio lo mismo en el poder: uno solo manda porque muchos se lo dan.</w:t>
      </w:r>
    </w:p>
    <w:p>
      <w:r>
        <w:rPr>
          <w:b/>
        </w:rPr>
        <w:t>El mal sin cuerpo.</w:t>
      </w:r>
      <w:r>
        <w:t xml:space="preserve"> Desde aquí, la edición llama así al mal que no tiene cuerpo propio y obra a través de otros. Las tradiciones le dan muchos nombres:</w:t>
      </w:r>
    </w:p>
    <w:p>
      <w:pPr>
        <w:pStyle w:val="ListBullet"/>
      </w:pPr>
      <w:r>
        <w:rPr>
          <w:b/>
        </w:rPr>
        <w:t>El adversario.</w:t>
      </w:r>
      <w:r>
        <w:t xml:space="preserve"> En hebreo, «satán» es el que se pone en contra: el ángel de Jehová «se puso en el camino por adversario suyo»</w:t>
      </w:r>
      <w:r>
        <w:t xml:space="preserve"> [original: «לְשָׂטָן לוֹ»]</w:t>
      </w:r>
      <w:r>
        <w:t xml:space="preserve"> (Nm 22:22)</w:t>
      </w:r>
      <w:r>
        <w:br/>
      </w:r>
      <w:r>
        <w:rPr>
          <w:b/>
        </w:rPr>
        <w:t>leída en su fuente · Nm 22:22</w:t>
      </w:r>
      <w:r>
        <w:br/>
      </w:r>
      <w:r>
        <w:rPr>
          <w:b/>
        </w:rPr>
        <w:t>Original donde está:</w:t>
      </w:r>
      <w:r>
        <w:t xml:space="preserve"> hebreo_oshb_Num.txt</w:t>
      </w:r>
      <w:r>
        <w:br/>
      </w:r>
      <w:r>
        <w:t>El pasaje literal no está en el archivo de pasajes con este comienzo; la auditoría lo halló en ese original.</w:t>
      </w:r>
      <w:r>
        <w:t>. En el libro de Job, Satán dice de dónde viene: «De rodear la tierra, y de andar por ella»</w:t>
      </w:r>
      <w:r>
        <w:t xml:space="preserve"> (Job 1:7)</w:t>
      </w:r>
      <w:r>
        <w:br/>
      </w:r>
      <w:r>
        <w:rPr>
          <w:b/>
        </w:rPr>
        <w:t>leída en su fuente · Job 1:7</w:t>
      </w:r>
      <w:r>
        <w:br/>
      </w:r>
      <w:r>
        <w:rPr>
          <w:b/>
        </w:rPr>
        <w:t>Archivo leído:</w:t>
      </w:r>
      <w:r>
        <w:t xml:space="preserve"> spaRV1909_texto_corrido.txt (biblia_rv1909\spaRV1909_texto_corrido.txt) · contraste del archivo de pasajes: ✔</w:t>
      </w:r>
      <w:r>
        <w:br/>
      </w:r>
      <w:r>
        <w:rPr>
          <w:b/>
        </w:rPr>
        <w:t>Lugar:</w:t>
      </w:r>
      <w:r>
        <w:t xml:space="preserve"> Job 1:7</w:t>
      </w:r>
      <w:r>
        <w:br/>
      </w:r>
      <w:r>
        <w:rPr>
          <w:b/>
        </w:rPr>
        <w:t>Tal como está en la fuente:</w:t>
      </w:r>
      <w:r>
        <w:t xml:space="preserve"> De rodear la tierra, y de andar por ella</w:t>
      </w:r>
      <w:r>
        <w:t>.</w:t>
      </w:r>
    </w:p>
    <w:p>
      <w:pPr>
        <w:pStyle w:val="ListBullet"/>
      </w:pPr>
      <w:r>
        <w:rPr>
          <w:b/>
        </w:rPr>
        <w:t>Legión.</w:t>
      </w:r>
      <w:r>
        <w:t xml:space="preserve"> El espíritu que habla por boca de un hombre responde: «Legión me llamo; porque somos muchos»</w:t>
      </w:r>
      <w:r>
        <w:t xml:space="preserve"> (Mc 5:9)</w:t>
      </w:r>
      <w:r>
        <w:br/>
      </w:r>
      <w:r>
        <w:rPr>
          <w:b/>
        </w:rPr>
        <w:t>leída en su fuente · Mc 5:9</w:t>
      </w:r>
      <w:r>
        <w:br/>
      </w:r>
      <w:r>
        <w:rPr>
          <w:b/>
        </w:rPr>
        <w:t>Archivo leído:</w:t>
      </w:r>
      <w:r>
        <w:t xml:space="preserve"> spaRV1909_texto_corrido.txt (biblia_rv1909\spaRV1909_texto_corrido.txt) · contraste del archivo de pasajes: ✔</w:t>
      </w:r>
      <w:r>
        <w:br/>
      </w:r>
      <w:r>
        <w:rPr>
          <w:b/>
        </w:rPr>
        <w:t>Lugar:</w:t>
      </w:r>
      <w:r>
        <w:t xml:space="preserve"> Mc 5:9</w:t>
      </w:r>
      <w:r>
        <w:br/>
      </w:r>
      <w:r>
        <w:rPr>
          <w:b/>
        </w:rPr>
        <w:t>Tal como está en la fuente:</w:t>
      </w:r>
      <w:r>
        <w:t xml:space="preserve"> Legión me llamo; porque somos muchos</w:t>
      </w:r>
      <w:r>
        <w:t>.</w:t>
      </w:r>
    </w:p>
    <w:p>
      <w:pPr>
        <w:pStyle w:val="ListBullet"/>
      </w:pPr>
      <w:r>
        <w:rPr>
          <w:b/>
        </w:rPr>
        <w:t>Mammón.</w:t>
      </w:r>
      <w:r>
        <w:t xml:space="preserve"> La riqueza puesta como un señor al que se sirve: «no podéis servir á Dios y á Mammón»</w:t>
      </w:r>
      <w:r>
        <w:t xml:space="preserve"> (Mt 6:24)</w:t>
      </w:r>
      <w:r>
        <w:br/>
      </w:r>
      <w:r>
        <w:rPr>
          <w:b/>
        </w:rPr>
        <w:t>leída en su fuente · Mt 6:24</w:t>
      </w:r>
      <w:r>
        <w:br/>
      </w:r>
      <w:r>
        <w:rPr>
          <w:b/>
        </w:rPr>
        <w:t>Archivo leído:</w:t>
      </w:r>
      <w:r>
        <w:t xml:space="preserve"> spaRV1909_texto_corrido.txt (biblia_rv1909\spaRV1909_texto_corrido.txt) · contraste del archivo de pasajes: ✔</w:t>
      </w:r>
      <w:r>
        <w:br/>
      </w:r>
      <w:r>
        <w:rPr>
          <w:b/>
        </w:rPr>
        <w:t>Lugar:</w:t>
      </w:r>
      <w:r>
        <w:t xml:space="preserve"> Mt 6:24</w:t>
      </w:r>
      <w:r>
        <w:br/>
      </w:r>
      <w:r>
        <w:rPr>
          <w:b/>
        </w:rPr>
        <w:t>Tal como está en la fuente:</w:t>
      </w:r>
      <w:r>
        <w:t xml:space="preserve"> no podéis servir á Dios y á Mammón</w:t>
      </w:r>
      <w:r>
        <w:t>.</w:t>
      </w:r>
    </w:p>
    <w:p>
      <w:pPr>
        <w:pStyle w:val="ListBullet"/>
      </w:pPr>
      <w:r>
        <w:rPr>
          <w:b/>
        </w:rPr>
        <w:t>Los ejércitos de Mara.</w:t>
      </w:r>
      <w:r>
        <w:t xml:space="preserve"> En el budismo, al tentador se le dice: «los deseos son tu primer ejército» y «este es tu ejército, Namuci»</w:t>
      </w:r>
      <w:r>
        <w:t xml:space="preserve"> [original: «Kāmā te paṭhamā senā»; «Esā namuci te senā»]</w:t>
      </w:r>
      <w:r>
        <w:t xml:space="preserve"> (Sutta Nipata 3.2)</w:t>
      </w:r>
      <w:r>
        <w:br/>
      </w:r>
      <w:r>
        <w:rPr>
          <w:b/>
        </w:rPr>
        <w:t>leída en su fuente · Sutta Nipata 3.2</w:t>
      </w:r>
      <w:r>
        <w:br/>
      </w:r>
      <w:r>
        <w:rPr>
          <w:b/>
        </w:rPr>
        <w:t>Original donde está:</w:t>
      </w:r>
      <w:r>
        <w:t xml:space="preserve"> suttacentral_snp3.2_pali_texto_corrido.txt</w:t>
      </w:r>
      <w:r>
        <w:br/>
      </w:r>
      <w:r>
        <w:t>El pasaje literal no está en el archivo de pasajes con este comienzo; la auditoría lo halló en ese original.</w:t>
      </w:r>
      <w:r>
        <w:t>. Sus ejércitos están dentro del hombre.</w:t>
      </w:r>
    </w:p>
    <w:p>
      <w:pPr>
        <w:pStyle w:val="ListBullet"/>
      </w:pPr>
      <w:r>
        <w:rPr>
          <w:b/>
        </w:rPr>
        <w:t>El susurrador.</w:t>
      </w:r>
      <w:r>
        <w:t xml:space="preserve"> El Corán se cierra pidiendo refugio «del mal de la insinuación, del que se escabulle, que insinúa en el ánimo de los hombres, sea genio, sea hombre»</w:t>
      </w:r>
      <w:r>
        <w:t xml:space="preserve"> [original: «مِن شَرِّ ٱلْوَسْوَاسِ ٱلْخَنَّاسِ ٱلَّذِى يُوَسْوِسُ فِى صُدُورِ ٱلنَّاسِ مِنَ ٱلْجِنَّةِ وَٱلنَّاسِ»]</w:t>
      </w:r>
      <w:r>
        <w:t xml:space="preserve"> (Corán 114:4-6, traducción de Julio Cortés)</w:t>
      </w:r>
      <w:r>
        <w:br/>
      </w:r>
      <w:r>
        <w:rPr>
          <w:b/>
        </w:rPr>
        <w:t>leída en su fuente · Corán 114:4-6,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 El que susurra puede ser también un hombre.</w:t>
      </w:r>
    </w:p>
    <w:p>
      <w:r>
        <w:t>[04.00-1.1, 1.2, 1.3, 1.5, 1.8, 1.9 y 1.22; textos leídos en su original]</w:t>
      </w:r>
    </w:p>
    <w:p>
      <w:r>
        <w:t xml:space="preserve">La pieza 04.00 reúne más figuras: la Bestia del Apocalipsis, la druj del Avesta, los vigilantes de Enoc, el golem, Xibalbá, Kali y Māyā, el wétiko, el espectro sin rostro, el nafs y el ifrit, Belial, el Asag sumerio, el geis celta y los maligait inuit. La druj y los vigilantes se leen en </w:t>
      </w:r>
      <w:r>
        <w:t>4.2</w:t>
      </w:r>
      <w:r>
        <w:t xml:space="preserve">, </w:t>
      </w:r>
      <w:r>
        <w:t>4.3</w:t>
      </w:r>
      <w:r>
        <w:t xml:space="preserve"> y </w:t>
      </w:r>
      <w:r>
        <w:t>4.4</w:t>
      </w:r>
      <w:r>
        <w:t>; las demás quedan en la Biblioteca.</w:t>
      </w:r>
    </w:p>
    <w:p>
      <w:r>
        <w:rPr>
          <w:b/>
        </w:rPr>
        <w:t>El poder que vive de los muchos.</w:t>
      </w:r>
      <w:r>
        <w:t xml:space="preserve"> Étienne de La Boétie lo escribió hacia 1548, en su Discurso de la servidumbre voluntaria:</w:t>
      </w:r>
    </w:p>
    <w:p>
      <w:pPr>
        <w:pStyle w:val="ListBullet"/>
      </w:pPr>
      <w:r>
        <w:t>el tirano «se deshace por sí mismo, con tal de que el país no consienta su servidumbre»</w:t>
      </w:r>
      <w:r>
        <w:t xml:space="preserve"> [original: «il est de soi-même défait, mais que le pays ne consente à sa servitude»]</w:t>
      </w:r>
      <w:r>
        <w:t>;</w:t>
      </w:r>
    </w:p>
    <w:p>
      <w:pPr>
        <w:pStyle w:val="ListBullet"/>
      </w:pPr>
      <w:r>
        <w:t>«¿de dónde ha sacado tantos ojos con los que os espía, si no se los dais vosotros?»</w:t>
      </w:r>
      <w:r>
        <w:t xml:space="preserve"> [original: «D’où a-t-il pris tant d’yeux, dont il vous épie, si vous ne les lui baillez ?»]</w:t>
      </w:r>
      <w:r>
        <w:t>;</w:t>
      </w:r>
    </w:p>
    <w:p>
      <w:pPr>
        <w:pStyle w:val="ListBullet"/>
      </w:pPr>
      <w:r>
        <w:t>y lo que más enseña a servir es la costumbre, que «en nada tiene tanta fuerza como en enseñarnos a servir»</w:t>
      </w:r>
      <w:r>
        <w:t xml:space="preserve"> [original: «la coutume, qui a en toutes choses grand pouvoir sur nous, n’a en aucun endroit si grande vertu qu’en ceci, de nous enseigner à servir»]</w:t>
      </w:r>
      <w:r>
        <w:t xml:space="preserve"> (La Boétie, Discurso de la servidumbre voluntaria, edición de 1922)</w:t>
      </w:r>
      <w:r>
        <w:br/>
      </w:r>
      <w:r>
        <w:rPr>
          <w:b/>
        </w:rPr>
        <w:t>leída en su fuente · La Boétie, Discurso de la servidumbre voluntaria, edición de 1922</w:t>
      </w:r>
      <w:r>
        <w:br/>
      </w:r>
      <w:r>
        <w:rPr>
          <w:b/>
        </w:rPr>
        <w:t>Archivo leído:</w:t>
      </w:r>
      <w:r>
        <w:t xml:space="preserve"> laboetie_servitude_1922_discours_wikisource.html (c4\laboetie_servitude_1922_discours_wikisource.html) · contraste del archivo de pasajes: ✔</w:t>
      </w:r>
      <w:r>
        <w:br/>
      </w:r>
      <w:r>
        <w:rPr>
          <w:b/>
        </w:rPr>
        <w:t>Lugar:</w:t>
      </w:r>
      <w:r>
        <w:t xml:space="preserve"> La Boétie, Discurso de la servidumbre voluntaria, edición de 1922</w:t>
      </w:r>
      <w:r>
        <w:br/>
      </w:r>
      <w:r>
        <w:rPr>
          <w:b/>
        </w:rPr>
        <w:t>Tal como está en la fuente:</w:t>
      </w:r>
      <w:r>
        <w:t xml:space="preserve"> la coutume, qui a en toutes choses grand pouvoir sur nous, n’a en aucun endroit si grande vertu qu’en ceci, de nous enseigner à servir</w:t>
      </w:r>
      <w:r>
        <w:t>.</w:t>
      </w:r>
    </w:p>
    <w:p>
      <w:r>
        <w:t>[04.00-5.1 y 5.2; La Boétie leído en francés]</w:t>
      </w:r>
    </w:p>
    <w:p>
      <w:r>
        <w:rPr>
          <w:b/>
        </w:rPr>
        <w:t>La servidumbre voluntaria.</w:t>
      </w:r>
      <w:r>
        <w:t xml:space="preserve"> Desde aquí, la edición llama así a la obediencia que los muchos prestan a uno por costumbre, sin que nadie los obligue a prestarla. De ella vive el poder.</w:t>
      </w:r>
    </w:p>
    <w:p>
      <w:r>
        <w:rPr>
          <w:b/>
        </w:rPr>
        <w:t>Lo que la obra hace con esto.</w:t>
      </w:r>
      <w:r>
        <w:t xml:space="preserve"> La Boétie pedía dejar de sostener al tirano. La obra no invita a desobedecer ninguna norma: sus puertas son la constancia escrita, el Registro de los frutos, el juicio popular de la verdad y la metamorfosis del Estado (</w:t>
      </w:r>
      <w:r>
        <w:t>0.2</w:t>
      </w:r>
      <w:r>
        <w:t>). Lo que retira no es la obediencia, sino la creencia sin comprobar. Por eso cada dato lleva su fuente.</w:t>
      </w:r>
    </w:p>
    <w:p>
      <w:r>
        <w:rPr>
          <w:b/>
        </w:rPr>
        <w:t>Lo mismo, observado.</w:t>
      </w:r>
      <w:r>
        <w:t xml:space="preserve"> En 1954, en Robbers Cave (Oklahoma), Muzafer Sherif y su equipo reunieron a 22 niños de unos once años, elegidos para que no se conocieran, y los separaron en dos grupos. Bastó un torneo con premios solo para el ganador, «un trofeo, medallas y once navajas de cuatro hojas», para que brotara la hostilidad, hasta quemar la bandera del otro grupo. El simple contacto no la redujo: «esas situaciones de contacto no resultaron eficaces para reducir la fricción». La redujo una serie de metas comunes, que solo podían alcanzar juntos</w:t>
      </w:r>
      <w:r>
        <w:t xml:space="preserve"> [original: «a trophy, medals, and 11 four-bladed knives»; «Such contact situations did not prove effective in reducing friction»; «superordinate goals»]</w:t>
      </w:r>
      <w:r>
        <w:t xml:space="preserve"> (Sherif, Harvey, White, Hood y Sherif, Intergroup Conflict and Cooperation: The Robbers Cave Experiment (Conflicto y cooperación entre grupos: el experimento de Robbers Cave), 1961, caps. 5 y 8)</w:t>
      </w:r>
      <w:r>
        <w:t xml:space="preserve">. </w:t>
      </w:r>
      <w:r>
        <w:t>[04.00-7.2; leído el 5-oct]</w:t>
      </w:r>
    </w:p>
    <w:p>
      <w:r>
        <w:rPr>
          <w:b/>
        </w:rPr>
        <w:t>Conclusión, lo que arrojan los datos:</w:t>
      </w:r>
      <w:r>
        <w:t xml:space="preserve"> la tradición hebrea, el cristianismo, el budismo y el islam describen un mal sin cuerpo propio: acusa, se hace muchos, tienta desde dentro o susurra, y actúa a través de otros, a veces de hombres. La Boétie muestra lo mismo en el poder político: el de uno solo vive de que muchos se lo den.</w:t>
      </w:r>
    </w:p>
    <w:p>
      <w:r>
        <w:rPr>
          <w:b/>
        </w:rPr>
        <w:t>Lectura del autor:</w:t>
      </w:r>
      <w:r>
        <w:t xml:space="preserve"> el ente sin cuerpo del </w:t>
      </w:r>
      <w:r>
        <w:t>capítulo 2</w:t>
      </w:r>
      <w:r>
        <w:t xml:space="preserve"> se parece a Legión: un solo nombre para muchos que obran como uno, sin que nadie responda por el suyo. Frente a eso, la obra pide lo que dejó sentado Núremberg: que responda la persona (</w:t>
      </w:r>
      <w:r>
        <w:t>1.4</w:t>
      </w:r>
      <w:r>
        <w:t>). Y lo que lo disuelve no es la fuerza, sino la luz: «todas las cosas cuando son redargüidas, son manifestadas por la luz»</w:t>
      </w:r>
      <w:r>
        <w:t xml:space="preserve"> (Ef 5:13)</w:t>
      </w:r>
      <w:r>
        <w:br/>
      </w:r>
      <w:r>
        <w:rPr>
          <w:b/>
        </w:rPr>
        <w:t>leída en su fuente · Ef 5:13</w:t>
      </w:r>
      <w:r>
        <w:br/>
      </w:r>
      <w:r>
        <w:rPr>
          <w:b/>
        </w:rPr>
        <w:t>Archivo leído:</w:t>
      </w:r>
      <w:r>
        <w:t xml:space="preserve"> spaRV1909_texto_corrido.txt (biblia_rv1909\spaRV1909_texto_corrido.txt) · contraste del archivo de pasajes: ✔</w:t>
      </w:r>
      <w:r>
        <w:br/>
      </w:r>
      <w:r>
        <w:rPr>
          <w:b/>
        </w:rPr>
        <w:t>Lugar:</w:t>
      </w:r>
      <w:r>
        <w:t xml:space="preserve"> Ef 5:13</w:t>
      </w:r>
      <w:r>
        <w:br/>
      </w:r>
      <w:r>
        <w:rPr>
          <w:b/>
        </w:rPr>
        <w:t>Tal como está en la fuente:</w:t>
      </w:r>
      <w:r>
        <w:t xml:space="preserve"> todas las cosas cuando son redargüidas, son manifestadas por la luz</w:t>
      </w:r>
      <w:r>
        <w:t>.</w:t>
      </w:r>
    </w:p>
    <w:p>
      <w:r>
        <w:t>[04.00-1.4 y 7.1, lectura de la obra]</w:t>
      </w:r>
    </w:p>
    <w:p>
      <w:pPr>
        <w:pStyle w:val="Heading2"/>
      </w:pPr>
      <w:r>
        <w:t>4.2 La lucha entre el bien y el mal</w:t>
      </w:r>
    </w:p>
    <w:p>
      <w:pPr>
        <w:pBdr>
          <w:left w:val="single" w:sz="24" w:space="6" w:color="E2DED6"/>
        </w:pBdr>
        <w:shd w:val="clear" w:color="auto" w:fill="F1EEE8"/>
        <w:spacing w:before="80" w:after="160"/>
        <w:ind w:left="142" w:right="142"/>
      </w:pPr>
      <w:r>
        <w:rPr>
          <w:b/>
        </w:rPr>
        <w:t>La idea: muchas tradiciones cuentan una lucha entre el bien y el mal, pero casi todas ponen al ser humano a elegir, y no a dos dioses iguales. Y varios textos ven poderes sin cuerpo detrás de los reinos.</w:t>
      </w:r>
    </w:p>
    <w:p>
      <w:r>
        <w:rPr>
          <w:b/>
        </w:rPr>
        <w:t>Una lucha que pide elegir:</w:t>
      </w:r>
    </w:p>
    <w:p>
      <w:pPr>
        <w:pStyle w:val="ListBullet"/>
      </w:pPr>
      <w:r>
        <w:rPr>
          <w:b/>
        </w:rPr>
        <w:t>Persia.</w:t>
      </w:r>
      <w:r>
        <w:t xml:space="preserve"> El Avesta cuenta que hay dos espíritus primeros, «el Mejor y el Malo, en pensamiento, palabra y obra; y entre los dos, los sabios eligieron bien, los necios no»</w:t>
      </w:r>
      <w:r>
        <w:t xml:space="preserve"> [original: «at tâ mainyû pouruyê ýâ ýêmâ hvafenâ asrvâtem manahicâ vacahicâ shyaothanôi hî vahyô akemcâ åscâ hudånghô eresh vîshyâtâ nôit duzhdånghô»; en la traducción inglesa de avesta.org: «Now the two primal Spirits, who reveal themselves in vision as Twins, are the Better and the Bad, in thought and word and action. And between these two the wise ones chose aright, the foolish not so»]</w:t>
      </w:r>
      <w:r>
        <w:t xml:space="preserve"> (Yasna 30:3)</w:t>
      </w:r>
      <w:r>
        <w:br/>
      </w:r>
      <w:r>
        <w:rPr>
          <w:b/>
        </w:rPr>
        <w:t>leída en su fuente · Yasna 30:3</w:t>
      </w:r>
      <w:r>
        <w:br/>
      </w:r>
      <w:r>
        <w:rPr>
          <w:b/>
        </w:rPr>
        <w:t>Archivo leído:</w:t>
      </w:r>
      <w:r>
        <w:t xml:space="preserve"> yasna_28-34_avestico_avesta_org.html (c4\yasna_28-34_avestico_avesta_org.html) · contraste del archivo de pasajes: ✔</w:t>
      </w:r>
      <w:r>
        <w:br/>
      </w:r>
      <w:r>
        <w:rPr>
          <w:b/>
        </w:rPr>
        <w:t>Lugar:</w:t>
      </w:r>
      <w:r>
        <w:t xml:space="preserve"> Yasna 30:3</w:t>
      </w:r>
      <w:r>
        <w:br/>
      </w:r>
      <w:r>
        <w:rPr>
          <w:b/>
        </w:rPr>
        <w:t>Tal como está en la fuente:</w:t>
      </w:r>
      <w:r>
        <w:t xml:space="preserve"> at tâ mainyû pouruyê ýâ ýêmâ hvafenâ asrvâtem manahicâ vacahicâ shyaothanôi hî vahyô akemcâ åscâ hudånghô eresh vîshyâtâ nôit duzhdånghô</w:t>
      </w:r>
      <w:r>
        <w:t>.</w:t>
      </w:r>
    </w:p>
    <w:p>
      <w:pPr>
        <w:pStyle w:val="ListBullet"/>
      </w:pPr>
      <w:r>
        <w:rPr>
          <w:b/>
        </w:rPr>
        <w:t>Israel y el cristianismo.</w:t>
      </w:r>
      <w:r>
        <w:t xml:space="preserve"> «Y fué hecha una grande batalla en el cielo: Miguel y sus ángeles lidiaban contra el dragón», «la serpiente antigua, que se llama Diablo y Satanás, el cual engaña á todo el mundo»</w:t>
      </w:r>
      <w:r>
        <w:t xml:space="preserve"> (Ap 12:7-9)</w:t>
      </w:r>
      <w:r>
        <w:br/>
      </w:r>
      <w:r>
        <w:rPr>
          <w:b/>
        </w:rPr>
        <w:t>leída en su fuente · Ap 12:7-9</w:t>
      </w:r>
      <w:r>
        <w:br/>
      </w:r>
      <w:r>
        <w:rPr>
          <w:b/>
        </w:rPr>
        <w:t>Archivo leído:</w:t>
      </w:r>
      <w:r>
        <w:t xml:space="preserve"> 4 DISCERNIR - EL MAL SIN CUERPO.md (biblia_rv1909\spaRV1909_texto_corrido.txt) · contraste del archivo de pasajes: ✔</w:t>
      </w:r>
      <w:r>
        <w:br/>
      </w:r>
      <w:r>
        <w:rPr>
          <w:b/>
        </w:rPr>
        <w:t>Lugar:</w:t>
      </w:r>
      <w:r>
        <w:t xml:space="preserve"> 4 DISCERNIR - EL MAL SIN CUERPO.md, línea 104</w:t>
      </w:r>
      <w:r>
        <w:br/>
      </w:r>
      <w:r>
        <w:rPr>
          <w:b/>
        </w:rPr>
        <w:t>Tal como está en la fuente:</w:t>
      </w:r>
      <w:r>
        <w:t xml:space="preserve"> la serpiente antigua, que se llama Diablo y Satanás, el cual engaña á todo el mundo</w:t>
      </w:r>
      <w:r>
        <w:t>.</w:t>
      </w:r>
    </w:p>
    <w:p>
      <w:pPr>
        <w:pStyle w:val="ListBullet"/>
      </w:pPr>
      <w:r>
        <w:rPr>
          <w:b/>
        </w:rPr>
        <w:t>El islam.</w:t>
      </w:r>
      <w:r>
        <w:t xml:space="preserve"> El Demonio engañó a la primera pareja: «Les hizo, pues, caer dolosamente»</w:t>
      </w:r>
      <w:r>
        <w:t xml:space="preserve"> [original: «فَدَلَّىٰهُمَا بِغُرُورٍۢ»]</w:t>
      </w:r>
      <w:r>
        <w:t xml:space="preserve"> (Corán 7:22)</w:t>
      </w:r>
      <w:r>
        <w:br/>
      </w:r>
      <w:r>
        <w:rPr>
          <w:b/>
        </w:rPr>
        <w:t>leída en su fuente · Corán 7:22</w:t>
      </w:r>
      <w:r>
        <w:br/>
      </w:r>
      <w:r>
        <w:rPr>
          <w:b/>
        </w:rPr>
        <w:t>Archivo leído:</w:t>
      </w:r>
      <w:r>
        <w:t xml:space="preserve"> coran_cortes_tanzil_completo.txt (c4\coran_cortes_tanzil_completo.txt) · contraste del archivo de pasajes: ✔</w:t>
      </w:r>
      <w:r>
        <w:br/>
      </w:r>
      <w:r>
        <w:rPr>
          <w:b/>
        </w:rPr>
        <w:t>Lugar:</w:t>
      </w:r>
      <w:r>
        <w:t xml:space="preserve"> formato</w:t>
      </w:r>
      <w:r>
        <w:br/>
      </w:r>
      <w:r>
        <w:rPr>
          <w:b/>
        </w:rPr>
        <w:t>Dirección:</w:t>
      </w:r>
      <w:r>
        <w:t xml:space="preserve"> </w:t>
      </w:r>
      <w:r>
        <w:t>https://tanzil.net/trans/es.cortes</w:t>
      </w:r>
      <w:r>
        <w:br/>
      </w:r>
      <w:r>
        <w:rPr>
          <w:b/>
        </w:rPr>
        <w:t>Tal como está en la fuente:</w:t>
      </w:r>
      <w:r>
        <w:t xml:space="preserve"> Les hizo, pues, caer dolosamente. Y cuando hubieron</w:t>
      </w:r>
      <w:r>
        <w:t>. Y el aviso: «El Demonio es para vosotros un enemigo. Tenedle, pues, por tal»</w:t>
      </w:r>
      <w:r>
        <w:t xml:space="preserve"> [original: «إِنَّ ٱلشَّيْطَٰنَ لَكُمْ عَدُوٌّۭ فَٱتَّخِذُوهُ عَدُوًّا»]</w:t>
      </w:r>
      <w:r>
        <w:t xml:space="preserve"> (Corán 35:6, traducción de Julio Cortés)</w:t>
      </w:r>
      <w:r>
        <w:br/>
      </w:r>
      <w:r>
        <w:rPr>
          <w:b/>
        </w:rPr>
        <w:t>leída en su fuente · Corán 35:6,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w:t>
      </w:r>
    </w:p>
    <w:p>
      <w:pPr>
        <w:pStyle w:val="ListBullet"/>
      </w:pPr>
      <w:r>
        <w:rPr>
          <w:b/>
        </w:rPr>
        <w:t>La India.</w:t>
      </w:r>
      <w:r>
        <w:t xml:space="preserve"> La Gita distingue dos condiciones en los seres: «la divina es para la liberación; la demoníaca, para la atadura»</w:t>
      </w:r>
      <w:r>
        <w:t xml:space="preserve"> [original: «daivī saṃpad vimokṣāya nibandhāyāsurī matā»]</w:t>
      </w:r>
      <w:r>
        <w:t xml:space="preserve"> (Bhagavad Gita 16.5)</w:t>
      </w:r>
      <w:r>
        <w:br/>
      </w:r>
      <w:r>
        <w:rPr>
          <w:b/>
        </w:rPr>
        <w:t>leída en su fuente · Bhagavad Gita 16.5</w:t>
      </w:r>
      <w:r>
        <w:br/>
      </w:r>
      <w:r>
        <w:rPr>
          <w:b/>
        </w:rPr>
        <w:t>Archivo leído:</w:t>
      </w:r>
      <w:r>
        <w:t xml:space="preserve"> bg_sanscrito_gretil_comm.txt (c4\bg_sanscrito_gretil_comm.txt) · contraste del archivo de pasajes: ✔</w:t>
      </w:r>
      <w:r>
        <w:br/>
      </w:r>
      <w:r>
        <w:rPr>
          <w:b/>
        </w:rPr>
        <w:t>Lugar:</w:t>
      </w:r>
      <w:r>
        <w:t xml:space="preserve"> Bhagavad Gita 16.5</w:t>
      </w:r>
      <w:r>
        <w:br/>
      </w:r>
      <w:r>
        <w:rPr>
          <w:b/>
        </w:rPr>
        <w:t>Tal como está en la fuente:</w:t>
      </w:r>
      <w:r>
        <w:t xml:space="preserve"> daivī saṃpad vimokṣāya nibandhāyāsurī matā</w:t>
      </w:r>
      <w:r>
        <w:t>.</w:t>
      </w:r>
    </w:p>
    <w:p>
      <w:r>
        <w:t>[05.00-1.1, 4.1, 5.1 y 7.1; libreta 47 §3; textos leídos en su original]</w:t>
      </w:r>
    </w:p>
    <w:p>
      <w:r>
        <w:rPr>
          <w:b/>
        </w:rPr>
        <w:t>Elegir, no dos dioses.</w:t>
      </w:r>
      <w:r>
        <w:t xml:space="preserve"> De las nueve tradiciones que reúne la Biblioteca, solo dos sostienen dos principios iguales y eternos: el zoroastrismo en su lectura más radical y el maniqueísmo. Las otras siete ponen el mal como privación, elección, desequilibrio o estado de la mente, y al ser humano como parte que elige. </w:t>
      </w:r>
      <w:r>
        <w:t>[05.00-11.1]</w:t>
      </w:r>
    </w:p>
    <w:p>
      <w:r>
        <w:rPr>
          <w:b/>
        </w:rPr>
        <w:t>La pata coja: no toda guerra antigua es moral.</w:t>
      </w:r>
      <w:r>
        <w:t xml:space="preserve"> En Mesopotamia, los dioses dan a Marduk «la realeza sobre todo y sobre todos»</w:t>
      </w:r>
      <w:r>
        <w:t xml:space="preserve"> [original: «i niddinka šarrūta kiššat kal gimrēti»; en la traducción inglesa de B. R. Foster: «We bestow upon you kingship of all and everything»]</w:t>
      </w:r>
      <w:r>
        <w:t xml:space="preserve"> (Enuma Elish IV, 14)</w:t>
      </w:r>
      <w:r>
        <w:br/>
      </w:r>
      <w:r>
        <w:rPr>
          <w:b/>
        </w:rPr>
        <w:t>leída en su fuente · Enuma Elish IV, 14</w:t>
      </w:r>
      <w:r>
        <w:br/>
      </w:r>
      <w:r>
        <w:rPr>
          <w:b/>
        </w:rPr>
        <w:t>Archivo leído:</w:t>
      </w:r>
      <w:r>
        <w:t xml:space="preserve"> enuma_elish_ebl_tablilla_IV.json (c4\enuma_elish_ebl_tablilla_IV.json) · contraste del archivo de pasajes: ✔</w:t>
      </w:r>
      <w:r>
        <w:br/>
      </w:r>
      <w:r>
        <w:rPr>
          <w:b/>
        </w:rPr>
        <w:t>Lugar:</w:t>
      </w:r>
      <w:r>
        <w:t xml:space="preserve"> Enuma Elish IV, 14</w:t>
      </w:r>
      <w:r>
        <w:br/>
      </w:r>
      <w:r>
        <w:rPr>
          <w:b/>
        </w:rPr>
        <w:t>Tal como está en la fuente:</w:t>
      </w:r>
      <w:r>
        <w:t xml:space="preserve"> i niddinka šarrūta kiššat kal gimrēti</w:t>
      </w:r>
      <w:r>
        <w:t xml:space="preserve"> para que venza a Tiamat. En la India, Indra «mató al dragón y abrió paso a las aguas»</w:t>
      </w:r>
      <w:r>
        <w:t xml:space="preserve"> [original: «ahann ahim anv apas tatarda»]</w:t>
      </w:r>
      <w:r>
        <w:t xml:space="preserve"> (Rig Veda 1.32.1)</w:t>
      </w:r>
      <w:r>
        <w:br/>
      </w:r>
      <w:r>
        <w:rPr>
          <w:b/>
        </w:rPr>
        <w:t>leída en su fuente · Rig Veda 1.32.1</w:t>
      </w:r>
      <w:r>
        <w:br/>
      </w:r>
      <w:r>
        <w:rPr>
          <w:b/>
        </w:rPr>
        <w:t>Archivo leído:</w:t>
      </w:r>
      <w:r>
        <w:t xml:space="preserve"> rv_sanscrito_gretil_aufrecht.txt (c4\rv_sanscrito_gretil_aufrecht.txt) · contraste del archivo de pasajes: ✔</w:t>
      </w:r>
      <w:r>
        <w:br/>
      </w:r>
      <w:r>
        <w:rPr>
          <w:b/>
        </w:rPr>
        <w:t>Lugar:</w:t>
      </w:r>
      <w:r>
        <w:t xml:space="preserve"> Rig Veda 1.32.1</w:t>
      </w:r>
      <w:r>
        <w:br/>
      </w:r>
      <w:r>
        <w:rPr>
          <w:b/>
        </w:rPr>
        <w:t>Tal como está en la fuente:</w:t>
      </w:r>
      <w:r>
        <w:t xml:space="preserve"> ahann ahim anv apas tatarda</w:t>
      </w:r>
      <w:r>
        <w:t>. Son guerras de dioses por el orden del mundo y por el poder, no una elección del ser humano entre el bien y el mal.</w:t>
      </w:r>
    </w:p>
    <w:p>
      <w:r>
        <w:t>[libreta 47 §3, pendientes: el Enuma Elish y el Rig Veda, leídos hoy]</w:t>
      </w:r>
    </w:p>
    <w:p>
      <w:r>
        <w:rPr>
          <w:b/>
        </w:rPr>
        <w:t>Dos formas más, sin dos dioses iguales:</w:t>
      </w:r>
    </w:p>
    <w:p>
      <w:pPr>
        <w:pStyle w:val="ListBullet"/>
      </w:pPr>
      <w:r>
        <w:rPr>
          <w:b/>
        </w:rPr>
        <w:t>Egipto.</w:t>
      </w:r>
      <w:r>
        <w:t xml:space="preserve"> El orden se llama </w:t>
      </w:r>
      <w:r>
        <w:rPr>
          <w:i/>
        </w:rPr>
        <w:t>maat</w:t>
      </w:r>
      <w:r>
        <w:t xml:space="preserve">, la verdad; su contrario, </w:t>
      </w:r>
      <w:r>
        <w:rPr>
          <w:i/>
        </w:rPr>
        <w:t>isfet</w:t>
      </w:r>
      <w:r>
        <w:t>, el error o la maldad. Ya hacia 2600 a. C. el rey Snefru se titula «señor de la verdad» (fuente secundaria: Breasted, 1906). Hacia 2350 a. C., los textos de la pirámide de Unas dicen que el rey «había puesto la verdad en lugar del error»</w:t>
      </w:r>
      <w:r>
        <w:t xml:space="preserve"> [original: en la traducción inglesa de Mercer, «had set truth therein in the place of error»]</w:t>
      </w:r>
      <w:r>
        <w:t xml:space="preserve"> (Textos de las Pirámides, § 265)</w:t>
      </w:r>
      <w:r>
        <w:br/>
      </w:r>
      <w:r>
        <w:rPr>
          <w:b/>
        </w:rPr>
        <w:t>leída en su fuente · Textos de las Pirámides, § 265</w:t>
      </w:r>
      <w:r>
        <w:br/>
      </w:r>
      <w:r>
        <w:rPr>
          <w:b/>
        </w:rPr>
        <w:t>Archivo leído:</w:t>
      </w:r>
      <w:r>
        <w:t xml:space="preserve"> 05.00_Maat_Mercer_1952_Pyramid_Texts_pyt10_sacred-texts.html (flecos2\05.00_Maat_Mercer_1952_Pyramid_Texts_pyt10_sacred-texts.html) · contraste del archivo de pasajes: ✔</w:t>
      </w:r>
      <w:r>
        <w:br/>
      </w:r>
      <w:r>
        <w:rPr>
          <w:b/>
        </w:rPr>
        <w:t>Lugar:</w:t>
      </w:r>
      <w:r>
        <w:t xml:space="preserve"> Textos de las Pirámides, § 265</w:t>
      </w:r>
      <w:r>
        <w:br/>
      </w:r>
      <w:r>
        <w:rPr>
          <w:b/>
        </w:rPr>
        <w:t>Tal como está en la fuente:</w:t>
      </w:r>
      <w:r>
        <w:t xml:space="preserve"> had set truth therein in the place of error</w:t>
      </w:r>
      <w:r>
        <w:t>. Y en el Libro de los Muertos, el difunto dice: «te he traído la verdad, he alejado de ti la maldad»</w:t>
      </w:r>
      <w:r>
        <w:t xml:space="preserve"> [original: «ȧn-nȧ-nek maāt, ṭer-nȧ-nek ȧsfet»; en la traducción de Budge, «I have brought to thee Maāt. I have driven away for thee wickedness»]</w:t>
      </w:r>
      <w:r>
        <w:t xml:space="preserve"> (Libro de los Muertos, cap. 125)</w:t>
      </w:r>
      <w:r>
        <w:br/>
      </w:r>
      <w:r>
        <w:rPr>
          <w:b/>
        </w:rPr>
        <w:t>pasaje guardado · Libro de los Muertos, cap. 125</w:t>
      </w:r>
      <w:r>
        <w:br/>
      </w:r>
      <w:r>
        <w:rPr>
          <w:b/>
        </w:rPr>
        <w:t>Archivo leído:</w:t>
      </w:r>
      <w:r>
        <w:t xml:space="preserve"> 05.00_Maat_Budge_1895_Papyrus_of_Ani_transliteracion_archive.pdf · contraste del archivo de pasajes: sin archivo</w:t>
      </w:r>
      <w:r>
        <w:br/>
      </w:r>
      <w:r>
        <w:rPr>
          <w:b/>
        </w:rPr>
        <w:t>Lugar:</w:t>
      </w:r>
      <w:r>
        <w:t xml:space="preserve"> Libro de los Muertos, cap. 125</w:t>
      </w:r>
      <w:r>
        <w:br/>
      </w:r>
      <w:r>
        <w:rPr>
          <w:b/>
        </w:rPr>
        <w:t>Tal como está en la fuente:</w:t>
      </w:r>
      <w:r>
        <w:t xml:space="preserve"> ȧn-nȧ-nek maāt, ṭer-nȧ-nek ȧsfet</w:t>
      </w:r>
      <w:r>
        <w:t>. No son dos dioses iguales: es el deber de poner la verdad donde había error.</w:t>
      </w:r>
    </w:p>
    <w:p>
      <w:pPr>
        <w:pStyle w:val="ListBullet"/>
      </w:pPr>
      <w:r>
        <w:rPr>
          <w:b/>
        </w:rPr>
        <w:t>El norte de Europa.</w:t>
      </w:r>
      <w:r>
        <w:t xml:space="preserve"> El fin del mundo, el Ragnarök, es una tragedia en la que mueren también los dioses: Odín va a luchar contra el lobo, y «caerá el amado de Frigg»; «el sol se oscurece, la tierra se hunde en el mar»; y después, la vidente «ve surgir de nuevo la tierra del mar, siempre verde»</w:t>
      </w:r>
      <w:r>
        <w:t xml:space="preserve"> [original: «þá mun Friggjar falla angan»; «Sól tér sortna, sígr fold í mar»; «Sér hon upp koma öðru sinni jörð ór ægi iðjagræna»]</w:t>
      </w:r>
      <w:r>
        <w:t xml:space="preserve"> (Völuspá 53, 57 y 59, en el Codex Regius, de finales del siglo XIII)</w:t>
      </w:r>
      <w:r>
        <w:br/>
      </w:r>
      <w:r>
        <w:rPr>
          <w:b/>
        </w:rPr>
        <w:t>leída en su fuente · Völuspá 53, 57 y 59, en el Codex Regius, de finales del siglo XIII</w:t>
      </w:r>
      <w:r>
        <w:br/>
      </w:r>
      <w:r>
        <w:rPr>
          <w:b/>
        </w:rPr>
        <w:t>Archivo leído:</w:t>
      </w:r>
      <w:r>
        <w:t xml:space="preserve"> 05.00_Ragnarok_Voluspa_nordico_antiguo_heimskringla.html (flecos2\05.00_Ragnarok_Voluspa_nordico_antiguo_heimskringla.html) · contraste del archivo de pasajes: ✔</w:t>
      </w:r>
      <w:r>
        <w:br/>
      </w:r>
      <w:r>
        <w:rPr>
          <w:b/>
        </w:rPr>
        <w:t>Lugar:</w:t>
      </w:r>
      <w:r>
        <w:t xml:space="preserve"> Völuspá 53, 57 y 59, en el Codex Regius, de finales del siglo XIII</w:t>
      </w:r>
      <w:r>
        <w:br/>
      </w:r>
      <w:r>
        <w:rPr>
          <w:b/>
        </w:rPr>
        <w:t>Tal como está en la fuente:</w:t>
      </w:r>
      <w:r>
        <w:t xml:space="preserve"> þá mun Friggjar falla angan</w:t>
      </w:r>
      <w:r>
        <w:t>. No triunfa el bien: el mundo cae y vuelve a empezar.</w:t>
      </w:r>
    </w:p>
    <w:p>
      <w:r>
        <w:t>[05.00-2.1 y 9.1, corregidos; Textos de las Pirámides (Mercer), Libro de los Muertos (Budge) y Völuspá (nórdico antiguo), leídos el 5-oct]</w:t>
      </w:r>
    </w:p>
    <w:p>
      <w:r>
        <w:rPr>
          <w:b/>
        </w:rPr>
        <w:t>Los poderes que se ensalzan por encima de los hombres.</w:t>
      </w:r>
      <w:r>
        <w:t xml:space="preserve"> Varios textos ven, detrás de los reinos y del mundo, poderes que no tienen cuerpo:</w:t>
      </w:r>
    </w:p>
    <w:p>
      <w:pPr>
        <w:pStyle w:val="ListBullet"/>
      </w:pPr>
      <w:r>
        <w:rPr>
          <w:b/>
        </w:rPr>
        <w:t>Daniel.</w:t>
      </w:r>
      <w:r>
        <w:t xml:space="preserve"> Quien habla a Daniel en su visión cuenta que «el príncipe del reino de Persia se puso contra mí veintiún días», y que después «viene el príncipe de Grecia»</w:t>
      </w:r>
      <w:r>
        <w:t xml:space="preserve"> [original: «וְשַׂר מַלְכוּת פָּרַס»; «שַׂר־יָוָן»]</w:t>
      </w:r>
      <w:r>
        <w:t xml:space="preserve"> (Dn 10:13 y 10:20)</w:t>
      </w:r>
      <w:r>
        <w:br/>
      </w:r>
      <w:r>
        <w:rPr>
          <w:b/>
        </w:rPr>
        <w:t>leída en su fuente · Dn 10:13 y 10:20</w:t>
      </w:r>
      <w:r>
        <w:br/>
      </w:r>
      <w:r>
        <w:rPr>
          <w:b/>
        </w:rPr>
        <w:t>Original donde está:</w:t>
      </w:r>
      <w:r>
        <w:t xml:space="preserve"> hebreo_oshb_Dan.txt</w:t>
      </w:r>
      <w:r>
        <w:br/>
      </w:r>
      <w:r>
        <w:t>El pasaje literal no está en el archivo de pasajes con este comienzo; la auditoría lo halló en ese original.</w:t>
      </w:r>
      <w:r>
        <w:t>: un príncipe por cada reino.</w:t>
      </w:r>
    </w:p>
    <w:p>
      <w:pPr>
        <w:pStyle w:val="ListBullet"/>
      </w:pPr>
      <w:r>
        <w:rPr>
          <w:b/>
        </w:rPr>
        <w:t>El Evangelio.</w:t>
      </w:r>
      <w:r>
        <w:t xml:space="preserve"> Llama al diablo «el príncipe de este mundo»</w:t>
      </w:r>
      <w:r>
        <w:t xml:space="preserve"> [original: «ὁ ἄρχων τοῦ κόσμου τούτου»]</w:t>
      </w:r>
      <w:r>
        <w:t xml:space="preserve"> (Jn 12:31 y 14:30)</w:t>
      </w:r>
      <w:r>
        <w:br/>
      </w:r>
      <w:r>
        <w:rPr>
          <w:b/>
        </w:rPr>
        <w:t>leída en su fuente · Jn 12:31 y 14:30</w:t>
      </w:r>
      <w:r>
        <w:br/>
      </w:r>
      <w:r>
        <w:rPr>
          <w:b/>
        </w:rPr>
        <w:t>Original donde está:</w:t>
      </w:r>
      <w:r>
        <w:t xml:space="preserve"> sblgnt_John.txt</w:t>
      </w:r>
      <w:r>
        <w:br/>
      </w:r>
      <w:r>
        <w:t>El pasaje literal no está en el archivo de pasajes con este comienzo; la auditoría lo halló en ese original.</w:t>
      </w:r>
      <w:r>
        <w:t>.</w:t>
      </w:r>
    </w:p>
    <w:p>
      <w:pPr>
        <w:pStyle w:val="ListBullet"/>
      </w:pPr>
      <w:r>
        <w:rPr>
          <w:b/>
        </w:rPr>
        <w:t>Pablo.</w:t>
      </w:r>
      <w:r>
        <w:t xml:space="preserve"> «el dios de este siglo cegó los entendimientos de los incrédulos»</w:t>
      </w:r>
      <w:r>
        <w:t xml:space="preserve"> [original: «ὁ θεὸς τοῦ αἰῶνος τούτου ἐτύφλωσεν τὰ νοήματα τῶν ἀπίστων»]</w:t>
      </w:r>
      <w:r>
        <w:t xml:space="preserve"> (2 Co 4:4)</w:t>
      </w:r>
      <w:r>
        <w:br/>
      </w:r>
      <w:r>
        <w:rPr>
          <w:b/>
        </w:rPr>
        <w:t>leída en su fuente · 2 Co 4:4</w:t>
      </w:r>
      <w:r>
        <w:br/>
      </w:r>
      <w:r>
        <w:rPr>
          <w:b/>
        </w:rPr>
        <w:t>Original donde está:</w:t>
      </w:r>
      <w:r>
        <w:t xml:space="preserve"> sblgnt_2Cor.txt</w:t>
      </w:r>
      <w:r>
        <w:br/>
      </w:r>
      <w:r>
        <w:t>El pasaje literal no está en el archivo de pasajes con este comienzo; la auditoría lo halló en ese original.</w:t>
      </w:r>
      <w:r>
        <w:t>. Y: «no tenemos lucha contra sangre y carne; sino contra principados, contra potestades, contra señores del mundo, gobernadores de estas tinieblas, contra malicias espirituales en los aires»</w:t>
      </w:r>
      <w:r>
        <w:t xml:space="preserve"> [original: «οὐκ ἔστιν ἡμῖν ἡ πάλη πρὸς αἷμα καὶ σάρκα, ἀλλὰ πρὸς τὰς ἀρχάς, πρὸς τὰς ἐξουσίας, πρὸς τοὺς κοσμοκράτορας τοῦ σκότους τούτου»]</w:t>
      </w:r>
      <w:r>
        <w:t xml:space="preserve"> (Ef 6:12)</w:t>
      </w:r>
      <w:r>
        <w:br/>
      </w:r>
      <w:r>
        <w:rPr>
          <w:b/>
        </w:rPr>
        <w:t>leída en su fuente · Ef 6:12</w:t>
      </w:r>
      <w:r>
        <w:br/>
      </w:r>
      <w:r>
        <w:rPr>
          <w:b/>
        </w:rPr>
        <w:t>Original donde está:</w:t>
      </w:r>
      <w:r>
        <w:t xml:space="preserve"> sblgnt_Eph.txt</w:t>
      </w:r>
      <w:r>
        <w:br/>
      </w:r>
      <w:r>
        <w:t>El pasaje literal no está en el archivo de pasajes con este comienzo; la auditoría lo halló en ese original.</w:t>
      </w:r>
      <w:r>
        <w:t>.</w:t>
      </w:r>
    </w:p>
    <w:p>
      <w:pPr>
        <w:pStyle w:val="ListBullet"/>
      </w:pPr>
      <w:r>
        <w:rPr>
          <w:b/>
        </w:rPr>
        <w:t>Persia.</w:t>
      </w:r>
      <w:r>
        <w:t xml:space="preserve"> Tampoco los daevas eligieron bien, y «se lanzaron juntos a la violencia, para debilitar el mundo de los hombres»</w:t>
      </w:r>
      <w:r>
        <w:t xml:space="preserve"> [original: en la traducción inglesa de avesta.org: «Between these twain the Daevas also chose not aright […] Then they rushed together to Violence, that they might enfeeble the world of men»]</w:t>
      </w:r>
      <w:r>
        <w:t xml:space="preserve"> (Yasna 30:6)</w:t>
      </w:r>
      <w:r>
        <w:br/>
      </w:r>
      <w:r>
        <w:rPr>
          <w:b/>
        </w:rPr>
        <w:t>leída en su fuente · Yasna 30:6</w:t>
      </w:r>
      <w:r>
        <w:br/>
      </w:r>
      <w:r>
        <w:rPr>
          <w:b/>
        </w:rPr>
        <w:t>Archivo leído:</w:t>
      </w:r>
      <w:r>
        <w:t xml:space="preserve"> yasna_ingles_avesta_org.html (c4\yasna_ingles_avesta_org.html) · contraste del archivo de pasajes: ✔</w:t>
      </w:r>
      <w:r>
        <w:br/>
      </w:r>
      <w:r>
        <w:rPr>
          <w:b/>
        </w:rPr>
        <w:t>Lugar:</w:t>
      </w:r>
      <w:r>
        <w:t xml:space="preserve"> Yasna 30:6</w:t>
      </w:r>
      <w:r>
        <w:br/>
      </w:r>
      <w:r>
        <w:rPr>
          <w:b/>
        </w:rPr>
        <w:t>Tal como está en la fuente:</w:t>
      </w:r>
      <w:r>
        <w:t xml:space="preserve"> Between these twain the Daevas also chose not aright […] Then they rushed together to Violence, that they might enfeeble the world of men</w:t>
      </w:r>
      <w:r>
        <w:t>.</w:t>
      </w:r>
    </w:p>
    <w:p>
      <w:pPr>
        <w:pStyle w:val="ListBullet"/>
      </w:pPr>
      <w:r>
        <w:rPr>
          <w:b/>
        </w:rPr>
        <w:t>La India.</w:t>
      </w:r>
      <w:r>
        <w:t xml:space="preserve"> El de condición demoníaca se ensalza a sí mismo: «yo soy señor, yo el que disfruta; soy perfecto, fuerte y feliz» y «¿quién hay igual a mí?»</w:t>
      </w:r>
      <w:r>
        <w:t xml:space="preserve"> [original: «īśvaro 'ham ahaṃ bhogī siddho 'haṃ balavān sukhī»; «ko 'nyo 'sti sadṛśo mayā»]</w:t>
      </w:r>
      <w:r>
        <w:t xml:space="preserve"> (Bhagavad Gita 16.14-15)</w:t>
      </w:r>
      <w:r>
        <w:t>.</w:t>
      </w:r>
    </w:p>
    <w:p>
      <w:r>
        <w:t>[fleco #192 (tabla 06): candidatos leídos hoy en su original; 04.00-4.1 y 4.2]</w:t>
      </w:r>
    </w:p>
    <w:p>
      <w:r>
        <w:rPr>
          <w:b/>
        </w:rPr>
        <w:t>Conclusión, lo que arrojan los datos:</w:t>
      </w:r>
      <w:r>
        <w:t xml:space="preserve"> Persia, Israel, el cristianismo, el islam y la India cuentan una lucha entre el bien y el mal, y casi todas ponen al ser humano a elegir. Daniel, el Evangelio y Pablo ven, además, poderes sin cuerpo detrás de los reinos y del mundo; y la Gita describe al que se ensalza por encima de todos. No toda guerra antigua es moral: en Mesopotamia y en el Rig Veda es una guerra de dioses por el orden y por el poder.</w:t>
      </w:r>
    </w:p>
    <w:p>
      <w:r>
        <w:rPr>
          <w:b/>
        </w:rPr>
        <w:t>Lectura del autor:</w:t>
      </w:r>
      <w:r>
        <w:t xml:space="preserve"> la humanidad vive en una guerra y en una manipulación continuas, para que unos se perpetúen en el poder a través de lo que nos hacen creer, y para que nos sometamos voluntariamente. Es la servidumbre voluntaria de La Boétie (</w:t>
      </w:r>
      <w:r>
        <w:t>4.1</w:t>
      </w:r>
      <w:r>
        <w:t xml:space="preserve">), vista desde las escrituras. Lo que nos hacen creer se examina en el </w:t>
      </w:r>
      <w:r>
        <w:t>capítulo 5</w:t>
      </w:r>
      <w:r>
        <w:t>.</w:t>
      </w:r>
    </w:p>
    <w:p>
      <w:r>
        <w:t>[fleco #192, palabras de Kiko (5-oct)]</w:t>
      </w:r>
    </w:p>
    <w:p>
      <w:r>
        <w:rPr>
          <w:b/>
        </w:rPr>
        <w:t>Lectura del autor, sobre la mujer y el varón:</w:t>
      </w:r>
      <w:r>
        <w:t xml:space="preserve"> la obra leyó 78 pasajes de 19 tradiciones y dicen las dos cosas: un origen común y, después, en la palabra escrita, la mujer por debajo. Para esta obra, lo segundo no es la palabra divina, sino la palabra escrita, que arrastraba la costumbre de su tiempo. Los pasajes se ven en </w:t>
      </w:r>
      <w:r>
        <w:t>2.3</w:t>
      </w:r>
      <w:r>
        <w:t xml:space="preserve">. </w:t>
      </w:r>
      <w:r>
        <w:t>[palabras de Kiko, 9-oct-2026]</w:t>
      </w:r>
    </w:p>
    <w:p>
      <w:r>
        <w:rPr>
          <w:b/>
        </w:rPr>
        <w:t>El relato de la caída, tal como está escrito.</w:t>
      </w:r>
      <w:r>
        <w:t xml:space="preserve"> El Génesis cuenta que había dos árboles en medio del huerto: «también el árbol de vida en medio del huerto, y el árbol de ciencia del bien y del mal»</w:t>
      </w:r>
      <w:r>
        <w:t xml:space="preserve"> (Gn 2:9)</w:t>
      </w:r>
      <w:r>
        <w:br/>
      </w:r>
      <w:r>
        <w:rPr>
          <w:b/>
        </w:rPr>
        <w:t>leída en su fuente · Gn 2:9</w:t>
      </w:r>
      <w:r>
        <w:br/>
      </w:r>
      <w:r>
        <w:rPr>
          <w:b/>
        </w:rPr>
        <w:t>Archivo leído:</w:t>
      </w:r>
      <w:r>
        <w:t xml:space="preserve"> spaRV1909_texto_corrido.txt (biblia_rv1909\spaRV1909_texto_corrido.txt) · contraste del archivo de pasajes: ✔</w:t>
      </w:r>
      <w:r>
        <w:br/>
      </w:r>
      <w:r>
        <w:rPr>
          <w:b/>
        </w:rPr>
        <w:t>Lugar:</w:t>
      </w:r>
      <w:r>
        <w:t xml:space="preserve"> Gn 2:9</w:t>
      </w:r>
      <w:r>
        <w:br/>
      </w:r>
      <w:r>
        <w:rPr>
          <w:b/>
        </w:rPr>
        <w:t>Tal como está en la fuente:</w:t>
      </w:r>
      <w:r>
        <w:t xml:space="preserve"> también el árbol de vida en medio del huerto, y el árbol de ciencia del bien y del mal</w:t>
      </w:r>
      <w:r>
        <w:t>. La orden era una sola: «De todo árbol del huerto comerás»</w:t>
      </w:r>
      <w:r>
        <w:t xml:space="preserve"> (Gn 2:16)</w:t>
      </w:r>
      <w:r>
        <w:br/>
      </w:r>
      <w:r>
        <w:rPr>
          <w:b/>
        </w:rPr>
        <w:t>leída en su fuente · Gn 2:16</w:t>
      </w:r>
      <w:r>
        <w:br/>
      </w:r>
      <w:r>
        <w:rPr>
          <w:b/>
        </w:rPr>
        <w:t>Archivo leído:</w:t>
      </w:r>
      <w:r>
        <w:t xml:space="preserve"> spaRV1909_texto_corrido.txt (biblia_rv1909\spaRV1909_texto_corrido.txt) · contraste del archivo de pasajes: ✔</w:t>
      </w:r>
      <w:r>
        <w:br/>
      </w:r>
      <w:r>
        <w:rPr>
          <w:b/>
        </w:rPr>
        <w:t>Lugar:</w:t>
      </w:r>
      <w:r>
        <w:t xml:space="preserve"> Gn 2:16</w:t>
      </w:r>
      <w:r>
        <w:br/>
      </w:r>
      <w:r>
        <w:rPr>
          <w:b/>
        </w:rPr>
        <w:t>Tal como está en la fuente:</w:t>
      </w:r>
      <w:r>
        <w:t xml:space="preserve"> De todo árbol del huerto comerás</w:t>
      </w:r>
      <w:r>
        <w:t>; «Mas del árbol de ciencia del bien y del mal no comerás de él; porque el día que de él comieres, morirás»</w:t>
      </w:r>
      <w:r>
        <w:t xml:space="preserve"> (Gn 2:17)</w:t>
      </w:r>
      <w:r>
        <w:br/>
      </w:r>
      <w:r>
        <w:rPr>
          <w:b/>
        </w:rPr>
        <w:t>leída en su fuente · Gn 2:17</w:t>
      </w:r>
      <w:r>
        <w:br/>
      </w:r>
      <w:r>
        <w:rPr>
          <w:b/>
        </w:rPr>
        <w:t>Archivo leído:</w:t>
      </w:r>
      <w:r>
        <w:t xml:space="preserve"> Gen.txt (biblia_rv1909\spaRV1909_vpl.txt) · contraste del archivo de pasajes: ✔</w:t>
      </w:r>
      <w:r>
        <w:br/>
      </w:r>
      <w:r>
        <w:rPr>
          <w:b/>
        </w:rPr>
        <w:t>Lugar:</w:t>
      </w:r>
      <w:r>
        <w:t xml:space="preserve"> Gn 2:17</w:t>
      </w:r>
      <w:r>
        <w:br/>
      </w:r>
      <w:r>
        <w:rPr>
          <w:b/>
        </w:rPr>
        <w:t>Tal como está en la fuente:</w:t>
      </w:r>
      <w:r>
        <w:t xml:space="preserve"> Mas del árbol de ciencia del bien y del mal no comerás de él; porque el día que de él comieres, morirás.</w:t>
      </w:r>
      <w:r>
        <w:t>. La serpiente empieza por darle la vuelta: «¿Conque Dios os ha dicho: No comáis de todo árbol del huerto?»</w:t>
      </w:r>
      <w:r>
        <w:t xml:space="preserve"> (Gn 3:1)</w:t>
      </w:r>
      <w:r>
        <w:br/>
      </w:r>
      <w:r>
        <w:rPr>
          <w:b/>
        </w:rPr>
        <w:t>leída en su fuente · Gn 3:1</w:t>
      </w:r>
      <w:r>
        <w:br/>
      </w:r>
      <w:r>
        <w:rPr>
          <w:b/>
        </w:rPr>
        <w:t>Archivo leído:</w:t>
      </w:r>
      <w:r>
        <w:t xml:space="preserve"> spaRV1909_texto_corrido.txt (biblia_rv1909\spaRV1909_texto_corrido.txt) · contraste del archivo de pasajes: ✔</w:t>
      </w:r>
      <w:r>
        <w:br/>
      </w:r>
      <w:r>
        <w:rPr>
          <w:b/>
        </w:rPr>
        <w:t>Lugar:</w:t>
      </w:r>
      <w:r>
        <w:t xml:space="preserve"> Gn 3:1</w:t>
      </w:r>
      <w:r>
        <w:br/>
      </w:r>
      <w:r>
        <w:rPr>
          <w:b/>
        </w:rPr>
        <w:t>Tal como está en la fuente:</w:t>
      </w:r>
      <w:r>
        <w:t xml:space="preserve"> ¿Conque Dios os ha dicho: No comáis de todo árbol del huerto?</w:t>
      </w:r>
      <w:r>
        <w:t>. La mujer responde, y añade algo que en la orden no estaba: «ni le tocaréis»</w:t>
      </w:r>
      <w:r>
        <w:t xml:space="preserve"> (Gn 3:3)</w:t>
      </w:r>
      <w:r>
        <w:t>. La serpiente niega la consecuencia sin dar un dato, «No moriréis»</w:t>
      </w:r>
      <w:r>
        <w:t xml:space="preserve"> (Gn 3:4)</w:t>
      </w:r>
      <w:r>
        <w:t>, y atribuye un motivo: «Mas sabe Dios que el día que comiereis de él, serán abiertos vuestros ojos, y seréis como dioses sabiendo el bien y el mal»</w:t>
      </w:r>
      <w:r>
        <w:t xml:space="preserve"> (Gn 3:5)</w:t>
      </w:r>
      <w:r>
        <w:br/>
      </w:r>
      <w:r>
        <w:rPr>
          <w:b/>
        </w:rPr>
        <w:t>leída en su fuente · Gn 3:5</w:t>
      </w:r>
      <w:r>
        <w:br/>
      </w:r>
      <w:r>
        <w:rPr>
          <w:b/>
        </w:rPr>
        <w:t>Archivo leído:</w:t>
      </w:r>
      <w:r>
        <w:t xml:space="preserve"> spaRV1909_texto_corrido.txt (biblia_rv1909\spaRV1909_texto_corrido.txt) · contraste del archivo de pasajes: ✔</w:t>
      </w:r>
      <w:r>
        <w:br/>
      </w:r>
      <w:r>
        <w:rPr>
          <w:b/>
        </w:rPr>
        <w:t>Lugar:</w:t>
      </w:r>
      <w:r>
        <w:t xml:space="preserve"> Gn 3:5</w:t>
      </w:r>
      <w:r>
        <w:br/>
      </w:r>
      <w:r>
        <w:rPr>
          <w:b/>
        </w:rPr>
        <w:t>Tal como está en la fuente:</w:t>
      </w:r>
      <w:r>
        <w:t xml:space="preserve"> Mas sabe Dios que el día que comiereis de él, serán abiertos vuestros ojos, y seréis como dioses sabiendo el bien y el mal</w:t>
      </w:r>
      <w:r>
        <w:t>. La mujer decide por lo que ve: el árbol era «bueno para comer, y que era agradable á los ojos, y árbol codiciable para alcanzar la sabiduría»</w:t>
      </w:r>
      <w:r>
        <w:t xml:space="preserve"> (Gn 3:6)</w:t>
      </w:r>
      <w:r>
        <w:br/>
      </w:r>
      <w:r>
        <w:rPr>
          <w:b/>
        </w:rPr>
        <w:t>leída en su fuente · Gn 3:6</w:t>
      </w:r>
      <w:r>
        <w:br/>
      </w:r>
      <w:r>
        <w:rPr>
          <w:b/>
        </w:rPr>
        <w:t>Archivo leído:</w:t>
      </w:r>
      <w:r>
        <w:t xml:space="preserve"> spaRV1909_texto_corrido.txt (biblia_rv1909\spaRV1909_texto_corrido.txt) · contraste del archivo de pasajes: ✔</w:t>
      </w:r>
      <w:r>
        <w:br/>
      </w:r>
      <w:r>
        <w:rPr>
          <w:b/>
        </w:rPr>
        <w:t>Lugar:</w:t>
      </w:r>
      <w:r>
        <w:t xml:space="preserve"> Gn 3:6</w:t>
      </w:r>
      <w:r>
        <w:br/>
      </w:r>
      <w:r>
        <w:rPr>
          <w:b/>
        </w:rPr>
        <w:t>Tal como está en la fuente:</w:t>
      </w:r>
      <w:r>
        <w:t xml:space="preserve"> bueno para comer, y que era agradable á los ojos, y árbol codiciable para alcanzar la sabiduría</w:t>
      </w:r>
      <w:r>
        <w:t>. Los frutos vienen enseguida: «tuve miedo, porque estaba desnudo; y escondíme»</w:t>
      </w:r>
      <w:r>
        <w:t xml:space="preserve"> (Gn 3:10)</w:t>
      </w:r>
      <w:r>
        <w:br/>
      </w:r>
      <w:r>
        <w:rPr>
          <w:b/>
        </w:rPr>
        <w:t>leída en su fuente · Gn 3:10</w:t>
      </w:r>
      <w:r>
        <w:br/>
      </w:r>
      <w:r>
        <w:rPr>
          <w:b/>
        </w:rPr>
        <w:t>Archivo leído:</w:t>
      </w:r>
      <w:r>
        <w:t xml:space="preserve"> spaRV1909_texto_corrido.txt (biblia_rv1909\spaRV1909_texto_corrido.txt) · contraste del archivo de pasajes: ✔</w:t>
      </w:r>
      <w:r>
        <w:br/>
      </w:r>
      <w:r>
        <w:rPr>
          <w:b/>
        </w:rPr>
        <w:t>Lugar:</w:t>
      </w:r>
      <w:r>
        <w:t xml:space="preserve"> Gn 3:10</w:t>
      </w:r>
      <w:r>
        <w:br/>
      </w:r>
      <w:r>
        <w:rPr>
          <w:b/>
        </w:rPr>
        <w:t>Tal como está en la fuente:</w:t>
      </w:r>
      <w:r>
        <w:t xml:space="preserve"> tuve miedo, porque estaba desnudo; y escondíme</w:t>
      </w:r>
      <w:r>
        <w:t>; el hombre culpa a la mujer, y la mujer, a la serpiente</w:t>
      </w:r>
      <w:r>
        <w:t xml:space="preserve"> (Gn 3:12-13)</w:t>
      </w:r>
      <w:r>
        <w:t>. Y Dios dice: «He aquí el hombre es como uno de Nos sabiendo el bien y el mal: ahora, pues, porque no alargue su mano, y tome también del árbol de la vida, y coma, y viva para siempre»</w:t>
      </w:r>
      <w:r>
        <w:t xml:space="preserve"> (Gn 3:22)</w:t>
      </w:r>
      <w:r>
        <w:br/>
      </w:r>
      <w:r>
        <w:rPr>
          <w:b/>
        </w:rPr>
        <w:t>leída en su fuente · Gn 3:22</w:t>
      </w:r>
      <w:r>
        <w:br/>
      </w:r>
      <w:r>
        <w:rPr>
          <w:b/>
        </w:rPr>
        <w:t>Archivo leído:</w:t>
      </w:r>
      <w:r>
        <w:t xml:space="preserve"> spaRV1909_texto_corrido.txt (biblia_rv1909\spaRV1909_texto_corrido.txt) · contraste del archivo de pasajes: ✔</w:t>
      </w:r>
      <w:r>
        <w:br/>
      </w:r>
      <w:r>
        <w:rPr>
          <w:b/>
        </w:rPr>
        <w:t>Lugar:</w:t>
      </w:r>
      <w:r>
        <w:t xml:space="preserve"> Gn 3:22</w:t>
      </w:r>
      <w:r>
        <w:br/>
      </w:r>
      <w:r>
        <w:rPr>
          <w:b/>
        </w:rPr>
        <w:t>Tal como está en la fuente:</w:t>
      </w:r>
      <w:r>
        <w:t xml:space="preserve"> He aquí el hombre es como uno de Nos sabiendo el bien y el mal: ahora, pues, porque no alargue su mano, y tome también del árbol de la vida, y coma, y viva para siempre</w:t>
      </w:r>
      <w:r>
        <w:t>. Echó al hombre del huerto y puso «querubines, y una espada encendida que se revolvía á todos lados, para guardar el camino del árbol de la vida»</w:t>
      </w:r>
      <w:r>
        <w:t xml:space="preserve"> (Gn 3:24)</w:t>
      </w:r>
      <w:r>
        <w:br/>
      </w:r>
      <w:r>
        <w:rPr>
          <w:b/>
        </w:rPr>
        <w:t>leída en su fuente · Gn 3:24</w:t>
      </w:r>
      <w:r>
        <w:br/>
      </w:r>
      <w:r>
        <w:rPr>
          <w:b/>
        </w:rPr>
        <w:t>Archivo leído:</w:t>
      </w:r>
      <w:r>
        <w:t xml:space="preserve"> spaRV1909_texto_corrido.txt (biblia_rv1909\spaRV1909_texto_corrido.txt) · contraste del archivo de pasajes: ✔</w:t>
      </w:r>
      <w:r>
        <w:br/>
      </w:r>
      <w:r>
        <w:rPr>
          <w:b/>
        </w:rPr>
        <w:t>Lugar:</w:t>
      </w:r>
      <w:r>
        <w:t xml:space="preserve"> Gn 3:24</w:t>
      </w:r>
      <w:r>
        <w:br/>
      </w:r>
      <w:r>
        <w:rPr>
          <w:b/>
        </w:rPr>
        <w:t>Tal como está en la fuente:</w:t>
      </w:r>
      <w:r>
        <w:t xml:space="preserve"> querubines, y una espada encendida que se revolvía á todos lados, para guardar el camino del árbol de la vida</w:t>
      </w:r>
      <w:r>
        <w:t>.</w:t>
      </w:r>
    </w:p>
    <w:p>
      <w:r>
        <w:rPr>
          <w:b/>
        </w:rPr>
        <w:t>Lo que el texto no dice.</w:t>
      </w:r>
      <w:r>
        <w:t xml:space="preserve"> No dice «manzana»: dice «del fruto del árbol que está en medio del huerto»</w:t>
      </w:r>
      <w:r>
        <w:t xml:space="preserve"> (Gn 3:3)</w:t>
      </w:r>
      <w:r>
        <w:br/>
      </w:r>
      <w:r>
        <w:rPr>
          <w:b/>
        </w:rPr>
        <w:t>leída en su fuente · Gn 3:3</w:t>
      </w:r>
      <w:r>
        <w:br/>
      </w:r>
      <w:r>
        <w:rPr>
          <w:b/>
        </w:rPr>
        <w:t>Archivo leído:</w:t>
      </w:r>
      <w:r>
        <w:t xml:space="preserve"> spaRV1909_texto_corrido.txt (biblia_rv1909\spaRV1909_texto_corrido.txt) · contraste del archivo de pasajes: ✔</w:t>
      </w:r>
      <w:r>
        <w:br/>
      </w:r>
      <w:r>
        <w:rPr>
          <w:b/>
        </w:rPr>
        <w:t>Lugar:</w:t>
      </w:r>
      <w:r>
        <w:t xml:space="preserve"> Gn 3:3</w:t>
      </w:r>
      <w:r>
        <w:br/>
      </w:r>
      <w:r>
        <w:rPr>
          <w:b/>
        </w:rPr>
        <w:t>Tal como está en la fuente:</w:t>
      </w:r>
      <w:r>
        <w:t xml:space="preserve"> del fruto del árbol que está en medio del huerto</w:t>
      </w:r>
      <w:r>
        <w:t>. No llama diablo ni Satanás a la serpiente: esa identificación es posterior (Ap 12:9, arriba). Tampoco está la palabra «satán», que en hebreo es «adversario» (</w:t>
      </w:r>
      <w:r>
        <w:t>4.1</w:t>
      </w:r>
      <w:r>
        <w:t>): en todo el Génesis no aparece ni una vez</w:t>
      </w:r>
      <w:r>
        <w:t xml:space="preserve"> (Gn 1-50, en hebreo (códice de Leningrado, OSHB), la palabra שָׂטָן contada por programa el 10-oct-2026: 0 veces)</w:t>
      </w:r>
      <w:r>
        <w:t>; en los libros históricos nombra a adversarios de carne y hueso: «Jehová suscitó un adversario á Salomón, á Adad, Idumeo»</w:t>
      </w:r>
      <w:r>
        <w:t xml:space="preserve"> (1 R 11:14)</w:t>
      </w:r>
      <w:r>
        <w:br/>
      </w:r>
      <w:r>
        <w:rPr>
          <w:b/>
        </w:rPr>
        <w:t>leída en su fuente · 1 R 11:14</w:t>
      </w:r>
      <w:r>
        <w:br/>
      </w:r>
      <w:r>
        <w:rPr>
          <w:b/>
        </w:rPr>
        <w:t>Archivo leído:</w:t>
      </w:r>
      <w:r>
        <w:t xml:space="preserve"> spaRV1909_texto_corrido.txt (biblia_rv1909\spaRV1909_texto_corrido.txt) · contraste del archivo de pasajes: ✔</w:t>
      </w:r>
      <w:r>
        <w:br/>
      </w:r>
      <w:r>
        <w:rPr>
          <w:b/>
        </w:rPr>
        <w:t>Lugar:</w:t>
      </w:r>
      <w:r>
        <w:t xml:space="preserve"> 1 R 11:14</w:t>
      </w:r>
      <w:r>
        <w:br/>
      </w:r>
      <w:r>
        <w:rPr>
          <w:b/>
        </w:rPr>
        <w:t>Tal como está en la fuente:</w:t>
      </w:r>
      <w:r>
        <w:t xml:space="preserve"> Jehová suscitó un adversario á Salomón, á Adad, Idumeo</w:t>
      </w:r>
      <w:r>
        <w:t>, «Despertóle también Dios por adversario á Rezón»</w:t>
      </w:r>
      <w:r>
        <w:t xml:space="preserve"> (1 R 11:23)</w:t>
      </w:r>
      <w:r>
        <w:br/>
      </w:r>
      <w:r>
        <w:rPr>
          <w:b/>
        </w:rPr>
        <w:t>leída en su fuente · 1 R 11:23</w:t>
      </w:r>
      <w:r>
        <w:br/>
      </w:r>
      <w:r>
        <w:rPr>
          <w:b/>
        </w:rPr>
        <w:t>Archivo leído:</w:t>
      </w:r>
      <w:r>
        <w:t xml:space="preserve"> spaRV1909_texto_corrido.txt (biblia_rv1909\spaRV1909_texto_corrido.txt) · contraste del archivo de pasajes: ✔</w:t>
      </w:r>
      <w:r>
        <w:br/>
      </w:r>
      <w:r>
        <w:rPr>
          <w:b/>
        </w:rPr>
        <w:t>Lugar:</w:t>
      </w:r>
      <w:r>
        <w:t xml:space="preserve"> 1 R 11:23</w:t>
      </w:r>
      <w:r>
        <w:br/>
      </w:r>
      <w:r>
        <w:rPr>
          <w:b/>
        </w:rPr>
        <w:t>Tal como está en la fuente:</w:t>
      </w:r>
      <w:r>
        <w:t xml:space="preserve"> Despertóle también Dios por adversario á Rezón</w:t>
      </w:r>
      <w:r>
        <w:t>; y la Reina-Valera la traduce «adversario» seis veces</w:t>
      </w:r>
      <w:r>
        <w:t xml:space="preserve"> (Nm 22:22; 2 Sam 19:22; 1 R 5:4, 11:14, 11:23 y 11:25)</w:t>
      </w:r>
      <w:r>
        <w:t>. Y no dice que el hombre fuera inmortal por naturaleza: la vida para siempre depende del árbol de la vida</w:t>
      </w:r>
      <w:r>
        <w:t xml:space="preserve"> (Gn 3:22)</w:t>
      </w:r>
      <w:r>
        <w:t>, y la consecuencia anunciada es «morirás»</w:t>
      </w:r>
      <w:r>
        <w:t xml:space="preserve"> (Gn 2:17)</w:t>
      </w:r>
      <w:r>
        <w:t>.</w:t>
      </w:r>
    </w:p>
    <w:p>
      <w:r>
        <w:rPr>
          <w:b/>
        </w:rPr>
        <w:t>Conclusión, lo que arrojan los datos:</w:t>
      </w:r>
      <w:r>
        <w:t xml:space="preserve"> el relato tiene dos árboles en el mismo huerto y una sola prohibición. El engaño entra en tres jugadas: invertir la orden (3:1), negar la consecuencia sin dar un dato (3:4) y atribuir un motivo (3:5). La decisión se toma por la apariencia y el deseo (3:6), sin preguntar a quien dio la orden, y los frutos son miedo, escondite, acusación en cadena y expulsión (3:7 a 3:24).</w:t>
      </w:r>
    </w:p>
    <w:p>
      <w:r>
        <w:rPr>
          <w:b/>
        </w:rPr>
        <w:t>Lectura del autor:</w:t>
      </w:r>
      <w:r>
        <w:t xml:space="preserve"> «seréis como dioses sabiendo el bien y el mal» es la oferta de decidir uno mismo qué es bien y qué es mal: la autoridad derivada tomando por suya la original (</w:t>
      </w:r>
      <w:r>
        <w:t>1.9</w:t>
      </w:r>
      <w:r>
        <w:t>). Es el orden de las leyes invertido (</w:t>
      </w:r>
      <w:r>
        <w:t>1.7</w:t>
      </w:r>
      <w:r>
        <w:t>) en pequeño: quien debía recibir la orden pasa a decidir. Y se parece a lo que la obra llama presunción (</w:t>
      </w:r>
      <w:r>
        <w:t>0.4</w:t>
      </w:r>
      <w:r>
        <w:t>): una orden mal citada, una consecuencia negada sin dato, un motivo atribuido y una decisión por apariencia. La segunda jugada, negar la consecuencia sin dar un dato, está también en el Corán, y en la misma boca: quien pregunta a Adán «¿Te indico el árbol de la inmortalidad y de un dominio imperecedero?»</w:t>
      </w:r>
      <w:r>
        <w:t xml:space="preserve"> [original: «هَلْ أَدُلُّكَ عَلَىٰ شَجَرَةِ ٱلْخُلْدِ وَمُلْكٍۢ لَّا يَبْلَىٰ»]</w:t>
      </w:r>
      <w:r>
        <w:t xml:space="preserve"> (Corán 20:120, traducción de Julio Cortés)</w:t>
      </w:r>
      <w:r>
        <w:br/>
      </w:r>
      <w:r>
        <w:rPr>
          <w:b/>
        </w:rPr>
        <w:t>leída en su fuente · Corán 20:120,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 xml:space="preserve"> y le dice que el árbol se prohibió «por temor de que os convirtáis en ángeles u os hagáis inmortales»</w:t>
      </w:r>
      <w:r>
        <w:t xml:space="preserve"> [original: «إِلَّآ أَن تَكُونَا مَلَكَيْنِ أَوْ تَكُونَا مِنَ ٱلْخَٰلِدِينَ»]</w:t>
      </w:r>
      <w:r>
        <w:t xml:space="preserve"> (Corán 7:20, traducción de Julio Cortés)</w:t>
      </w:r>
      <w:r>
        <w:br/>
      </w:r>
      <w:r>
        <w:rPr>
          <w:b/>
        </w:rPr>
        <w:t>leída en su fuente · Corán 7:20,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 xml:space="preserve"> es «el Demonio» que le insinúa el mal, como la serpiente con «No moriréis»</w:t>
      </w:r>
      <w:r>
        <w:t xml:space="preserve"> (Gn 3:4)</w:t>
      </w:r>
      <w:r>
        <w:t>: la promesa de inmortalidad en boca del tentador, una presunción (</w:t>
      </w:r>
      <w:r>
        <w:t>0.4</w:t>
      </w:r>
      <w:r>
        <w:t>) hecha promesa, que el propio relato desmiente con la expulsión (3:22 a 3:24). Las dos tradiciones se conocían: es un dato de dos textos, no una convergencia de tradiciones separadas.</w:t>
      </w:r>
    </w:p>
    <w:p>
      <w:r>
        <w:rPr>
          <w:b/>
        </w:rPr>
        <w:t>Lectura del autor, una hipótesis:</w:t>
      </w:r>
      <w:r>
        <w:t xml:space="preserve"> quien escribió el relato no tenía nuestras palabras, y el autor intenta ponerse en su piel. Hay dos árboles: el de la vida y el otro, el torcido, cuyos frutos son el miedo, la acusación, la fatiga y la muerte (3:7 a 3:24). La hipótesis del autor es que el relato describe algo que ocurre en el cuerpo: que la conducta repetida, comer una y otra vez del árbol torcido, deja huella en lo que somos, y que esa huella se transmite. El autor lo imagina así, como lectura y no como dato: lo que se piensa y se siente se convierte en el cuerpo en una señal química que llega a cada célula, como el cortisol que suelta el estrés o las endorfinas de lo que hace sentir bien. Hoy la ciencia mide una parte pequeña de eso: la conducta cambia qué genes se expresan, poco y a corto plazo</w:t>
      </w:r>
      <w:r>
        <w:t xml:space="preserve"> (Kaliman y otros, Psychoneuroendocrinology 40, 2014; Buric y otros, Frontiers in Immunology 8, 2017)</w:t>
      </w:r>
      <w:r>
        <w:t>, y vivir con un propósito se asocia a vivir algo más</w:t>
      </w:r>
      <w:r>
        <w:t xml:space="preserve"> (Cohen y otros, Psychosomatic Medicine 78, 2016, resumen; fuente secundaria)</w:t>
      </w:r>
      <w:r>
        <w:t>. No mide lo demás: ni que la elección torcida cambie el ADN, ni que la huella se herede, ni que alinearse con las verdades superiores alargue la vida, ni nada sobre la luz y los genes. El autor lo reconoce: falta una investigación mucho más profunda, y con lo que hay no se ratifica más de lo que esos estudios permiten; al no haber estado allí, es una teoría sin datos suficientes que la avalen. Queda abierta, y se invita a quien tenga curiosidad a investigarla. Y la cautela del salto de vocabulario, la del nativo que toca la roca (</w:t>
      </w:r>
      <w:r>
        <w:t>8.11</w:t>
      </w:r>
      <w:r>
        <w:t>), vale también aquí: el texto puede describir que una elección daña la vida, no cómo la daña. Y deja pistas, como un juego y sin prueba hoy, para quien coja el relevo: lo que se ha dicho de la luz que emiten los seres vivos y de si se ordena ante el ADN, que nadie ha publicado con revisión ni repetido; cómo el hipotálamo ensambla proteínas para hacer los neuropéptidos que hablan a cada célula, y los mecanismos que aún no se conocen; y que la serpiente, cada vez que aparece, al autor le habla de la genética, como la serpiente enroscada que la farmacia lleva por símbolo. Son investigaciones abiertas, y la obra pide a quien las siga que lea el lenguaje antiguo con lo que aquellos hombres conocían y no conocían, y que revise la historia con una mirada más amorosa, intentando comprender qué querían decir.</w:t>
      </w:r>
    </w:p>
    <w:p>
      <w:r>
        <w:t>[Génesis completo en la Reina-Valera Antigua, leído el 8-oct-2026; 04e; palabras de Kiko, 8-oct-2026; borrador B7, 9-oct; la hipótesis: palabras de Kiko, 10-oct-2026, y el estudio 08/10 con los lotes A (07/fuentes/caida_textos) y B (08/09 FUENTES); Kaliman 2014, Buric 2017 y Cohen 2016 leídos el 10-oct-2026; «satán»: lote A, entrada 4 (07/fuentes/caida_textos; el Génesis hebreo de OSHB contado por programa, la Reina-Valera 1909 local y los léxicos BDB, Klein y Jastrow por Sefaria), 10-oct-2026; Corán 20:120 y 7:20: lote A, entrada 5 (filas 5.13 y 5.14; la traducción de Cortés por Tanzil y el árabe uzmaní por la API de alquran.cloud), 10-oct-2026]</w:t>
      </w:r>
    </w:p>
    <w:p>
      <w:r>
        <w:rPr>
          <w:b/>
        </w:rPr>
        <w:t>Las promesas de vida eterna, en los textos leídos.</w:t>
      </w:r>
      <w:r>
        <w:t xml:space="preserve"> Para el relato de la caída se leyeron 31 pasajes de nueve tradiciones que hablan de una vida sin fin (lote A del estudio de </w:t>
      </w:r>
      <w:r>
        <w:t>4.2</w:t>
      </w:r>
      <w:r>
        <w:t>, 10-oct-2026; cada uno en su archivo guardado, nivel A). Catorce lo prometen con sus palabras («vida eterna», «inmortal», «no mueren»), de siete tradiciones; quince dicen algo cercano (larga vida, resurrección, «dura largo»), y dos no. Converge la promesa de una vida sin fin con una condición (creer, obrar bien, soltar los deseos, estar atento, el orden justo); no converge la palabra. Aquí están los catorce, cada uno tal como está en su fuente y con su original (las traducciones sin traductor nombrado son de esta edición, con el texto del que se hicieron al lado), y los otros diecisiete, nombrados en una línea con lo que dicen. Las fechas son estimaciones corrientes (nivel C) salvo donde el archivo la da. Esto no cambia lo que 4.2 concluye: es lo extenso, para quien quiera leerlo.</w:t>
      </w:r>
    </w:p>
    <w:p>
      <w:r>
        <w:rPr>
          <w:b/>
        </w:rPr>
        <w:t>Los catorce que lo dicen con sus palabras.</w:t>
      </w:r>
    </w:p>
    <w:p>
      <w:r>
        <w:rPr>
          <w:b/>
        </w:rPr>
        <w:t>La Biblia hebrea.</w:t>
      </w:r>
    </w:p>
    <w:p>
      <w:pPr>
        <w:pStyle w:val="ListBullet"/>
      </w:pPr>
      <w:r>
        <w:rPr>
          <w:b/>
        </w:rPr>
        <w:t>Daniel 12:2</w:t>
      </w:r>
      <w:r>
        <w:t xml:space="preserve"> (hacia 165 a. C.; fecha de nivel C). «Y muchos de los que duermen en el polvo de la tierra serán despertados, unos para vida eterna, y otros para vergüenza y confusión perpetua.»</w:t>
      </w:r>
      <w:r>
        <w:t xml:space="preserve"> [original: «וְרַבִּ֕ים מִיְּשֵׁנֵ֥י אַדְמַת־עָפָ֖ר יָקִ֑יצוּ אֵ֚לֶּה לְחַיֵּ֣י עוֹלָ֔ם וְאֵ֥לֶּה לַחֲרָפ֖וֹת לְדִרְא֥וֹן עוֹלָֽם׃ ס»]</w:t>
      </w:r>
      <w:r>
        <w:t xml:space="preserve"> (Dn 12:2)</w:t>
      </w:r>
      <w:r>
        <w:br/>
      </w:r>
      <w:r>
        <w:rPr>
          <w:b/>
        </w:rPr>
        <w:t>leída en su fuente · Dn 12:2</w:t>
      </w:r>
      <w:r>
        <w:br/>
      </w:r>
      <w:r>
        <w:rPr>
          <w:b/>
        </w:rPr>
        <w:t>Original donde está:</w:t>
      </w:r>
      <w:r>
        <w:t xml:space="preserve"> hebreo_oshb_Dan.txt</w:t>
      </w:r>
      <w:r>
        <w:br/>
      </w:r>
      <w:r>
        <w:t>El pasaje literal no está en el archivo de pasajes con este comienzo; la auditoría lo halló en ese original.</w:t>
      </w:r>
      <w:r>
        <w:t>. El hebreo dice «a vida de olam» (לְחַיֵּי עוֹלָם), el mismo «olam» de «para siempre» en Gn 3:22; el léxico BDB pone este uso entre los de «after death» (después de la muerte; entrada עוֹלָם, 2.j).</w:t>
      </w:r>
    </w:p>
    <w:p>
      <w:r>
        <w:rPr>
          <w:b/>
        </w:rPr>
        <w:t>El Nuevo Testamento.</w:t>
      </w:r>
    </w:p>
    <w:p>
      <w:pPr>
        <w:pStyle w:val="ListBullet"/>
      </w:pPr>
      <w:r>
        <w:rPr>
          <w:b/>
        </w:rPr>
        <w:t>Juan 3:16</w:t>
      </w:r>
      <w:r>
        <w:t xml:space="preserve"> (hacia 90-100 d. C.; fecha de nivel C). «Porque de tal manera amó Dios al mundo, que ha dado á su Hijo unigénito, para que todo aquel que en él cree, no se pierda, mas tenga vida eterna.»</w:t>
      </w:r>
      <w:r>
        <w:t xml:space="preserve"> [original: «Οὕτως γὰρ ἠγάπησεν ὁ θεὸς τὸν κόσμον ὥστε τὸν υἱὸν τὸν μονογενῆ ἔδωκεν, ἵνα πᾶς ὁ πιστεύων εἰς αὐτὸν μὴ ἀπόληται ἀλλὰ ἔχῃ ζωὴν αἰώνιον.»]</w:t>
      </w:r>
      <w:r>
        <w:t xml:space="preserve"> (Jn 3:16)</w:t>
      </w:r>
      <w:r>
        <w:br/>
      </w:r>
      <w:r>
        <w:rPr>
          <w:b/>
        </w:rPr>
        <w:t>leída en su fuente · Jn 3:16</w:t>
      </w:r>
      <w:r>
        <w:br/>
      </w:r>
      <w:r>
        <w:rPr>
          <w:b/>
        </w:rPr>
        <w:t>Original donde está:</w:t>
      </w:r>
      <w:r>
        <w:t xml:space="preserve"> sblgnt_John.txt</w:t>
      </w:r>
      <w:r>
        <w:br/>
      </w:r>
      <w:r>
        <w:t>El pasaje literal no está en el archivo de pasajes con este comienzo; la auditoría lo halló en ese original.</w:t>
      </w:r>
      <w:r>
        <w:t>. La condición: creer («todo aquel que en él cree»).</w:t>
      </w:r>
    </w:p>
    <w:p>
      <w:pPr>
        <w:pStyle w:val="ListBullet"/>
      </w:pPr>
      <w:r>
        <w:rPr>
          <w:b/>
        </w:rPr>
        <w:t>Juan 5:24</w:t>
      </w:r>
      <w:r>
        <w:t xml:space="preserve"> (hacia 90-100 d. C.; fecha de nivel C). «De cierto, de cierto os digo: El que oye mi palabra, y cree al que me ha enviado, tiene vida eterna; y no vendrá á condenación, mas pasó de muerte á vida.»</w:t>
      </w:r>
      <w:r>
        <w:t xml:space="preserve"> [original: «Ἀμὴν ἀμὴν λέγω ὑμῖν ὅτι ὁ τὸν λόγον μου ἀκούων καὶ πιστεύων τῷ πέμψαντί με ἔχει ζωὴν αἰώνιον, καὶ εἰς κρίσιν οὐκ ἔρχεται ἀλλὰ μεταβέβηκεν ἐκ τοῦ θανάτου εἰς τὴν ζωήν.»]</w:t>
      </w:r>
      <w:r>
        <w:t xml:space="preserve"> (Jn 5:24)</w:t>
      </w:r>
      <w:r>
        <w:br/>
      </w:r>
      <w:r>
        <w:rPr>
          <w:b/>
        </w:rPr>
        <w:t>leída en su fuente · Jn 5:24</w:t>
      </w:r>
      <w:r>
        <w:br/>
      </w:r>
      <w:r>
        <w:rPr>
          <w:b/>
        </w:rPr>
        <w:t>Original donde está:</w:t>
      </w:r>
      <w:r>
        <w:t xml:space="preserve"> sblgnt_John.txt</w:t>
      </w:r>
      <w:r>
        <w:br/>
      </w:r>
      <w:r>
        <w:t>El pasaje literal no está en el archivo de pasajes con este comienzo; la auditoría lo halló en ese original.</w:t>
      </w:r>
      <w:r>
        <w:t>. La condición: oír la palabra y creer.</w:t>
      </w:r>
    </w:p>
    <w:p>
      <w:pPr>
        <w:pStyle w:val="ListBullet"/>
      </w:pPr>
      <w:r>
        <w:rPr>
          <w:b/>
        </w:rPr>
        <w:t>Juan 11:25-26</w:t>
      </w:r>
      <w:r>
        <w:t xml:space="preserve"> (hacia 90-100 d. C.; fecha de nivel C). «Dícele Jesús: Yo soy la resurrección y la vida: el que cree en mí, aunque esté muerto, vivirá.» «Y todo aquel que vive y cree en mí, no morirá eternamente. ¿Crees esto?»</w:t>
      </w:r>
      <w:r>
        <w:t xml:space="preserve"> [original: «εἶπεν αὐτῇ ὁ Ἰησοῦς· Ἐγώ εἰμι ἡ ἀνάστασις καὶ ἡ ζωή· ὁ πιστεύων εἰς ἐμὲ κἂν ἀποθάνῃ ζήσεται,» «καὶ πᾶς ὁ ζῶν καὶ πιστεύων εἰς ἐμὲ οὐ μὴ ἀποθάνῃ εἰς τὸν αἰῶνα· πιστεύεις τοῦτο;»]</w:t>
      </w:r>
      <w:r>
        <w:t xml:space="preserve"> (Jn 11:25-26)</w:t>
      </w:r>
      <w:r>
        <w:br/>
      </w:r>
      <w:r>
        <w:rPr>
          <w:b/>
        </w:rPr>
        <w:t>leída en su fuente · Jn 11:25-26</w:t>
      </w:r>
      <w:r>
        <w:br/>
      </w:r>
      <w:r>
        <w:rPr>
          <w:b/>
        </w:rPr>
        <w:t>Original donde está:</w:t>
      </w:r>
      <w:r>
        <w:t xml:space="preserve"> sblgnt_John.txt</w:t>
      </w:r>
      <w:r>
        <w:br/>
      </w:r>
      <w:r>
        <w:t>El pasaje literal no está en el archivo de pasajes con este comienzo; la auditoría lo halló en ese original.</w:t>
      </w:r>
      <w:r>
        <w:t>. El griego dice «οὐ μὴ ἀποθάνῃ εἰς τὸν αἰῶνα» (no morirá por la eternidad); la condición: vivir y creer.</w:t>
      </w:r>
    </w:p>
    <w:p>
      <w:pPr>
        <w:pStyle w:val="ListBullet"/>
      </w:pPr>
      <w:r>
        <w:rPr>
          <w:b/>
        </w:rPr>
        <w:t>Mateo 25:46</w:t>
      </w:r>
      <w:r>
        <w:t xml:space="preserve"> (hacia 80-90 d. C.; fecha de nivel C). «E irán éstos al tormento eterno, y los justos á la vida eterna.»</w:t>
      </w:r>
      <w:r>
        <w:t xml:space="preserve"> [original: «καὶ ἀπελεύσονται οὗτοι εἰς κόλασιν αἰώνιον, οἱ δὲ δίκαιοι εἰς ζωὴν αἰώνιον.»]</w:t>
      </w:r>
      <w:r>
        <w:t xml:space="preserve"> (Mt 25:46)</w:t>
      </w:r>
      <w:r>
        <w:br/>
      </w:r>
      <w:r>
        <w:rPr>
          <w:b/>
        </w:rPr>
        <w:t>leída en su fuente · Mt 25:46</w:t>
      </w:r>
      <w:r>
        <w:br/>
      </w:r>
      <w:r>
        <w:rPr>
          <w:b/>
        </w:rPr>
        <w:t>Archivo leído:</w:t>
      </w:r>
      <w:r>
        <w:t xml:space="preserve"> spaRV1909_vpl.txt (biblia_rv1909\spaRV1909_vpl.txt) · contraste del archivo de pasajes: ✔</w:t>
      </w:r>
      <w:r>
        <w:br/>
      </w:r>
      <w:r>
        <w:rPr>
          <w:b/>
        </w:rPr>
        <w:t>Lugar:</w:t>
      </w:r>
      <w:r>
        <w:t xml:space="preserve"> Mt 25:46 (RV1909)</w:t>
      </w:r>
      <w:r>
        <w:br/>
      </w:r>
      <w:r>
        <w:rPr>
          <w:b/>
        </w:rPr>
        <w:t>Tal como está en la fuente:</w:t>
      </w:r>
      <w:r>
        <w:t xml:space="preserve"> E irán éstos al tormento eterno, y los justos á la vida eterna.</w:t>
      </w:r>
      <w:r>
        <w:t>. La condición: ser justo («los justos»); los otros, «al tormento eterno».</w:t>
      </w:r>
    </w:p>
    <w:p>
      <w:pPr>
        <w:pStyle w:val="ListBullet"/>
      </w:pPr>
      <w:r>
        <w:rPr>
          <w:b/>
        </w:rPr>
        <w:t>1</w:t>
      </w:r>
      <w:r>
        <w:rPr>
          <w:b/>
        </w:rPr>
        <w:t xml:space="preserve"> Corintios 15:53-54 (el pasaje, 15:50-55)</w:t>
      </w:r>
      <w:r>
        <w:t xml:space="preserve"> (hacia 53-55 d. C.; fecha de nivel C). «Porque es menester que esto corruptible sea vestido de incorrupción, y esto mortal sea vestido de inmortalidad.» «Y cuando esto corruptible fuere vestido de incorrupción, y esto mortal fuere vestido de inmortalidad, entonces se efectuará la palabra que está escrita: Sorbida es la muerte con victoria.»</w:t>
      </w:r>
      <w:r>
        <w:t xml:space="preserve"> [original: «δεῖ γὰρ τὸ φθαρτὸν τοῦτο ἐνδύσασθαι ἀφθαρσίαν καὶ τὸ θνητὸν τοῦτο ἐνδύσασθαι ἀθανασίαν.» «ὅταν δὲ τὸ φθαρτὸν τοῦτο ἐνδύσηται ἀφθαρσίαν καὶ τὸ θνητὸν τοῦτο ἐνδύσηται ἀθανασίαν, τότε γενήσεται ὁ λόγος ὁ γεγραμμένος· Κατεπόθη ὁ θάνατος εἰς νῖκος.»]</w:t>
      </w:r>
      <w:r>
        <w:t xml:space="preserve"> (1 Co 15:53-54)</w:t>
      </w:r>
      <w:r>
        <w:br/>
      </w:r>
      <w:r>
        <w:rPr>
          <w:b/>
        </w:rPr>
        <w:t>leída en su fuente · 1 Co 15:53-54</w:t>
      </w:r>
      <w:r>
        <w:br/>
      </w:r>
      <w:r>
        <w:rPr>
          <w:b/>
        </w:rPr>
        <w:t>Original donde está:</w:t>
      </w:r>
      <w:r>
        <w:t xml:space="preserve"> sblgnt_1Cor.txt</w:t>
      </w:r>
      <w:r>
        <w:br/>
      </w:r>
      <w:r>
        <w:t>El pasaje literal no está en el archivo de pasajes con este comienzo; la auditoría lo halló en ese original.</w:t>
      </w:r>
      <w:r>
        <w:t>. «Inmortalidad» traduce ἀθανασία; el pasaje entero (15:50-55) está en el archivo guardado.</w:t>
      </w:r>
    </w:p>
    <w:p>
      <w:pPr>
        <w:pStyle w:val="ListBullet"/>
      </w:pPr>
      <w:r>
        <w:rPr>
          <w:b/>
        </w:rPr>
        <w:t>Romanos 6:23</w:t>
      </w:r>
      <w:r>
        <w:t xml:space="preserve"> (hacia 57 d. C.; fecha de nivel C). «Porque la paga del pecado es muerte: mas la dádiva de Dios es vida eterna en Cristo Jesús Señor nuestro.»</w:t>
      </w:r>
      <w:r>
        <w:t xml:space="preserve"> [original: «τὰ γὰρ ὀψώνια τῆς ἁμαρτίας θάνατος, τὸ δὲ χάρισμα τοῦ θεοῦ ζωὴ αἰώνιος ἐν Χριστῷ Ἰησοῦ τῷ κυρίῳ ἡμῶν.»]</w:t>
      </w:r>
      <w:r>
        <w:t xml:space="preserve"> (Ro 6:23)</w:t>
      </w:r>
      <w:r>
        <w:br/>
      </w:r>
      <w:r>
        <w:rPr>
          <w:b/>
        </w:rPr>
        <w:t>leída en su fuente · Ro 6:23</w:t>
      </w:r>
      <w:r>
        <w:br/>
      </w:r>
      <w:r>
        <w:rPr>
          <w:b/>
        </w:rPr>
        <w:t>Original donde está:</w:t>
      </w:r>
      <w:r>
        <w:t xml:space="preserve"> sblgnt_Rom.txt</w:t>
      </w:r>
      <w:r>
        <w:br/>
      </w:r>
      <w:r>
        <w:t>El pasaje literal no está en el archivo de pasajes con este comienzo; la auditoría lo halló en ese original.</w:t>
      </w:r>
      <w:r>
        <w:t>. La vida eterna, como dádiva («χάρισμα»), frente a la muerte como paga del pecado.</w:t>
      </w:r>
    </w:p>
    <w:p>
      <w:r>
        <w:rPr>
          <w:b/>
        </w:rPr>
        <w:t>El islam.</w:t>
      </w:r>
    </w:p>
    <w:p>
      <w:pPr>
        <w:pStyle w:val="ListBullet"/>
      </w:pPr>
      <w:r>
        <w:rPr>
          <w:b/>
        </w:rPr>
        <w:t>Corán 2:25</w:t>
      </w:r>
      <w:r>
        <w:t xml:space="preserve"> (610-632 d. C.; fecha de nivel C). «Anuncia la buena nueva a quienes creen y obran bien: tendrán jardines por cuyos bajos fluyen arroyos. Siempre que se les dé como sustento algún fruto de ellos, dirán: “Esto es igual que lo que se nos ha dado antes”. Pero se les dará algo sólo parecido. Tendrán esposas purificadas y estarán allí eternamente.»</w:t>
      </w:r>
      <w:r>
        <w:t xml:space="preserve"> [original: «وَبَشِّرِ ٱلَّذِينَ ءَامَنُوا۟ وَعَمِلُوا۟ ٱلصَّٰلِحَٰتِ أَنَّ لَهُمْ جَنَّٰتٍۢ تَجْرِى مِن تَحْتِهَا ٱلْأَنْهَٰرُ ۖ كُلَّمَا رُزِقُوا۟ مِنْهَا مِن ثَمَرَةٍۢ رِّزْقًۭا ۙ قَالُوا۟ هَٰذَا ٱلَّذِى رُزِقْنَا مِن قَبْلُ ۖ وَأُتُوا۟ بِهِۦ مُتَشَٰبِهًۭا ۖ وَلَهُمْ فِيهَآ أَزْوَٰجٌۭ مُّطَهَّرَةٌۭ ۖ وَهُمْ فِيهَا خَٰلِدُونَ»]</w:t>
      </w:r>
      <w:r>
        <w:t xml:space="preserve"> (Corán 2:25, traducción de Julio Cortés)</w:t>
      </w:r>
      <w:r>
        <w:br/>
      </w:r>
      <w:r>
        <w:rPr>
          <w:b/>
        </w:rPr>
        <w:t>leída en su fuente · Corán 2:25,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 La condición: creer y obrar bien; «eternamente» traduce خَٰلِدُونَ, con las mismas letras de raíz (خ ل د) que «el árbol de la inmortalidad» (ٱلْخُلْدِ) de 20:120.</w:t>
      </w:r>
    </w:p>
    <w:p>
      <w:r>
        <w:rPr>
          <w:b/>
        </w:rPr>
        <w:t>La India.</w:t>
      </w:r>
    </w:p>
    <w:p>
      <w:pPr>
        <w:pStyle w:val="ListBullet"/>
      </w:pPr>
      <w:r>
        <w:rPr>
          <w:b/>
        </w:rPr>
        <w:t>Katha Upanishad II, 6, 8, 14 y 15</w:t>
      </w:r>
      <w:r>
        <w:t xml:space="preserve"> (hacia siglos V-III a. C.; fecha de nivel C). «Toda criatura que lo conoce queda liberada y alcanza la inmortalidad.»</w:t>
      </w:r>
      <w:r>
        <w:t xml:space="preserve"> [original: «Every creature that knows him is liberated, and obtains immortality.», en la traducción de Max Müller]</w:t>
      </w:r>
      <w:r>
        <w:t xml:space="preserve"> (Katha Upanishad II, 6, 8)</w:t>
      </w:r>
      <w:r>
        <w:br/>
      </w:r>
      <w:r>
        <w:rPr>
          <w:b/>
        </w:rPr>
        <w:t>leída en su fuente · Katha Upanishad II, 6, 8</w:t>
      </w:r>
      <w:r>
        <w:br/>
      </w:r>
      <w:r>
        <w:rPr>
          <w:b/>
        </w:rPr>
        <w:t>Archivo leído:</w:t>
      </w:r>
      <w:r>
        <w:t xml:space="preserve"> mundaka_muller_sbe15_1884_archive_djvu.txt (c9h\mundaka_muller_sbe15_1884_archive_djvu.txt) · contraste del archivo de pasajes: ✔</w:t>
      </w:r>
      <w:r>
        <w:br/>
      </w:r>
      <w:r>
        <w:rPr>
          <w:b/>
        </w:rPr>
        <w:t>Lugar:</w:t>
      </w:r>
      <w:r>
        <w:t xml:space="preserve"> Katha Upanishad II, 6, 8</w:t>
      </w:r>
      <w:r>
        <w:br/>
      </w:r>
      <w:r>
        <w:rPr>
          <w:b/>
        </w:rPr>
        <w:t>Tal como está en la fuente:</w:t>
      </w:r>
      <w:r>
        <w:t xml:space="preserve"> Every creature that knows him is liberated, and obtains immortality.</w:t>
      </w:r>
      <w:r>
        <w:t xml:space="preserve"> […] «Cuando cesan todos los deseos que moran en su corazón, entonces el mortal se hace inmortal y alcanza a Brahman.»</w:t>
      </w:r>
      <w:r>
        <w:t xml:space="preserve"> [original: «When all desires that dwell in his heart cease, then the mortal becomes immortal, and obtains Brahman.», en la traducción de Max Müller]</w:t>
      </w:r>
      <w:r>
        <w:t xml:space="preserve"> (Katha Upanishad II, 6, 14)</w:t>
      </w:r>
      <w:r>
        <w:br/>
      </w:r>
      <w:r>
        <w:rPr>
          <w:b/>
        </w:rPr>
        <w:t>leída en su fuente · Katha Upanishad II, 6, 14</w:t>
      </w:r>
      <w:r>
        <w:br/>
      </w:r>
      <w:r>
        <w:rPr>
          <w:b/>
        </w:rPr>
        <w:t>Archivo leído:</w:t>
      </w:r>
      <w:r>
        <w:t xml:space="preserve"> mundaka_muller_sbe15_1884_archive_djvu.txt (c9h\mundaka_muller_sbe15_1884_archive_djvu.txt) · contraste del archivo de pasajes: ✔</w:t>
      </w:r>
      <w:r>
        <w:br/>
      </w:r>
      <w:r>
        <w:rPr>
          <w:b/>
        </w:rPr>
        <w:t>Lugar:</w:t>
      </w:r>
      <w:r>
        <w:t xml:space="preserve"> Katha Upanishad II, 6, 14</w:t>
      </w:r>
      <w:r>
        <w:br/>
      </w:r>
      <w:r>
        <w:rPr>
          <w:b/>
        </w:rPr>
        <w:t>Tal como está en la fuente:</w:t>
      </w:r>
      <w:r>
        <w:t xml:space="preserve"> When all desires that dwell in his heart cease, then the mortal becomes immortal, and obtains Brahman.</w:t>
      </w:r>
      <w:r>
        <w:t xml:space="preserve"> […] «Cuando todos los lazos del corazón se cortan aquí en la tierra, entonces el mortal se hace inmortal: aquí acaba la enseñanza.»</w:t>
      </w:r>
      <w:r>
        <w:t xml:space="preserve"> [original: «When all the ties 1 of the heart are severed here on earth, then the mortal becomes immortal--here ends the teaching 2.», en la traducción de Max Müller]</w:t>
      </w:r>
      <w:r>
        <w:t xml:space="preserve"> (Katha Upanishad II, 6, 15)</w:t>
      </w:r>
      <w:r>
        <w:br/>
      </w:r>
      <w:r>
        <w:rPr>
          <w:b/>
        </w:rPr>
        <w:t>leída en su fuente · Katha Upanishad II, 6, 15</w:t>
      </w:r>
      <w:r>
        <w:br/>
      </w:r>
      <w:r>
        <w:rPr>
          <w:b/>
        </w:rPr>
        <w:t>Archivo leído:</w:t>
      </w:r>
      <w:r>
        <w:t xml:space="preserve"> upanishads_muller_sbe15_sacredtexts_sbe15015.txt (caida_textos_10oct\upanishads_muller_sbe15_sacredtexts_sbe15015.txt) · contraste del archivo de pasajes: ✔</w:t>
      </w:r>
      <w:r>
        <w:br/>
      </w:r>
      <w:r>
        <w:rPr>
          <w:b/>
        </w:rPr>
        <w:t>Lugar:</w:t>
      </w:r>
      <w:r>
        <w:t xml:space="preserve"> Katha Upanishad II, 6, 15</w:t>
      </w:r>
      <w:r>
        <w:br/>
      </w:r>
      <w:r>
        <w:rPr>
          <w:b/>
        </w:rPr>
        <w:t>Tal como está en la fuente:</w:t>
      </w:r>
      <w:r>
        <w:t xml:space="preserve"> When all the ties 1 of the heart are severed here on earth, then the mortal becomes immortal--here ends the teaching 2.</w:t>
      </w:r>
      <w:r>
        <w:t>. La condición: que cesen todos los deseos, que se corten los lazos del corazón. El sánscrito no se ha leído; los números sueltos del inglés son las notas de la edición.</w:t>
      </w:r>
    </w:p>
    <w:p>
      <w:r>
        <w:rPr>
          <w:b/>
        </w:rPr>
        <w:t>El budismo.</w:t>
      </w:r>
    </w:p>
    <w:p>
      <w:pPr>
        <w:pStyle w:val="ListBullet"/>
      </w:pPr>
      <w:r>
        <w:rPr>
          <w:b/>
        </w:rPr>
        <w:t>Dhammapada 21</w:t>
      </w:r>
      <w:r>
        <w:t xml:space="preserve"> (hacia siglo III a. C.; fecha de nivel C). «La atención es el camino de la inmortalidad (el Nirvana); la negligencia, el camino de la muerte. Los que están atentos no mueren; los negligentes son como si ya estuvieran muertos.»</w:t>
      </w:r>
      <w:r>
        <w:t xml:space="preserve"> [original: «Appamādo amatapadaṁ, pamādo maccuno padaṁ; Appamattā na mīyanti, ye pamattā yathā matā.» «21. Earnestness is the path of immortality (Nirvana), thoughtlessness the path of death. Those who are in earnest do not die, those who are thoughtless are as if dead already.», el pali de SuttaCentral y la traducción de Max Müller]</w:t>
      </w:r>
      <w:r>
        <w:t xml:space="preserve"> (Dhammapada 21)</w:t>
      </w:r>
      <w:r>
        <w:br/>
      </w:r>
      <w:r>
        <w:rPr>
          <w:b/>
        </w:rPr>
        <w:t>leída en su fuente · Dhammapada 21</w:t>
      </w:r>
      <w:r>
        <w:br/>
      </w:r>
      <w:r>
        <w:rPr>
          <w:b/>
        </w:rPr>
        <w:t>Archivo leído:</w:t>
      </w:r>
      <w:r>
        <w:t xml:space="preserve"> budismo_suttacentral_dhp21-32_pali.json.txt (caida_textos_10oct\budismo_suttacentral_dhp21-32_pali.json.txt) · contraste del archivo de pasajes: ✔</w:t>
      </w:r>
      <w:r>
        <w:br/>
      </w:r>
      <w:r>
        <w:rPr>
          <w:b/>
        </w:rPr>
        <w:t>Lugar:</w:t>
      </w:r>
      <w:r>
        <w:t xml:space="preserve"> Dhammapada 21</w:t>
      </w:r>
      <w:r>
        <w:br/>
      </w:r>
      <w:r>
        <w:rPr>
          <w:b/>
        </w:rPr>
        <w:t>Tal como está en la fuente:</w:t>
      </w:r>
      <w:r>
        <w:t xml:space="preserve"> Appamādo amatapadaṁ, pamādo maccuno padaṁ; Appamattā na mīyanti, ye pamattā yathā matā.</w:t>
      </w:r>
      <w:r>
        <w:t>. «Inmortalidad» traduce el pali «amata» (lo sin muerte); la condición: la atención («appamāda»). Sujato lo traduce «The heedful do not die» (los atentos no mueren).</w:t>
      </w:r>
    </w:p>
    <w:p>
      <w:r>
        <w:rPr>
          <w:b/>
        </w:rPr>
        <w:t>Egipto.</w:t>
      </w:r>
    </w:p>
    <w:p>
      <w:pPr>
        <w:pStyle w:val="ListBullet"/>
      </w:pPr>
      <w:r>
        <w:rPr>
          <w:b/>
        </w:rPr>
        <w:t>Textos de las Pirámides, enunciados 213 y 219</w:t>
      </w:r>
      <w:r>
        <w:t xml:space="preserve"> (entre los años 2350 y 2175 a. C.; fecha de nivel A). «Oh N., no te fuiste muerto; te fuiste vivo.»</w:t>
      </w:r>
      <w:r>
        <w:t xml:space="preserve"> [original: «O N., thou didst not depart dead; thou didst depart living,», en la traducción de Mercer]</w:t>
      </w:r>
      <w:r>
        <w:t xml:space="preserve"> (Textos de las Pirámides, enunciado 213 (§134a))</w:t>
      </w:r>
      <w:r>
        <w:br/>
      </w:r>
      <w:r>
        <w:rPr>
          <w:b/>
        </w:rPr>
        <w:t>leída en su fuente · Textos de las Pirámides, enunciado 213 (§134a)</w:t>
      </w:r>
      <w:r>
        <w:br/>
      </w:r>
      <w:r>
        <w:rPr>
          <w:b/>
        </w:rPr>
        <w:t>Archivo leído:</w:t>
      </w:r>
      <w:r>
        <w:t xml:space="preserve"> piramides_mercer_sacredtexts_pyt07.txt (caida_textos_10oct\piramides_mercer_sacredtexts_pyt07.txt) · contraste del archivo de pasajes: ✔</w:t>
      </w:r>
      <w:r>
        <w:br/>
      </w:r>
      <w:r>
        <w:rPr>
          <w:b/>
        </w:rPr>
        <w:t>Lugar:</w:t>
      </w:r>
      <w:r>
        <w:t xml:space="preserve"> Textos de las Pirámides, enunciado 213 (§134a)</w:t>
      </w:r>
      <w:r>
        <w:br/>
      </w:r>
      <w:r>
        <w:rPr>
          <w:b/>
        </w:rPr>
        <w:t>Tal como está en la fuente:</w:t>
      </w:r>
      <w:r>
        <w:t xml:space="preserve"> O N., thou didst not depart dead; thou didst depart living,</w:t>
      </w:r>
      <w:r>
        <w:t xml:space="preserve"> […] «Decir: Atum, este hijo tuyo es este de aquí, Osiris, al que has hecho durar y vivir. Él vive, N. (también) vive; él no muere, N. (tampoco) muere.»</w:t>
      </w:r>
      <w:r>
        <w:t xml:space="preserve"> [original: «To say: Atum, this thy son is this one here, Osiris, whom thou hast made to endure and to live. 167b. He lives, N. (also) lives; he dies not, N. (also) dies not;», en la traducción de Mercer]</w:t>
      </w:r>
      <w:r>
        <w:t xml:space="preserve"> (Textos de las Pirámides, enunciado 219 (§167a-b))</w:t>
      </w:r>
      <w:r>
        <w:br/>
      </w:r>
      <w:r>
        <w:rPr>
          <w:b/>
        </w:rPr>
        <w:t>leída en su fuente · Textos de las Pirámides, enunciado 219 (§167a-b)</w:t>
      </w:r>
      <w:r>
        <w:br/>
      </w:r>
      <w:r>
        <w:rPr>
          <w:b/>
        </w:rPr>
        <w:t>Archivo leído:</w:t>
      </w:r>
      <w:r>
        <w:t xml:space="preserve"> piramides_mercer_sacredtexts_pyt07.txt (caida_textos_10oct\piramides_mercer_sacredtexts_pyt07.txt) · contraste del archivo de pasajes: ✔</w:t>
      </w:r>
      <w:r>
        <w:br/>
      </w:r>
      <w:r>
        <w:rPr>
          <w:b/>
        </w:rPr>
        <w:t>Lugar:</w:t>
      </w:r>
      <w:r>
        <w:t xml:space="preserve"> Textos de las Pirámides, enunciado 219 (§167a-b)</w:t>
      </w:r>
      <w:r>
        <w:br/>
      </w:r>
      <w:r>
        <w:rPr>
          <w:b/>
        </w:rPr>
        <w:t>Tal como está en la fuente:</w:t>
      </w:r>
      <w:r>
        <w:t xml:space="preserve"> To say: Atum, this thy son is this one here, Osiris, whom thou hast made to endure and to live. 167b. He lives, N. (also) lives; he dies not, N. (also) dies not;</w:t>
      </w:r>
      <w:r>
        <w:t>. Se dice del rey difunto («N.»), identificado con Osiris. La fecha la da el índice de esa edición: «aproximadamente los años 2350-2175 a. C.»</w:t>
      </w:r>
      <w:r>
        <w:t xml:space="preserve"> [original: «approximately the years 2350-2175 B.C.E.», en el índice de la edición de Mercer]</w:t>
      </w:r>
      <w:r>
        <w:t xml:space="preserve"> (nivel A).</w:t>
      </w:r>
    </w:p>
    <w:p>
      <w:pPr>
        <w:pStyle w:val="ListBullet"/>
      </w:pPr>
      <w:r>
        <w:rPr>
          <w:b/>
        </w:rPr>
        <w:t>Breasted, Development of Religion and Thought in Ancient Egypt (El desarrollo de la religión y el pensamiento en el antiguo Egipto), lección I</w:t>
      </w:r>
      <w:r>
        <w:t xml:space="preserve"> (libro de 1912; las obras que cita son del tercer milenio a. C.; fecha de nivel C). «No morirá, sino que vivirá para siempre.»</w:t>
      </w:r>
      <w:r>
        <w:t xml:space="preserve"> [original: «He shall not die but he shall live forever.», en la traducción de Breasted]</w:t>
      </w:r>
      <w:r>
        <w:t xml:space="preserve"> (Breasted, Development of Religion and Thought in Ancient Egypt, lección I)</w:t>
      </w:r>
      <w:r>
        <w:br/>
      </w:r>
      <w:r>
        <w:rPr>
          <w:b/>
        </w:rPr>
        <w:t>leída en su fuente · Breasted, Development of Religion and Thought in Ancient Egypt, lección I</w:t>
      </w:r>
      <w:r>
        <w:br/>
      </w:r>
      <w:r>
        <w:rPr>
          <w:b/>
        </w:rPr>
        <w:t>Archivo leído:</w:t>
      </w:r>
      <w:r>
        <w:t xml:space="preserve"> 19.00-3.1_Breasted_1912_Development_of_Religion_and_Thought_djvu.txt (c7c\19.00-3.1_Breasted_1912_Development_of_Religion_and_Thought_djvu.txt) · contraste del archivo de pasajes: ✔</w:t>
      </w:r>
      <w:r>
        <w:br/>
      </w:r>
      <w:r>
        <w:rPr>
          <w:b/>
        </w:rPr>
        <w:t>Lugar:</w:t>
      </w:r>
      <w:r>
        <w:t xml:space="preserve"> Breasted, Development of Religion and Thought in Ancient Egypt, lección I</w:t>
      </w:r>
      <w:r>
        <w:br/>
      </w:r>
      <w:r>
        <w:rPr>
          <w:b/>
        </w:rPr>
        <w:t>Tal como está en la fuente:</w:t>
      </w:r>
      <w:r>
        <w:t xml:space="preserve"> He shall not die but he shall live forever.</w:t>
      </w:r>
      <w:r>
        <w:t xml:space="preserve"> […] «Aunque te vayas, vuelves (de nuevo); aunque duermas, despiertas (de nuevo); aunque mueras, vives (de nuevo).»</w:t>
      </w:r>
      <w:r>
        <w:t xml:space="preserve"> [original: «Though thou departest, thou comest (again); though thou sleepest, thou wakest (again); though thou diest, thou livest (again).», en la traducción de Breasted]</w:t>
      </w:r>
      <w:r>
        <w:t xml:space="preserve"> (Breasted, Development of Religion and Thought in Ancient Egypt, lección I)</w:t>
      </w:r>
      <w:r>
        <w:br/>
      </w:r>
      <w:r>
        <w:rPr>
          <w:b/>
        </w:rPr>
        <w:t>leída en su fuente · Breasted, Development of Religion and Thought in Ancient Egypt, lección I</w:t>
      </w:r>
      <w:r>
        <w:br/>
      </w:r>
      <w:r>
        <w:rPr>
          <w:b/>
        </w:rPr>
        <w:t>Archivo leído:</w:t>
      </w:r>
      <w:r>
        <w:t xml:space="preserve"> 19.00-3.1_Breasted_1912_Development_of_Religion_and_Thought_djvu.txt (c7c\19.00-3.1_Breasted_1912_Development_of_Religion_and_Thought_djvu.txt) · contraste del archivo de pasajes: ✔</w:t>
      </w:r>
      <w:r>
        <w:br/>
      </w:r>
      <w:r>
        <w:rPr>
          <w:b/>
        </w:rPr>
        <w:t>Lugar:</w:t>
      </w:r>
      <w:r>
        <w:t xml:space="preserve"> Breasted, Development of Religion and Thought in Ancient Egypt, lección I</w:t>
      </w:r>
      <w:r>
        <w:br/>
      </w:r>
      <w:r>
        <w:rPr>
          <w:b/>
        </w:rPr>
        <w:t>Tal como está en la fuente:</w:t>
      </w:r>
      <w:r>
        <w:t xml:space="preserve"> Though thou departest, thou comest (again); though thou sleepest, thou wakest (again); though thou diest, thou livest (again).</w:t>
      </w:r>
      <w:r>
        <w:t>. Breasted traduce los Textos de las Pirámides y los resume: dice de Osiris lo primero, y de «un capítulo» de esos textos lo segundo.</w:t>
      </w:r>
    </w:p>
    <w:p>
      <w:r>
        <w:rPr>
          <w:b/>
        </w:rPr>
        <w:t>Persia (el zoroastrismo).</w:t>
      </w:r>
    </w:p>
    <w:p>
      <w:pPr>
        <w:pStyle w:val="ListBullet"/>
      </w:pPr>
      <w:r>
        <w:rPr>
          <w:b/>
        </w:rPr>
        <w:t>Gathas: Yasna 31:21, 33:8 y 34:1</w:t>
      </w:r>
      <w:r>
        <w:t xml:space="preserve"> (hacia 1500-1000 a. C., debatido; fecha de nivel C). «Pero Ahura Mazda dará el Bienestar universal y la Inmortalidad en la plenitud de su Orden justo.»</w:t>
      </w:r>
      <w:r>
        <w:t xml:space="preserve"> [original: «But Ahura Mazda will give both Universal Weal and Immortality 7 in the fulness of His Righteous Order», en la traducción de L. H. Mills]</w:t>
      </w:r>
      <w:r>
        <w:t xml:space="preserve"> (Yasna 31:21)</w:t>
      </w:r>
      <w:r>
        <w:br/>
      </w:r>
      <w:r>
        <w:rPr>
          <w:b/>
        </w:rPr>
        <w:t>leída en su fuente · Yasna 31:21</w:t>
      </w:r>
      <w:r>
        <w:br/>
      </w:r>
      <w:r>
        <w:rPr>
          <w:b/>
        </w:rPr>
        <w:t>Archivo leído:</w:t>
      </w:r>
      <w:r>
        <w:t xml:space="preserve"> persia_mills_sbe31_sacredtexts_sbe31009.txt (caida_textos_10oct\persia_mills_sbe31_sacredtexts_sbe31009.txt) · contraste del archivo de pasajes: ✔</w:t>
      </w:r>
      <w:r>
        <w:br/>
      </w:r>
      <w:r>
        <w:rPr>
          <w:b/>
        </w:rPr>
        <w:t>Lugar:</w:t>
      </w:r>
      <w:r>
        <w:t xml:space="preserve"> Yasna 31:21</w:t>
      </w:r>
      <w:r>
        <w:br/>
      </w:r>
      <w:r>
        <w:rPr>
          <w:b/>
        </w:rPr>
        <w:t>Tal como está en la fuente:</w:t>
      </w:r>
      <w:r>
        <w:t xml:space="preserve"> But Ahura Mazda will give both Universal Weal and Immortality 7 in the fulness of His Righteous Order</w:t>
      </w:r>
      <w:r>
        <w:t xml:space="preserve"> […] «¡Y dadme como vuestra ofrenda (de gracia) los dones permanentes de vuestra Inmortalidad y Bienestar!»</w:t>
      </w:r>
      <w:r>
        <w:t xml:space="preserve"> [original: «And give Ye as Your offering 2 (of grace to me) the abiding gifts of Your Immortality and Welfare!», en la traducción de L. H. Mills]</w:t>
      </w:r>
      <w:r>
        <w:t xml:space="preserve"> (Yasna 33:8)</w:t>
      </w:r>
      <w:r>
        <w:br/>
      </w:r>
      <w:r>
        <w:rPr>
          <w:b/>
        </w:rPr>
        <w:t>leída en su fuente · Yasna 33:8</w:t>
      </w:r>
      <w:r>
        <w:br/>
      </w:r>
      <w:r>
        <w:rPr>
          <w:b/>
        </w:rPr>
        <w:t>Archivo leído:</w:t>
      </w:r>
      <w:r>
        <w:t xml:space="preserve"> persia_mills_sbe31_sacredtexts_sbe31011.txt (caida_textos_10oct\persia_mills_sbe31_sacredtexts_sbe31011.txt) · contraste del archivo de pasajes: ✔</w:t>
      </w:r>
      <w:r>
        <w:br/>
      </w:r>
      <w:r>
        <w:rPr>
          <w:b/>
        </w:rPr>
        <w:t>Lugar:</w:t>
      </w:r>
      <w:r>
        <w:t xml:space="preserve"> Yasna 33:8</w:t>
      </w:r>
      <w:r>
        <w:br/>
      </w:r>
      <w:r>
        <w:rPr>
          <w:b/>
        </w:rPr>
        <w:t>Tal como está en la fuente:</w:t>
      </w:r>
      <w:r>
        <w:t xml:space="preserve"> And give Ye as Your offering 2 (of grace to me) the abiding gifts of Your Immortality and Welfare!</w:t>
      </w:r>
      <w:r>
        <w:t xml:space="preserve"> […] «En cuanto a esos (tres dones de bendición), la Inmortalidad, el Orden justo y el Reino (establecido) del Bienestar, que Tú, oh Mazda, has dado.»</w:t>
      </w:r>
      <w:r>
        <w:t xml:space="preserve"> [original: «1. As to those (three gifts of blessings), Immortality, the Righteous Order, and the (established) Kingdom of Welfare, which Thou, O Mazda! hast given», en la traducción de L. H. Mills]</w:t>
      </w:r>
      <w:r>
        <w:t xml:space="preserve"> (Yasna 34:1)</w:t>
      </w:r>
      <w:r>
        <w:br/>
      </w:r>
      <w:r>
        <w:rPr>
          <w:b/>
        </w:rPr>
        <w:t>leída en su fuente · Yasna 34:1</w:t>
      </w:r>
      <w:r>
        <w:br/>
      </w:r>
      <w:r>
        <w:rPr>
          <w:b/>
        </w:rPr>
        <w:t>Archivo leído:</w:t>
      </w:r>
      <w:r>
        <w:t xml:space="preserve"> persia_mills_sbe31_sacredtexts_sbe31012.txt (caida_textos_10oct\persia_mills_sbe31_sacredtexts_sbe31012.txt) · contraste del archivo de pasajes: ✔</w:t>
      </w:r>
      <w:r>
        <w:br/>
      </w:r>
      <w:r>
        <w:rPr>
          <w:b/>
        </w:rPr>
        <w:t>Lugar:</w:t>
      </w:r>
      <w:r>
        <w:t xml:space="preserve"> Yasna 34:1</w:t>
      </w:r>
      <w:r>
        <w:br/>
      </w:r>
      <w:r>
        <w:rPr>
          <w:b/>
        </w:rPr>
        <w:t>Tal como está en la fuente:</w:t>
      </w:r>
      <w:r>
        <w:t xml:space="preserve"> 1. As to those (three gifts of blessings), Immortality, the Righteous Order, and the (established) Kingdom of Welfare, which Thou, O Mazda! hast given</w:t>
      </w:r>
      <w:r>
        <w:t>. La Inmortalidad va siempre junto al Bienestar y al Orden justo: la condición es ese orden.</w:t>
      </w:r>
    </w:p>
    <w:p>
      <w:pPr>
        <w:pStyle w:val="ListBullet"/>
      </w:pPr>
      <w:r>
        <w:rPr>
          <w:b/>
        </w:rPr>
        <w:t>Gathas: Yasna 45:10, 47:1 y 51:7</w:t>
      </w:r>
      <w:r>
        <w:t xml:space="preserve"> (hacia 1500-1000 a. C., debatido; fecha de nivel C). «Porque Él ha dispuesto en su reino, por su Orden santo y su Buena Mente, el Bienestar y la Inmortalidad, para conceder esa pareja eterna y poderosa a esta tierra nuestra (y a la creación).»</w:t>
      </w:r>
      <w:r>
        <w:t xml:space="preserve"> [original: «for He hath appointed in His kingdom, through His holy Order and His Good Mind, both Weal and Immortality, to grant 3 the eternal mighty pair to this our land (and the creation).», en la traducción de L. H. Mills]</w:t>
      </w:r>
      <w:r>
        <w:t xml:space="preserve"> (Yasna 45:10)</w:t>
      </w:r>
      <w:r>
        <w:br/>
      </w:r>
      <w:r>
        <w:rPr>
          <w:b/>
        </w:rPr>
        <w:t>leída en su fuente · Yasna 45:10</w:t>
      </w:r>
      <w:r>
        <w:br/>
      </w:r>
      <w:r>
        <w:rPr>
          <w:b/>
        </w:rPr>
        <w:t>Archivo leído:</w:t>
      </w:r>
      <w:r>
        <w:t xml:space="preserve"> persia_mills_sbe31_sacredtexts_sbe31015.txt (caida_textos_10oct\persia_mills_sbe31_sacredtexts_sbe31015.txt) · contraste del archivo de pasajes: ✔</w:t>
      </w:r>
      <w:r>
        <w:br/>
      </w:r>
      <w:r>
        <w:rPr>
          <w:b/>
        </w:rPr>
        <w:t>Lugar:</w:t>
      </w:r>
      <w:r>
        <w:t xml:space="preserve"> Yasna 45:10</w:t>
      </w:r>
      <w:r>
        <w:br/>
      </w:r>
      <w:r>
        <w:rPr>
          <w:b/>
        </w:rPr>
        <w:t>Tal como está en la fuente:</w:t>
      </w:r>
      <w:r>
        <w:t xml:space="preserve"> for He hath appointed in His kingdom, through His holy Order and His Good Mind, both Weal and Immortality, to grant 3 the eternal mighty pair to this our land (and the creation).</w:t>
      </w:r>
      <w:r>
        <w:t xml:space="preserve"> […] «El Bienestar universal y la Inmortalidad, por medio de su Espíritu generoso y con su Mejor Mente.»</w:t>
      </w:r>
      <w:r>
        <w:t xml:space="preserve"> [original: «Universal Weal and Immortality, by means of His bountiful Spirit, and with His Best Mind», en la traducción de L. H. Mills]</w:t>
      </w:r>
      <w:r>
        <w:t xml:space="preserve"> (Yasna 47:1)</w:t>
      </w:r>
      <w:r>
        <w:br/>
      </w:r>
      <w:r>
        <w:rPr>
          <w:b/>
        </w:rPr>
        <w:t>leída en su fuente · Yasna 47:1</w:t>
      </w:r>
      <w:r>
        <w:br/>
      </w:r>
      <w:r>
        <w:rPr>
          <w:b/>
        </w:rPr>
        <w:t>Archivo leído:</w:t>
      </w:r>
      <w:r>
        <w:t xml:space="preserve"> persia_mills_sbe31_sacredtexts_sbe31017.txt (caida_textos_10oct\persia_mills_sbe31_sacredtexts_sbe31017.txt) · contraste del archivo de pasajes: ✔</w:t>
      </w:r>
      <w:r>
        <w:br/>
      </w:r>
      <w:r>
        <w:rPr>
          <w:b/>
        </w:rPr>
        <w:t>Lugar:</w:t>
      </w:r>
      <w:r>
        <w:t xml:space="preserve"> Yasna 47:1</w:t>
      </w:r>
      <w:r>
        <w:br/>
      </w:r>
      <w:r>
        <w:rPr>
          <w:b/>
        </w:rPr>
        <w:t>Tal como está en la fuente:</w:t>
      </w:r>
      <w:r>
        <w:t xml:space="preserve"> Universal Weal and Immortality, by means of His bountiful Spirit, and with His Best Mind</w:t>
      </w:r>
      <w:r>
        <w:t xml:space="preserve"> […] «Concédeme también, oh Tú, Mazda, Espíritu generosísimo, Tú que hiciste la Vaca y las aguas y las plantas (para su sustento), la Inmortalidad y el Bienestar, esos dos poderes eternos.»</w:t>
      </w:r>
      <w:r>
        <w:t xml:space="preserve"> [original: «so grant me also, O Thou most bountiful Spirit Mazda, Thou who hast made both the Kine and the waters and the plants 2 (for her support) both Immortality and Welfare, those two eternal powers», en la traducción de L. H. Mills]</w:t>
      </w:r>
      <w:r>
        <w:t xml:space="preserve"> (Yasna 51:7)</w:t>
      </w:r>
      <w:r>
        <w:br/>
      </w:r>
      <w:r>
        <w:rPr>
          <w:b/>
        </w:rPr>
        <w:t>leída en su fuente · Yasna 51:7</w:t>
      </w:r>
      <w:r>
        <w:br/>
      </w:r>
      <w:r>
        <w:rPr>
          <w:b/>
        </w:rPr>
        <w:t>Archivo leído:</w:t>
      </w:r>
      <w:r>
        <w:t xml:space="preserve"> persia_mills_sbe31_sacredtexts_sbe31021.txt (caida_textos_10oct\persia_mills_sbe31_sacredtexts_sbe31021.txt) · contraste del archivo de pasajes: ✔</w:t>
      </w:r>
      <w:r>
        <w:br/>
      </w:r>
      <w:r>
        <w:rPr>
          <w:b/>
        </w:rPr>
        <w:t>Lugar:</w:t>
      </w:r>
      <w:r>
        <w:t xml:space="preserve"> Yasna 51:7</w:t>
      </w:r>
      <w:r>
        <w:br/>
      </w:r>
      <w:r>
        <w:rPr>
          <w:b/>
        </w:rPr>
        <w:t>Tal como está en la fuente:</w:t>
      </w:r>
      <w:r>
        <w:t xml:space="preserve"> so grant me also, O Thou most bountiful Spirit Mazda, Thou who hast made both the Kine and the waters and the plants 2 (for her support) both Immortality and Welfare, those two eternal powers</w:t>
      </w:r>
      <w:r>
        <w:t>. Los números sueltos del inglés son las notas de la edición; el avéstico no se ha leído para estos pasajes.</w:t>
      </w:r>
    </w:p>
    <w:p>
      <w:r>
        <w:rPr>
          <w:b/>
        </w:rPr>
        <w:t>Los quince que dicen algo cercano.</w:t>
      </w:r>
    </w:p>
    <w:p>
      <w:pPr>
        <w:pStyle w:val="ListBullet"/>
      </w:pPr>
      <w:r>
        <w:rPr>
          <w:b/>
        </w:rPr>
        <w:t>Isaías 25:8.</w:t>
      </w:r>
      <w:r>
        <w:t xml:space="preserve"> Dice que la muerte será “tragada/destruida para siempre” (“בִּלַּ֤ע הַמָּ֨וֶת֙ לָנֶ֔צַח”); no dice “vida eterna” de personas.</w:t>
      </w:r>
    </w:p>
    <w:p>
      <w:pPr>
        <w:pStyle w:val="ListBullet"/>
      </w:pPr>
      <w:r>
        <w:rPr>
          <w:b/>
        </w:rPr>
        <w:t>Isaías 26:19.</w:t>
      </w:r>
      <w:r>
        <w:t xml:space="preserve"> Dice “יִֽחְי֣וּ מֵתֶ֔יךָ” (“tus muertos vivirán”) y “יְקוּמ֑וּן” (“se levantarán”); no dice “para siempre”.</w:t>
      </w:r>
    </w:p>
    <w:p>
      <w:pPr>
        <w:pStyle w:val="ListBullet"/>
      </w:pPr>
      <w:r>
        <w:rPr>
          <w:b/>
        </w:rPr>
        <w:t>Salmo 16:10-11.</w:t>
      </w:r>
      <w:r>
        <w:t xml:space="preserve"> “Me mostrarás la senda de la vida” (“אֹ֤רַח חַ֫יִּ֥ים”) y “deleites en tu diestra para siempre” (“נְעִמ֖וֹת בִּימִינְךָ֣ נֶֽצַח”); no dice “vida eterna”.</w:t>
      </w:r>
    </w:p>
    <w:p>
      <w:pPr>
        <w:pStyle w:val="ListBullet"/>
      </w:pPr>
      <w:r>
        <w:rPr>
          <w:b/>
        </w:rPr>
        <w:t>Juan 17:3.</w:t>
      </w:r>
      <w:r>
        <w:t xml:space="preserve"> Dice qué es “ἡ αἰώνιος ζωὴ” («la vida eterna») (“que te conozcan a ti, el único Dios verdadero…”); no dice que alguien la reciba.</w:t>
      </w:r>
    </w:p>
    <w:p>
      <w:pPr>
        <w:pStyle w:val="ListBullet"/>
      </w:pPr>
      <w:r>
        <w:rPr>
          <w:b/>
        </w:rPr>
        <w:t>Corán 20:120.</w:t>
      </w:r>
      <w:r>
        <w:t xml:space="preserve"> El texto dice “árbol de la inmortalidad” (“شَجَرَةِ ٱلْخُلْدِ”) y “dominio imperecedero”, pero lo dice “el Demonio” que susurra a Adán; no es una promesa de Dios en el pasaje.</w:t>
      </w:r>
    </w:p>
    <w:p>
      <w:pPr>
        <w:pStyle w:val="ListBullet"/>
      </w:pPr>
      <w:r>
        <w:rPr>
          <w:b/>
        </w:rPr>
        <w:t>Corán 7:20.</w:t>
      </w:r>
      <w:r>
        <w:t xml:space="preserve"> “u os hagáis inmortales” lo dice “el Demonio” (el susurro de Satanás), como razón de la prohibición; no es promesa de Dios en el pasaje.</w:t>
      </w:r>
    </w:p>
    <w:p>
      <w:pPr>
        <w:pStyle w:val="ListBullet"/>
      </w:pPr>
      <w:r>
        <w:rPr>
          <w:b/>
        </w:rPr>
        <w:t>Corán 3:185.</w:t>
      </w:r>
      <w:r>
        <w:t xml:space="preserve"> Dice “Cada uno gustará la muerte” y que quien sea “introducido en el Jardín” habrá triunfado; en este versículo no dice “eternamente”.</w:t>
      </w:r>
    </w:p>
    <w:p>
      <w:pPr>
        <w:pStyle w:val="ListBullet"/>
      </w:pPr>
      <w:r>
        <w:rPr>
          <w:b/>
        </w:rPr>
        <w:t>Bhagavad Gita II (el pasaje que corresponde a 2:20).</w:t>
      </w:r>
      <w:r>
        <w:t xml:space="preserve"> Dice del “spirit” («espíritu») que es “Birthless and deathless” («sin nacimiento y sin muerte»); habla del espíritu, no promete nada a la persona.</w:t>
      </w:r>
    </w:p>
    <w:p>
      <w:pPr>
        <w:pStyle w:val="ListBullet"/>
      </w:pPr>
      <w:r>
        <w:rPr>
          <w:b/>
        </w:rPr>
        <w:t>Bhagavad Gita II, final (2:72).</w:t>
      </w:r>
      <w:r>
        <w:t xml:space="preserve"> Dice “state of Brahm” («el estado de Brahma») y “blest Nirvana” («el Nirvana bendito»); no dice vida eterna ni inmortalidad con esas palabras.</w:t>
      </w:r>
    </w:p>
    <w:p>
      <w:pPr>
        <w:pStyle w:val="ListBullet"/>
      </w:pPr>
      <w:r>
        <w:rPr>
          <w:b/>
        </w:rPr>
        <w:t>Brihadaranyaka Upanishad I, 3.</w:t>
      </w:r>
      <w:r>
        <w:t xml:space="preserve"> Es una súplica (“Lead me from death to immortality” («condúceme de la muerte a la inmortalidad»)), no una promesa.</w:t>
      </w:r>
    </w:p>
    <w:p>
      <w:pPr>
        <w:pStyle w:val="ListBullet"/>
      </w:pPr>
      <w:r>
        <w:rPr>
          <w:b/>
        </w:rPr>
        <w:t>Libro de los Muertos, capítulos CLIV y CLXXV (Budge).</w:t>
      </w:r>
      <w:r>
        <w:t xml:space="preserve"> “Thou shalt live for millions of millions of years, a life of millions of years” («vivirás millones de millones de años, una vida de millones de años») (larga vida, no “eterna”); y Budge escribe que Osiris es “the giver of everlasting life” («el que da la vida eterna»).</w:t>
      </w:r>
    </w:p>
    <w:p>
      <w:pPr>
        <w:pStyle w:val="ListBullet"/>
      </w:pPr>
      <w:r>
        <w:rPr>
          <w:b/>
        </w:rPr>
        <w:t>Gilgamesh, tablilla XI.</w:t>
      </w:r>
      <w:r>
        <w:t xml:space="preserve"> “[thou’lt surely find life (everlasting)]” («hallarás por cierto la vida (eterna)») está entre corchetes (restitución del traductor); la planta se llama “Greybeard-who-turneth-to-man-in-his-prime” («el viejo que vuelve a ser hombre en su plenitud») y una serpiente se la lleva.</w:t>
      </w:r>
    </w:p>
    <w:p>
      <w:pPr>
        <w:pStyle w:val="ListBullet"/>
      </w:pPr>
      <w:r>
        <w:rPr>
          <w:b/>
        </w:rPr>
        <w:t>Daodejing 7.</w:t>
      </w:r>
      <w:r>
        <w:t xml:space="preserve"> Dice que el cielo y la tierra “endure and continue” («duran y continúan») y que la persona del sabio “is preserved” (se conserva); no dice vida eterna.</w:t>
      </w:r>
    </w:p>
    <w:p>
      <w:pPr>
        <w:pStyle w:val="ListBullet"/>
      </w:pPr>
      <w:r>
        <w:rPr>
          <w:b/>
        </w:rPr>
        <w:t>Daodejing 16.</w:t>
      </w:r>
      <w:r>
        <w:t xml:space="preserve"> Larga vida (“he endures long” («dura largo»)), “exempt from all danger of decay” («libre de todo peligro de decaer») hasta el fin de su vida corporal; no dice vida eterna.</w:t>
      </w:r>
    </w:p>
    <w:p>
      <w:pPr>
        <w:pStyle w:val="ListBullet"/>
      </w:pPr>
      <w:r>
        <w:rPr>
          <w:b/>
        </w:rPr>
        <w:t>Daodejing 33.</w:t>
      </w:r>
      <w:r>
        <w:t xml:space="preserve"> “has longevity” (tiene longevidad), de quien “dies and yet does not perish” («muere y sin embargo no perece»); no dice vida eterna.</w:t>
      </w:r>
    </w:p>
    <w:p>
      <w:r>
        <w:rPr>
          <w:b/>
        </w:rPr>
        <w:t>Los dos que no.</w:t>
      </w:r>
    </w:p>
    <w:p>
      <w:pPr>
        <w:pStyle w:val="ListBullet"/>
      </w:pPr>
      <w:r>
        <w:rPr>
          <w:b/>
        </w:rPr>
        <w:t>Job 19:25-27.</w:t>
      </w:r>
      <w:r>
        <w:t xml:space="preserve"> No dice vida eterna; dice “אֶֽחֱזֶ֥ה אֱלֽוֹהַּ” (“veré a Dios”) “מִבְּשָׂרִ֗י” (“desde mi carne”).</w:t>
      </w:r>
    </w:p>
    <w:p>
      <w:pPr>
        <w:pStyle w:val="ListBullet"/>
      </w:pPr>
      <w:r>
        <w:rPr>
          <w:b/>
        </w:rPr>
        <w:t>Udāna 8.3.</w:t>
      </w:r>
      <w:r>
        <w:t xml:space="preserve"> No usa “amata” ni dice vida eterna; dice “ajātaṁ abhūtaṁ akataṁ asaṅkhataṁ” (lo no nacido, no devenido, no hecho, no condicionado) (Sujato: «libre del renacer, libre de lo producido, hecho y condicionado»).</w:t>
      </w:r>
    </w:p>
    <w:p>
      <w:r>
        <w:t>[lo extenso de 4.2: las 31 filas de la entrada 5 del índice del lote A (07/fuentes/caida_textos, 10-oct-2026), generadas por programa (07/herramientas/generar_extenso_4_2.py); P4 del estudio 08/10]</w:t>
      </w:r>
    </w:p>
    <w:p>
      <w:pPr>
        <w:pStyle w:val="Heading2"/>
      </w:pPr>
      <w:r>
        <w:t>4.3 Los ángeles caídos y la suplantación</w:t>
      </w:r>
    </w:p>
    <w:p>
      <w:pPr>
        <w:pBdr>
          <w:left w:val="single" w:sz="24" w:space="6" w:color="E2DED6"/>
        </w:pBdr>
        <w:shd w:val="clear" w:color="auto" w:fill="F1EEE8"/>
        <w:spacing w:before="80" w:after="160"/>
        <w:ind w:left="142" w:right="142"/>
      </w:pPr>
      <w:r>
        <w:rPr>
          <w:b/>
        </w:rPr>
        <w:t>La idea: el canon etíope cuenta que unos ángeles caídos enseñaron a los hombres las armas y los llevaron a adorar lo que no es Dios, y la Biblia común guarda el mismo aviso. Sus espíritus, dicen los textos, siguen en la tierra; y las tradiciones enseñan a no caer en sus susurros.</w:t>
      </w:r>
    </w:p>
    <w:p>
      <w:r>
        <w:rPr>
          <w:b/>
        </w:rPr>
        <w:t>El relato común.</w:t>
      </w:r>
      <w:r>
        <w:t xml:space="preserve"> El Génesis cuenta que «los hijos de Dios» tomaron mujeres de entre «las hijas de los hombres», y que «Había gigantes en la tierra en aquellos días»</w:t>
      </w:r>
      <w:r>
        <w:t xml:space="preserve"> (Gn 6:2 y 6:4)</w:t>
      </w:r>
      <w:r>
        <w:br/>
      </w:r>
      <w:r>
        <w:rPr>
          <w:b/>
        </w:rPr>
        <w:t>leída en su fuente · Gn 6:2 y 6:4</w:t>
      </w:r>
      <w:r>
        <w:br/>
      </w:r>
      <w:r>
        <w:rPr>
          <w:b/>
        </w:rPr>
        <w:t>Archivo leído:</w:t>
      </w:r>
      <w:r>
        <w:t xml:space="preserve"> spaRV1909_texto_corrido.txt (biblia_rv1909\spaRV1909_texto_corrido.txt) · contraste del archivo de pasajes: ✔</w:t>
      </w:r>
      <w:r>
        <w:br/>
      </w:r>
      <w:r>
        <w:rPr>
          <w:b/>
        </w:rPr>
        <w:t>Lugar:</w:t>
      </w:r>
      <w:r>
        <w:t xml:space="preserve"> Gn 6:2 y 6:4</w:t>
      </w:r>
      <w:r>
        <w:br/>
      </w:r>
      <w:r>
        <w:rPr>
          <w:b/>
        </w:rPr>
        <w:t>Tal como está en la fuente:</w:t>
      </w:r>
      <w:r>
        <w:t xml:space="preserve"> Había gigantes en la tierra en aquellos días</w:t>
      </w:r>
      <w:r>
        <w:t>. El Nuevo Testamento recuerda a «los ángeles que no guardaron su dignidad, mas dejaron su habitación»</w:t>
      </w:r>
      <w:r>
        <w:t xml:space="preserve"> (Jud 6)</w:t>
      </w:r>
      <w:r>
        <w:br/>
      </w:r>
      <w:r>
        <w:rPr>
          <w:b/>
        </w:rPr>
        <w:t>leída en su fuente · Jud 6</w:t>
      </w:r>
      <w:r>
        <w:br/>
      </w:r>
      <w:r>
        <w:rPr>
          <w:b/>
        </w:rPr>
        <w:t>Archivo leído:</w:t>
      </w:r>
      <w:r>
        <w:t xml:space="preserve"> jud6.html (ant\canon\jud6.html) · contraste del archivo de pasajes: ✔</w:t>
      </w:r>
      <w:r>
        <w:br/>
      </w:r>
      <w:r>
        <w:rPr>
          <w:b/>
        </w:rPr>
        <w:t>Lugar:</w:t>
      </w:r>
      <w:r>
        <w:t xml:space="preserve"> Jud 6</w:t>
      </w:r>
      <w:r>
        <w:br/>
      </w:r>
      <w:r>
        <w:rPr>
          <w:b/>
        </w:rPr>
        <w:t>Tal como está en la fuente:</w:t>
      </w:r>
      <w:r>
        <w:t xml:space="preserve"> los ángeles que no guardaron su dignidad, mas dejaron su habitación</w:t>
      </w:r>
      <w:r>
        <w:t>, y que «Dios no perdonó á los ángeles que habían pecado»</w:t>
      </w:r>
      <w:r>
        <w:t xml:space="preserve"> (2 Pe 2:4)</w:t>
      </w:r>
      <w:r>
        <w:br/>
      </w:r>
      <w:r>
        <w:rPr>
          <w:b/>
        </w:rPr>
        <w:t>leída en su fuente · 2 Pe 2:4</w:t>
      </w:r>
      <w:r>
        <w:br/>
      </w:r>
      <w:r>
        <w:rPr>
          <w:b/>
        </w:rPr>
        <w:t>Archivo leído:</w:t>
      </w:r>
      <w:r>
        <w:t xml:space="preserve"> jud6.html (ant\canon\jud6.html) · contraste del archivo de pasajes: ✔</w:t>
      </w:r>
      <w:r>
        <w:br/>
      </w:r>
      <w:r>
        <w:rPr>
          <w:b/>
        </w:rPr>
        <w:t>Lugar:</w:t>
      </w:r>
      <w:r>
        <w:t xml:space="preserve"> 2 Pe 2:4</w:t>
      </w:r>
      <w:r>
        <w:br/>
      </w:r>
      <w:r>
        <w:rPr>
          <w:b/>
        </w:rPr>
        <w:t>Tal como está en la fuente:</w:t>
      </w:r>
      <w:r>
        <w:t xml:space="preserve"> Dios no perdonó á los ángeles que habían pecado</w:t>
      </w:r>
      <w:r>
        <w:t>.</w:t>
      </w:r>
    </w:p>
    <w:p>
      <w:r>
        <w:rPr>
          <w:b/>
        </w:rPr>
        <w:t>Lo que conserva el canon etíope.</w:t>
      </w:r>
      <w:r>
        <w:t xml:space="preserve"> El Libro de Enoc y el de los Jubileos, que la Iglesia etíope guardó enteros en ge'ez (</w:t>
      </w:r>
      <w:r>
        <w:t>3.5</w:t>
      </w:r>
      <w:r>
        <w:t>), lo desarrollan:</w:t>
      </w:r>
    </w:p>
    <w:p>
      <w:pPr>
        <w:pStyle w:val="ListBullet"/>
      </w:pPr>
      <w:r>
        <w:t>los vigilantes enseñaron a los hombres las armas: Azazel «enseñó a los hombres a hacer espadas, y cuchillos, y escudos, y corazas»; «y hubo mucha impiedad […] y fueron extraviados»</w:t>
      </w:r>
      <w:r>
        <w:t xml:space="preserve"> [original: en la traducción inglesa de R. H. Charles: «And Azazél taught men to make swords, and knives, and shields, and breastplates»; «And there arose much godlessness, and they committed fornication, and they were led astray, and became corrupt in all their ways»]</w:t>
      </w:r>
      <w:r>
        <w:t xml:space="preserve"> (1 Enoc 8:1-2)</w:t>
      </w:r>
      <w:r>
        <w:br/>
      </w:r>
      <w:r>
        <w:rPr>
          <w:b/>
        </w:rPr>
        <w:t>leída en su fuente · 1 Enoc 8:1-2</w:t>
      </w:r>
      <w:r>
        <w:br/>
      </w:r>
      <w:r>
        <w:rPr>
          <w:b/>
        </w:rPr>
        <w:t>Archivo leído:</w:t>
      </w:r>
      <w:r>
        <w:t xml:space="preserve"> enoc_charles_1912.txt (c4\enoc_charles_1912.txt) · contraste del archivo de pasajes: ✔</w:t>
      </w:r>
      <w:r>
        <w:br/>
      </w:r>
      <w:r>
        <w:rPr>
          <w:b/>
        </w:rPr>
        <w:t>Lugar:</w:t>
      </w:r>
      <w:r>
        <w:t xml:space="preserve"> 1 Enoc 8:1-2</w:t>
      </w:r>
      <w:r>
        <w:br/>
      </w:r>
      <w:r>
        <w:rPr>
          <w:b/>
        </w:rPr>
        <w:t>Tal como está en la fuente:</w:t>
      </w:r>
      <w:r>
        <w:t xml:space="preserve"> And Azazél taught men to make swords, and knives, and shields, and breastplates</w:t>
      </w:r>
      <w:r>
        <w:t>;</w:t>
      </w:r>
    </w:p>
    <w:p>
      <w:pPr>
        <w:pStyle w:val="ListBullet"/>
      </w:pPr>
      <w:r>
        <w:t>de los gigantes nacen espíritus que «afligen, oprimen, destruyen, atacan, hacen la guerra»</w:t>
      </w:r>
      <w:r>
        <w:t xml:space="preserve"> [original: «the spirits of the giants afflict, oppress, destroy, attack, do battle, and work destruction on the earth»]</w:t>
      </w:r>
      <w:r>
        <w:t xml:space="preserve"> (1 Enoc 15:11)</w:t>
      </w:r>
      <w:r>
        <w:br/>
      </w:r>
      <w:r>
        <w:rPr>
          <w:b/>
        </w:rPr>
        <w:t>pasaje guardado · 1 Enoc 15:11</w:t>
      </w:r>
      <w:r>
        <w:br/>
      </w:r>
      <w:r>
        <w:rPr>
          <w:b/>
        </w:rPr>
        <w:t>Archivo leído:</w:t>
      </w:r>
      <w:r>
        <w:t xml:space="preserve"> enoc_charles_1912.txt (c4\enoc_charles_1912.txt) · contraste del archivo de pasajes: ✔</w:t>
      </w:r>
      <w:r>
        <w:br/>
      </w:r>
      <w:r>
        <w:rPr>
          <w:b/>
        </w:rPr>
        <w:t>Lugar:</w:t>
      </w:r>
      <w:r>
        <w:t xml:space="preserve"> 1 Enoc 15:11</w:t>
      </w:r>
      <w:r>
        <w:br/>
      </w:r>
      <w:r>
        <w:rPr>
          <w:b/>
        </w:rPr>
        <w:t>Tal como está en la fuente:</w:t>
      </w:r>
      <w:r>
        <w:t xml:space="preserve"> the spirits of the giants afflict, oppress, destroy, attack, do battle, and work destruction on the earth</w:t>
      </w:r>
      <w:r>
        <w:t>;</w:t>
      </w:r>
    </w:p>
    <w:p>
      <w:pPr>
        <w:pStyle w:val="ListBullet"/>
      </w:pPr>
      <w:r>
        <w:t>y esos espíritus, «tomando muchas formas distintas», corrompen a la humanidad y la llevan a sacrificar a los demonios «como a dioses»</w:t>
      </w:r>
      <w:r>
        <w:t xml:space="preserve"> [original: «their spirits, assuming many different forms, are defiling mankind, and shall lead them astray into sacrificing to demons as gods»; Charles marca «as gods» como lectura dudosa del manuscrito]</w:t>
      </w:r>
      <w:r>
        <w:t xml:space="preserve"> (1 Enoc 19:1)</w:t>
      </w:r>
      <w:r>
        <w:t>;</w:t>
      </w:r>
    </w:p>
    <w:p>
      <w:pPr>
        <w:pStyle w:val="ListBullet"/>
      </w:pPr>
      <w:r>
        <w:t>en Jubileos, el jefe de los espíritus, Mastema, pide que algunos queden con él para obedecer su voz, y se le concede «la décima parte»</w:t>
      </w:r>
      <w:r>
        <w:t xml:space="preserve"> [original: «And the chief of the spirits, Mastêmâ, came and said: “Lord, Creator, let some of them remain before me”»; «Let the tenth part of them remain before him»]</w:t>
      </w:r>
      <w:r>
        <w:t xml:space="preserve"> (Jub 10:8-9)</w:t>
      </w:r>
      <w:r>
        <w:t>.</w:t>
      </w:r>
    </w:p>
    <w:p>
      <w:r>
        <w:rPr>
          <w:b/>
        </w:rPr>
        <w:t>La Biblia común, con el mismo aviso:</w:t>
      </w:r>
    </w:p>
    <w:p>
      <w:pPr>
        <w:pStyle w:val="ListBullet"/>
      </w:pPr>
      <w:r>
        <w:t>«Sacrificaron á los diablos, no á Dios»</w:t>
      </w:r>
      <w:r>
        <w:t xml:space="preserve"> (Dt 32:17)</w:t>
      </w:r>
      <w:r>
        <w:br/>
      </w:r>
      <w:r>
        <w:rPr>
          <w:b/>
        </w:rPr>
        <w:t>leída en su fuente · Dt 32:17</w:t>
      </w:r>
      <w:r>
        <w:br/>
      </w:r>
      <w:r>
        <w:rPr>
          <w:b/>
        </w:rPr>
        <w:t>Archivo leído:</w:t>
      </w:r>
      <w:r>
        <w:t xml:space="preserve"> spaRV1909_texto_corrido.txt (biblia_rv1909\spaRV1909_texto_corrido.txt) · contraste del archivo de pasajes: ✔</w:t>
      </w:r>
      <w:r>
        <w:br/>
      </w:r>
      <w:r>
        <w:rPr>
          <w:b/>
        </w:rPr>
        <w:t>Lugar:</w:t>
      </w:r>
      <w:r>
        <w:t xml:space="preserve"> Dt 32:17</w:t>
      </w:r>
      <w:r>
        <w:br/>
      </w:r>
      <w:r>
        <w:rPr>
          <w:b/>
        </w:rPr>
        <w:t>Tal como está en la fuente:</w:t>
      </w:r>
      <w:r>
        <w:t xml:space="preserve"> Sacrificaron á los diablos, no á Dios</w:t>
      </w:r>
      <w:r>
        <w:t>;</w:t>
      </w:r>
    </w:p>
    <w:p>
      <w:pPr>
        <w:pStyle w:val="ListBullet"/>
      </w:pPr>
      <w:r>
        <w:t>«lo que los Gentiles sacrifican, á los demonios lo sacrifican, y no á Dios»</w:t>
      </w:r>
      <w:r>
        <w:t xml:space="preserve"> (1 Co 10:20)</w:t>
      </w:r>
      <w:r>
        <w:br/>
      </w:r>
      <w:r>
        <w:rPr>
          <w:b/>
        </w:rPr>
        <w:t>leída en su fuente · 1 Co 10:20</w:t>
      </w:r>
      <w:r>
        <w:br/>
      </w:r>
      <w:r>
        <w:rPr>
          <w:b/>
        </w:rPr>
        <w:t>Archivo leído:</w:t>
      </w:r>
      <w:r>
        <w:t xml:space="preserve"> biblia_c1.html (ant\c1\biblia_c1.html) · contraste del archivo de pasajes: ✔</w:t>
      </w:r>
      <w:r>
        <w:br/>
      </w:r>
      <w:r>
        <w:rPr>
          <w:b/>
        </w:rPr>
        <w:t>Lugar:</w:t>
      </w:r>
      <w:r>
        <w:t xml:space="preserve"> 1 Co 10:20</w:t>
      </w:r>
      <w:r>
        <w:br/>
      </w:r>
      <w:r>
        <w:rPr>
          <w:b/>
        </w:rPr>
        <w:t>Tal como está en la fuente:</w:t>
      </w:r>
      <w:r>
        <w:t xml:space="preserve"> lo que los Gentiles sacrifican, á los demonios lo sacrifican, y no á Dios</w:t>
      </w:r>
      <w:r>
        <w:t>;</w:t>
      </w:r>
    </w:p>
    <w:p>
      <w:pPr>
        <w:pStyle w:val="ListBullet"/>
      </w:pPr>
      <w:r>
        <w:t>«el mismo Satanás se transfigura en ángel de luz»</w:t>
      </w:r>
      <w:r>
        <w:t xml:space="preserve"> (2 Co 11:14)</w:t>
      </w:r>
      <w:r>
        <w:br/>
      </w:r>
      <w:r>
        <w:rPr>
          <w:b/>
        </w:rPr>
        <w:t>leída en su fuente · 2 Co 11:14</w:t>
      </w:r>
      <w:r>
        <w:br/>
      </w:r>
      <w:r>
        <w:rPr>
          <w:b/>
        </w:rPr>
        <w:t>Archivo leído:</w:t>
      </w:r>
      <w:r>
        <w:t xml:space="preserve"> spaRV1909_texto_corrido.txt (biblia_rv1909\spaRV1909_texto_corrido.txt) · contraste del archivo de pasajes: ✔</w:t>
      </w:r>
      <w:r>
        <w:br/>
      </w:r>
      <w:r>
        <w:rPr>
          <w:b/>
        </w:rPr>
        <w:t>Lugar:</w:t>
      </w:r>
      <w:r>
        <w:t xml:space="preserve"> 2 Co 11:14</w:t>
      </w:r>
      <w:r>
        <w:br/>
      </w:r>
      <w:r>
        <w:rPr>
          <w:b/>
        </w:rPr>
        <w:t>Tal como está en la fuente:</w:t>
      </w:r>
      <w:r>
        <w:t xml:space="preserve"> el mismo Satanás se transfigura en ángel de luz</w:t>
      </w:r>
      <w:r>
        <w:t>.</w:t>
      </w:r>
    </w:p>
    <w:p>
      <w:r>
        <w:t>Por eso se pide probar los espíritus (</w:t>
      </w:r>
      <w:r>
        <w:t>1.3</w:t>
      </w:r>
      <w:r>
        <w:t>).</w:t>
      </w:r>
    </w:p>
    <w:p>
      <w:r>
        <w:t>[glosario 5.4.2, aprobado por Kiko el 5-oct; 1 Enoc leído en la edición impresa de Charles (1917); Jubileos, edición impresa de Charles (1902); Reina-Valera Antigua]</w:t>
      </w:r>
    </w:p>
    <w:p>
      <w:r>
        <w:rPr>
          <w:b/>
        </w:rPr>
        <w:t>Conclusión, lo que arrojan los datos:</w:t>
      </w:r>
      <w:r>
        <w:t xml:space="preserve"> en el canon etíope, la suplantación de la adoración debida a Dios se atribuye a los ángeles caídos y a sus espíritus: llevan a los hombres a sacrificar a los demonios como a dioses, y les enseñan artes que los extravían. El canon común coincide en lo esencial (Dt 32:17; 1 Co 10:20), y todos piden lo mismo: discernir.</w:t>
      </w:r>
    </w:p>
    <w:p>
      <w:r>
        <w:rPr>
          <w:b/>
        </w:rPr>
        <w:t>Lectura del autor:</w:t>
      </w:r>
      <w:r>
        <w:t xml:space="preserve"> el Libro de los Jubileos, que conserva la Iglesia etíope, cuenta que los hombres empezaron «a ensalzarse por encima del pueblo y a fundar los comienzos de los reinos», a hacer la guerra, a vender esclavos y a fabricarse ídolos, y que «espíritus malignos les ayudaron y sedujeron»</w:t>
      </w:r>
      <w:r>
        <w:t xml:space="preserve"> [original: «to exalt themselves above the nation, and to found the beginnings of kingdoms»; «malignant spirits assisted and seduced (them)»]</w:t>
      </w:r>
      <w:r>
        <w:t xml:space="preserve"> (Jub 11:2-5)</w:t>
      </w:r>
      <w:r>
        <w:br/>
      </w:r>
      <w:r>
        <w:rPr>
          <w:b/>
        </w:rPr>
        <w:t>leída en su fuente · Jub 11:2-5</w:t>
      </w:r>
      <w:r>
        <w:br/>
      </w:r>
      <w:r>
        <w:rPr>
          <w:b/>
        </w:rPr>
        <w:t>Archivo leído:</w:t>
      </w:r>
      <w:r>
        <w:t xml:space="preserve"> jubileos_charles_1902.txt (c4\jubileos_charles_1902.txt) · contraste del archivo de pasajes: ✔</w:t>
      </w:r>
      <w:r>
        <w:br/>
      </w:r>
      <w:r>
        <w:rPr>
          <w:b/>
        </w:rPr>
        <w:t>Lugar:</w:t>
      </w:r>
      <w:r>
        <w:t xml:space="preserve"> Jub 11:2-5</w:t>
      </w:r>
      <w:r>
        <w:br/>
      </w:r>
      <w:r>
        <w:rPr>
          <w:b/>
        </w:rPr>
        <w:t>Tal como está en la fuente:</w:t>
      </w:r>
      <w:r>
        <w:t xml:space="preserve"> to exalt themselves above the nation, and to found the beginnings of kingdoms</w:t>
      </w:r>
      <w:r>
        <w:t>. La Biblia común guarda el mismo aviso: cuando Israel pidió un rey, Dios dijo a Samuel: «no te han desechado á ti, sino á mí me han desechado, para que no reine sobre ellos»</w:t>
      </w:r>
      <w:r>
        <w:t xml:space="preserve"> (1 Sam 8:7)</w:t>
      </w:r>
      <w:r>
        <w:br/>
      </w:r>
      <w:r>
        <w:rPr>
          <w:b/>
        </w:rPr>
        <w:t>leída en su fuente · 1 Sam 8:7</w:t>
      </w:r>
      <w:r>
        <w:br/>
      </w:r>
      <w:r>
        <w:rPr>
          <w:b/>
        </w:rPr>
        <w:t>Archivo leído:</w:t>
      </w:r>
      <w:r>
        <w:t xml:space="preserve"> spaRV1909_texto_corrido.txt (biblia_rv1909\spaRV1909_texto_corrido.txt) · contraste del archivo de pasajes: ✔</w:t>
      </w:r>
      <w:r>
        <w:br/>
      </w:r>
      <w:r>
        <w:rPr>
          <w:b/>
        </w:rPr>
        <w:t>Lugar:</w:t>
      </w:r>
      <w:r>
        <w:t xml:space="preserve"> 1 Sam 8:7</w:t>
      </w:r>
      <w:r>
        <w:br/>
      </w:r>
      <w:r>
        <w:rPr>
          <w:b/>
        </w:rPr>
        <w:t>Tal como está en la fuente:</w:t>
      </w:r>
      <w:r>
        <w:t xml:space="preserve"> no te han desechado á ti, sino á mí me han desechado, para que no reine sobre ellos</w:t>
      </w:r>
      <w:r>
        <w:t>. Es el paso del aprendiz al ser superior: un poder humano que se pone en el lugar de la ley de Dios. Esto apunta hacia el padre de la mentira (Jn 8:44).</w:t>
      </w:r>
    </w:p>
    <w:p>
      <w:r>
        <w:t>[glosario 5.4.2, texto aprobado por Kiko el 5-oct; 00.00, sección 5]</w:t>
      </w:r>
    </w:p>
    <w:p>
      <w:r>
        <w:rPr>
          <w:b/>
        </w:rPr>
        <w:t>¿Están entre nosotros?</w:t>
      </w:r>
      <w:r>
        <w:t xml:space="preserve"> Es la pregunta que se hace cualquier lector al llegar aquí. Los textos distinguen tres cosas, y cada una tiene su respuesta:</w:t>
      </w:r>
    </w:p>
    <w:p>
      <w:pPr>
        <w:pStyle w:val="ListBullet"/>
      </w:pPr>
      <w:r>
        <w:rPr>
          <w:b/>
        </w:rPr>
        <w:t>Los ángeles caídos mismos están atados hasta el juicio.</w:t>
      </w:r>
      <w:r>
        <w:t xml:space="preserve"> A los vigilantes, Dios manda: «átalos bien durante setenta generaciones en los valles de la tierra, hasta el día de su juicio»</w:t>
      </w:r>
      <w:r>
        <w:t xml:space="preserve"> [original: en la traducción inglesa de R. H. Charles: «bind them fast for seventy generations in the valleys of the earth, till the day of their judgement»]</w:t>
      </w:r>
      <w:r>
        <w:t xml:space="preserve"> (1 Enoc 10:12)</w:t>
      </w:r>
      <w:r>
        <w:br/>
      </w:r>
      <w:r>
        <w:rPr>
          <w:b/>
        </w:rPr>
        <w:t>leída en su fuente · 1 Enoc 10:12</w:t>
      </w:r>
      <w:r>
        <w:br/>
      </w:r>
      <w:r>
        <w:rPr>
          <w:b/>
        </w:rPr>
        <w:t>Archivo leído:</w:t>
      </w:r>
      <w:r>
        <w:t xml:space="preserve"> enoc_charles_1912.txt (c4\enoc_charles_1912.txt) · contraste del archivo de pasajes: ✔</w:t>
      </w:r>
      <w:r>
        <w:br/>
      </w:r>
      <w:r>
        <w:rPr>
          <w:b/>
        </w:rPr>
        <w:t>Lugar:</w:t>
      </w:r>
      <w:r>
        <w:t xml:space="preserve"> 1 Enoc 10:12</w:t>
      </w:r>
      <w:r>
        <w:br/>
      </w:r>
      <w:r>
        <w:rPr>
          <w:b/>
        </w:rPr>
        <w:t>Tal como está en la fuente:</w:t>
      </w:r>
      <w:r>
        <w:t xml:space="preserve"> bind them fast for seventy generations in the valleys of the earth, till the day of their judgement</w:t>
      </w:r>
      <w:r>
        <w:t>. Lo mismo dicen Judas y Pedro: Dios los ha reservado «en prisiones eternas hasta el juicio del gran día» (arriba).</w:t>
      </w:r>
    </w:p>
    <w:p>
      <w:pPr>
        <w:pStyle w:val="ListBullet"/>
      </w:pPr>
      <w:r>
        <w:rPr>
          <w:b/>
        </w:rPr>
        <w:t>Sus espíritus, en cambio, quedaron en la tierra.</w:t>
      </w:r>
      <w:r>
        <w:t xml:space="preserve"> Los de los gigantes «serán llamados espíritus malignos sobre la tierra, y en la tierra será su morada»</w:t>
      </w:r>
      <w:r>
        <w:t xml:space="preserve"> [original: «shall be called evil spirits upon the earth, and on the earth shall be their dwelling»]</w:t>
      </w:r>
      <w:r>
        <w:t xml:space="preserve"> (1 Enoc 15:8)</w:t>
      </w:r>
      <w:r>
        <w:br/>
      </w:r>
      <w:r>
        <w:rPr>
          <w:b/>
        </w:rPr>
        <w:t>leída en su fuente · 1 Enoc 15:8</w:t>
      </w:r>
      <w:r>
        <w:br/>
      </w:r>
      <w:r>
        <w:rPr>
          <w:b/>
        </w:rPr>
        <w:t>Archivo leído:</w:t>
      </w:r>
      <w:r>
        <w:t xml:space="preserve"> enoc_charles_1912.txt (c4\enoc_charles_1912.txt) · contraste del archivo de pasajes: ✔</w:t>
      </w:r>
      <w:r>
        <w:br/>
      </w:r>
      <w:r>
        <w:rPr>
          <w:b/>
        </w:rPr>
        <w:t>Lugar:</w:t>
      </w:r>
      <w:r>
        <w:t xml:space="preserve"> 1 Enoc 15:8</w:t>
      </w:r>
      <w:r>
        <w:br/>
      </w:r>
      <w:r>
        <w:rPr>
          <w:b/>
        </w:rPr>
        <w:t>Tal como está en la fuente:</w:t>
      </w:r>
      <w:r>
        <w:t xml:space="preserve"> shall be called evil spirits upon the earth, and on the earth shall be their dwelling</w:t>
      </w:r>
      <w:r>
        <w:t>; «se levantarán contra los hijos de los hombres y contra las mujeres»</w:t>
      </w:r>
      <w:r>
        <w:t xml:space="preserve"> [original: «these spirits shall rise up against the children of men and against the women»]</w:t>
      </w:r>
      <w:r>
        <w:t xml:space="preserve"> (1 Enoc 15:12)</w:t>
      </w:r>
      <w:r>
        <w:br/>
      </w:r>
      <w:r>
        <w:rPr>
          <w:b/>
        </w:rPr>
        <w:t>leída en su fuente · 1 Enoc 15:12</w:t>
      </w:r>
      <w:r>
        <w:br/>
      </w:r>
      <w:r>
        <w:rPr>
          <w:b/>
        </w:rPr>
        <w:t>Archivo leído:</w:t>
      </w:r>
      <w:r>
        <w:t xml:space="preserve"> enoc_charles_1912.txt (c4\enoc_charles_1912.txt) · contraste del archivo de pasajes: ✔</w:t>
      </w:r>
      <w:r>
        <w:br/>
      </w:r>
      <w:r>
        <w:rPr>
          <w:b/>
        </w:rPr>
        <w:t>Lugar:</w:t>
      </w:r>
      <w:r>
        <w:t xml:space="preserve"> 1 Enoc 15:12</w:t>
      </w:r>
      <w:r>
        <w:br/>
      </w:r>
      <w:r>
        <w:rPr>
          <w:b/>
        </w:rPr>
        <w:t>Tal como está en la fuente:</w:t>
      </w:r>
      <w:r>
        <w:t xml:space="preserve"> these spirits shall rise up against the children of men and against the women</w:t>
      </w:r>
      <w:r>
        <w:t>; y destruirán «hasta el día de la consumación»</w:t>
      </w:r>
      <w:r>
        <w:t xml:space="preserve"> [original: «thus shall they destroy until the day of the consummation»]</w:t>
      </w:r>
      <w:r>
        <w:t xml:space="preserve"> (1 Enoc 16:1)</w:t>
      </w:r>
      <w:r>
        <w:br/>
      </w:r>
      <w:r>
        <w:rPr>
          <w:b/>
        </w:rPr>
        <w:t>leída en su fuente · 1 Enoc 16:1</w:t>
      </w:r>
      <w:r>
        <w:br/>
      </w:r>
      <w:r>
        <w:rPr>
          <w:b/>
        </w:rPr>
        <w:t>Archivo leído:</w:t>
      </w:r>
      <w:r>
        <w:t xml:space="preserve"> enoc_charles_1912.txt (c4\enoc_charles_1912.txt) · contraste del archivo de pasajes: ✔</w:t>
      </w:r>
      <w:r>
        <w:br/>
      </w:r>
      <w:r>
        <w:rPr>
          <w:b/>
        </w:rPr>
        <w:t>Lugar:</w:t>
      </w:r>
      <w:r>
        <w:t xml:space="preserve"> 1 Enoc 16:1</w:t>
      </w:r>
      <w:r>
        <w:br/>
      </w:r>
      <w:r>
        <w:rPr>
          <w:b/>
        </w:rPr>
        <w:t>Tal como está en la fuente:</w:t>
      </w:r>
      <w:r>
        <w:t xml:space="preserve"> thus shall they destroy until the day of the consummation</w:t>
      </w:r>
      <w:r>
        <w:t>. En Jubileos, nueve partes fueron atadas, «y dejamos una décima parte de ellos, para que estuvieran sujetos a Satán en la tierra»</w:t>
      </w:r>
      <w:r>
        <w:t xml:space="preserve"> [original: «a tenth part of them we left that they might be subject before Satan on the earth»]</w:t>
      </w:r>
      <w:r>
        <w:t xml:space="preserve"> (Jub 10:11)</w:t>
      </w:r>
      <w:r>
        <w:br/>
      </w:r>
      <w:r>
        <w:rPr>
          <w:b/>
        </w:rPr>
        <w:t>leída en su fuente · Jub 10:11</w:t>
      </w:r>
      <w:r>
        <w:br/>
      </w:r>
      <w:r>
        <w:rPr>
          <w:b/>
        </w:rPr>
        <w:t>Archivo leído:</w:t>
      </w:r>
      <w:r>
        <w:t xml:space="preserve"> jubileos_charles_1902.txt (c4\jubileos_charles_1902.txt) · contraste del archivo de pasajes: ✔</w:t>
      </w:r>
      <w:r>
        <w:br/>
      </w:r>
      <w:r>
        <w:rPr>
          <w:b/>
        </w:rPr>
        <w:t>Lugar:</w:t>
      </w:r>
      <w:r>
        <w:t xml:space="preserve"> Jub 10:11</w:t>
      </w:r>
      <w:r>
        <w:br/>
      </w:r>
      <w:r>
        <w:rPr>
          <w:b/>
        </w:rPr>
        <w:t>Tal como está en la fuente:</w:t>
      </w:r>
      <w:r>
        <w:t xml:space="preserve"> a tenth part of them we left that they might be subject before Satan on the earth</w:t>
      </w:r>
      <w:r>
        <w:t>.</w:t>
      </w:r>
    </w:p>
    <w:p>
      <w:pPr>
        <w:pStyle w:val="ListBullet"/>
      </w:pPr>
      <w:r>
        <w:rPr>
          <w:b/>
        </w:rPr>
        <w:t>Y Satán y sus ángeles fueron arrojados a la tierra.</w:t>
      </w:r>
      <w:r>
        <w:t xml:space="preserve"> El dragón «fué arrojado en tierra, y sus ángeles fueron arrojados con él»</w:t>
      </w:r>
      <w:r>
        <w:t xml:space="preserve"> (Ap 12:9)</w:t>
      </w:r>
      <w:r>
        <w:br/>
      </w:r>
      <w:r>
        <w:rPr>
          <w:b/>
        </w:rPr>
        <w:t>leída en su fuente · Ap 12:9</w:t>
      </w:r>
      <w:r>
        <w:br/>
      </w:r>
      <w:r>
        <w:rPr>
          <w:b/>
        </w:rPr>
        <w:t>Archivo leído:</w:t>
      </w:r>
      <w:r>
        <w:t xml:space="preserve"> 4 DISCERNIR - EL MAL SIN CUERPO.md (biblia_rv1909\spaRV1909_texto_corrido.txt) · contraste del archivo de pasajes: ✔</w:t>
      </w:r>
      <w:r>
        <w:br/>
      </w:r>
      <w:r>
        <w:rPr>
          <w:b/>
        </w:rPr>
        <w:t>Lugar:</w:t>
      </w:r>
      <w:r>
        <w:t xml:space="preserve"> 4 DISCERNIR - EL MAL SIN CUERPO.md, línea 104</w:t>
      </w:r>
      <w:r>
        <w:br/>
      </w:r>
      <w:r>
        <w:rPr>
          <w:b/>
        </w:rPr>
        <w:t>Tal como está en la fuente:</w:t>
      </w:r>
      <w:r>
        <w:t xml:space="preserve"> fué arrojado en tierra, y sus ángeles fueron arrojados con él</w:t>
      </w:r>
      <w:r>
        <w:t>. Y Satán mismo dice de dónde viene: «De rodear la tierra, y de andar por ella» (</w:t>
      </w:r>
      <w:r>
        <w:t>4.1</w:t>
      </w:r>
      <w:r>
        <w:t>).</w:t>
      </w:r>
    </w:p>
    <w:p>
      <w:r>
        <w:rPr>
          <w:b/>
        </w:rPr>
        <w:t>Cómo obran, según los mismos textos.</w:t>
      </w:r>
      <w:r>
        <w:t xml:space="preserve"> No con un cuerpo propio. Toman «muchas formas distintas» (1 Enoc 19:1, arriba); susurran «en el ánimo de los hombres» (</w:t>
      </w:r>
      <w:r>
        <w:t>4.1</w:t>
      </w:r>
      <w:r>
        <w:t>); seducen y ayudan a los hombres a hacer el mal (Jub 11:4, abajo); engañan «á todo el mundo» (</w:t>
      </w:r>
      <w:r>
        <w:t>4.2</w:t>
      </w:r>
      <w:r>
        <w:t>); y se disfrazan de bien, porque «el mismo Satanás se transfigura en ángel de luz» (arriba). Obran también a través de hombres: el susurrador puede ser «genio» u «hombre» (</w:t>
      </w:r>
      <w:r>
        <w:t>4.1</w:t>
      </w:r>
      <w:r>
        <w:t>). Ningún texto leído dice que caminen entre nosotros como personas de carne y hueso: eso ya sería una lectura, y la obra no la da como dato.</w:t>
      </w:r>
    </w:p>
    <w:p>
      <w:r>
        <w:rPr>
          <w:b/>
        </w:rPr>
        <w:t>Cómo no caer en sus susurros.</w:t>
      </w:r>
      <w:r>
        <w:t xml:space="preserve"> Las tradiciones coinciden también en el remedio:</w:t>
      </w:r>
    </w:p>
    <w:p>
      <w:pPr>
        <w:pStyle w:val="ListBullet"/>
      </w:pPr>
      <w:r>
        <w:rPr>
          <w:b/>
        </w:rPr>
        <w:t>velar:</w:t>
      </w:r>
      <w:r>
        <w:t xml:space="preserve"> «Sed templados, y velad; porque vuestro adversario el diablo, cual león rugiente, anda alrededor buscando á quien devore: Al cual resistid firmes en la fe»</w:t>
      </w:r>
      <w:r>
        <w:t xml:space="preserve"> (1 Pe 5:8-9)</w:t>
      </w:r>
      <w:r>
        <w:br/>
      </w:r>
      <w:r>
        <w:rPr>
          <w:b/>
        </w:rPr>
        <w:t>leída en su fuente · 1 Pe 5:8-9</w:t>
      </w:r>
      <w:r>
        <w:br/>
      </w:r>
      <w:r>
        <w:rPr>
          <w:b/>
        </w:rPr>
        <w:t>Original donde está:</w:t>
      </w:r>
      <w:r>
        <w:t xml:space="preserve"> rva_43b.txt</w:t>
      </w:r>
      <w:r>
        <w:br/>
      </w:r>
      <w:r>
        <w:t>El pasaje literal no está en el archivo de pasajes con este comienzo; la auditoría lo halló en ese original.</w:t>
      </w:r>
      <w:r>
        <w:t>; y «Velad y orad, para que no entréis en tentación»</w:t>
      </w:r>
      <w:r>
        <w:t xml:space="preserve"> (Mt 26:41)</w:t>
      </w:r>
      <w:r>
        <w:br/>
      </w:r>
      <w:r>
        <w:rPr>
          <w:b/>
        </w:rPr>
        <w:t>leída en su fuente · Mt 26:41</w:t>
      </w:r>
      <w:r>
        <w:br/>
      </w:r>
      <w:r>
        <w:rPr>
          <w:b/>
        </w:rPr>
        <w:t>Archivo leído:</w:t>
      </w:r>
      <w:r>
        <w:t xml:space="preserve"> spaRV1909_texto_corrido.txt (biblia_rv1909\spaRV1909_texto_corrido.txt) · contraste del archivo de pasajes: ✔</w:t>
      </w:r>
      <w:r>
        <w:br/>
      </w:r>
      <w:r>
        <w:rPr>
          <w:b/>
        </w:rPr>
        <w:t>Lugar:</w:t>
      </w:r>
      <w:r>
        <w:t xml:space="preserve"> Mt 26:41</w:t>
      </w:r>
      <w:r>
        <w:br/>
      </w:r>
      <w:r>
        <w:rPr>
          <w:b/>
        </w:rPr>
        <w:t>Tal como está en la fuente:</w:t>
      </w:r>
      <w:r>
        <w:t xml:space="preserve"> Velad y orad, para que no entréis en tentación</w:t>
      </w:r>
      <w:r>
        <w:t>;</w:t>
      </w:r>
    </w:p>
    <w:p>
      <w:pPr>
        <w:pStyle w:val="ListBullet"/>
      </w:pPr>
      <w:r>
        <w:rPr>
          <w:b/>
        </w:rPr>
        <w:t>no darle sitio:</w:t>
      </w:r>
      <w:r>
        <w:t xml:space="preserve"> «Ni deis lugar al diablo»</w:t>
      </w:r>
      <w:r>
        <w:t xml:space="preserve"> (Ef 4:27)</w:t>
      </w:r>
      <w:r>
        <w:t>; «resistid al diablo, y de vosotros huirá»</w:t>
      </w:r>
      <w:r>
        <w:t xml:space="preserve"> (Stg 4:7)</w:t>
      </w:r>
      <w:r>
        <w:br/>
      </w:r>
      <w:r>
        <w:rPr>
          <w:b/>
        </w:rPr>
        <w:t>leída en su fuente · Stg 4:7</w:t>
      </w:r>
      <w:r>
        <w:br/>
      </w:r>
      <w:r>
        <w:rPr>
          <w:b/>
        </w:rPr>
        <w:t>Archivo leído:</w:t>
      </w:r>
      <w:r>
        <w:t xml:space="preserve"> spaRV1909_texto_corrido.txt (biblia_rv1909\spaRV1909_texto_corrido.txt) · contraste del archivo de pasajes: ✔</w:t>
      </w:r>
      <w:r>
        <w:br/>
      </w:r>
      <w:r>
        <w:rPr>
          <w:b/>
        </w:rPr>
        <w:t>Lugar:</w:t>
      </w:r>
      <w:r>
        <w:t xml:space="preserve"> Stg 4:7</w:t>
      </w:r>
      <w:r>
        <w:br/>
      </w:r>
      <w:r>
        <w:rPr>
          <w:b/>
        </w:rPr>
        <w:t>Tal como está en la fuente:</w:t>
      </w:r>
      <w:r>
        <w:t xml:space="preserve"> resistid al diablo, y de vosotros huirá</w:t>
      </w:r>
      <w:r>
        <w:t>;</w:t>
      </w:r>
    </w:p>
    <w:p>
      <w:pPr>
        <w:pStyle w:val="ListBullet"/>
      </w:pPr>
      <w:r>
        <w:rPr>
          <w:b/>
        </w:rPr>
        <w:t>conocer sus maniobras:</w:t>
      </w:r>
      <w:r>
        <w:t xml:space="preserve"> «no ignoramos sus maquinaciones»</w:t>
      </w:r>
      <w:r>
        <w:t xml:space="preserve"> (2 Co 2:11)</w:t>
      </w:r>
      <w:r>
        <w:br/>
      </w:r>
      <w:r>
        <w:rPr>
          <w:b/>
        </w:rPr>
        <w:t>leída en su fuente · 2 Co 2:11</w:t>
      </w:r>
      <w:r>
        <w:br/>
      </w:r>
      <w:r>
        <w:rPr>
          <w:b/>
        </w:rPr>
        <w:t>Archivo leído:</w:t>
      </w:r>
      <w:r>
        <w:t xml:space="preserve"> spaRV1909_texto_corrido.txt (biblia_rv1909\spaRV1909_texto_corrido.txt) · contraste del archivo de pasajes: ✔</w:t>
      </w:r>
      <w:r>
        <w:br/>
      </w:r>
      <w:r>
        <w:rPr>
          <w:b/>
        </w:rPr>
        <w:t>Lugar:</w:t>
      </w:r>
      <w:r>
        <w:t xml:space="preserve"> 2 Co 2:11</w:t>
      </w:r>
      <w:r>
        <w:br/>
      </w:r>
      <w:r>
        <w:rPr>
          <w:b/>
        </w:rPr>
        <w:t>Tal como está en la fuente:</w:t>
      </w:r>
      <w:r>
        <w:t xml:space="preserve"> no ignoramos sus maquinaciones</w:t>
      </w:r>
      <w:r>
        <w:t>; y vestir «toda la armadura de Dios, para que podáis estar firmes contra las asechanzas del diablo»</w:t>
      </w:r>
      <w:r>
        <w:t xml:space="preserve"> (Ef 6:11)</w:t>
      </w:r>
      <w:r>
        <w:br/>
      </w:r>
      <w:r>
        <w:rPr>
          <w:b/>
        </w:rPr>
        <w:t>leída en su fuente · Ef 6:11</w:t>
      </w:r>
      <w:r>
        <w:br/>
      </w:r>
      <w:r>
        <w:rPr>
          <w:b/>
        </w:rPr>
        <w:t>Archivo leído:</w:t>
      </w:r>
      <w:r>
        <w:t xml:space="preserve"> spaRV1909_texto_corrido.txt (biblia_rv1909\spaRV1909_texto_corrido.txt) · contraste del archivo de pasajes: ✔</w:t>
      </w:r>
      <w:r>
        <w:br/>
      </w:r>
      <w:r>
        <w:rPr>
          <w:b/>
        </w:rPr>
        <w:t>Lugar:</w:t>
      </w:r>
      <w:r>
        <w:t xml:space="preserve"> Ef 6:11</w:t>
      </w:r>
      <w:r>
        <w:br/>
      </w:r>
      <w:r>
        <w:rPr>
          <w:b/>
        </w:rPr>
        <w:t>Tal como está en la fuente:</w:t>
      </w:r>
      <w:r>
        <w:t xml:space="preserve"> toda la armadura de Dios, para que podáis estar firmes contra las asechanzas del diablo</w:t>
      </w:r>
      <w:r>
        <w:t>;</w:t>
      </w:r>
    </w:p>
    <w:p>
      <w:pPr>
        <w:pStyle w:val="ListBullet"/>
      </w:pPr>
      <w:r>
        <w:rPr>
          <w:b/>
        </w:rPr>
        <w:t>refugiarse en Dios:</w:t>
      </w:r>
      <w:r>
        <w:t xml:space="preserve"> «Si el Demonio te incita al mal, busca refugio en Alá»</w:t>
      </w:r>
      <w:r>
        <w:t xml:space="preserve"> [original: «وَإِمَّا يَنزَغَنَّكَ مِنَ ٱلشَّيْطَٰنِ نَزْغٌۭ فَٱسْتَعِذْ بِٱللَّهِ»]</w:t>
      </w:r>
      <w:r>
        <w:t xml:space="preserve"> (Corán 7:200)</w:t>
      </w:r>
      <w:r>
        <w:br/>
      </w:r>
      <w:r>
        <w:rPr>
          <w:b/>
        </w:rPr>
        <w:t>leída en su fuente · Corán 7:200</w:t>
      </w:r>
      <w:r>
        <w:br/>
      </w:r>
      <w:r>
        <w:rPr>
          <w:b/>
        </w:rPr>
        <w:t>Original donde está:</w:t>
      </w:r>
      <w:r>
        <w:t xml:space="preserve"> coran_arabe_tanzil_uthmani_texto_corrido.txt</w:t>
      </w:r>
      <w:r>
        <w:br/>
      </w:r>
      <w:r>
        <w:t>El pasaje literal no está en el archivo de pasajes con este comienzo; la auditoría lo halló en ese original.</w:t>
      </w:r>
      <w:r>
        <w:t>; y «Cuando los que temen a Alá sufren una aparición del Demonio, se dejan amonestar y ven claro»</w:t>
      </w:r>
      <w:r>
        <w:t xml:space="preserve"> [original: «إِنَّ ٱلَّذِينَ ٱتَّقَوْا۟ إِذَا مَسَّهُمْ طَٰٓئِفٌۭ مِّنَ ٱلشَّيْطَٰنِ تَذَكَّرُوا۟ فَإِذَا هُم مُّبْصِرُونَ»]</w:t>
      </w:r>
      <w:r>
        <w:t xml:space="preserve"> (Corán 7:201)</w:t>
      </w:r>
      <w:r>
        <w:br/>
      </w:r>
      <w:r>
        <w:rPr>
          <w:b/>
        </w:rPr>
        <w:t>leída en su fuente · Corán 7:201</w:t>
      </w:r>
      <w:r>
        <w:br/>
      </w:r>
      <w:r>
        <w:rPr>
          <w:b/>
        </w:rPr>
        <w:t>Original donde está:</w:t>
      </w:r>
      <w:r>
        <w:t xml:space="preserve"> coran_arabe_tanzil_uthmani_texto_corrido.txt</w:t>
      </w:r>
      <w:r>
        <w:br/>
      </w:r>
      <w:r>
        <w:t>El pasaje literal no está en el archivo de pasajes con este comienzo; la auditoría lo halló en ese original.</w:t>
      </w:r>
      <w:r>
        <w:t>;</w:t>
      </w:r>
    </w:p>
    <w:p>
      <w:pPr>
        <w:pStyle w:val="ListBullet"/>
      </w:pPr>
      <w:r>
        <w:rPr>
          <w:b/>
        </w:rPr>
        <w:t>no consentir:</w:t>
      </w:r>
      <w:r>
        <w:t xml:space="preserve"> «Él no puede nada contra los que creen y confían en su Señor. Sólo tiene poder contra los que traban amistad con él»</w:t>
      </w:r>
      <w:r>
        <w:t xml:space="preserve"> [original: «إِنَّهُۥ لَيْسَ لَهُۥ سُلْطَٰنٌ عَلَى ٱلَّذِينَ ءَامَنُوا۟ وَعَلَىٰ رَبِّهِمْ يَتَوَكَّلُونَ إِنَّمَا سُلْطَٰنُهُۥ عَلَى ٱلَّذِينَ يَتَوَلَّوْنَهُۥ»]</w:t>
      </w:r>
      <w:r>
        <w:t xml:space="preserve"> (Corán 16:99-100, traducción de Julio Cortés)</w:t>
      </w:r>
      <w:r>
        <w:br/>
      </w:r>
      <w:r>
        <w:rPr>
          <w:b/>
        </w:rPr>
        <w:t>leída en su fuente · Corán 16:99-100,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w:t>
      </w:r>
    </w:p>
    <w:p>
      <w:pPr>
        <w:pStyle w:val="ListBullet"/>
      </w:pPr>
      <w:r>
        <w:rPr>
          <w:b/>
        </w:rPr>
        <w:t>la sabiduría:</w:t>
      </w:r>
      <w:r>
        <w:t xml:space="preserve"> ante el ejército de Mara, que el mundo no vence, el Buda dice: «lo romperé con la sabiduría, como una piedra rompe una vasija sin cocer»</w:t>
      </w:r>
      <w:r>
        <w:t xml:space="preserve"> [original: «Taṁ te paññāya bhecchāmi, āmaṁ pattaṁva asmanā»]</w:t>
      </w:r>
      <w:r>
        <w:t xml:space="preserve"> (Sutta Nipata 3.2)</w:t>
      </w:r>
      <w:r>
        <w:br/>
      </w:r>
      <w:r>
        <w:rPr>
          <w:b/>
        </w:rPr>
        <w:t>leída en su fuente · Sutta Nipata 3.2</w:t>
      </w:r>
      <w:r>
        <w:br/>
      </w:r>
      <w:r>
        <w:rPr>
          <w:b/>
        </w:rPr>
        <w:t>Archivo leído:</w:t>
      </w:r>
      <w:r>
        <w:t xml:space="preserve"> suttacentral_snp3.2_pali_texto_corrido.txt (reparacion_citas\suttacentral_snp3.2_pali_texto_corrido.txt) · contraste del archivo de pasajes: ✔</w:t>
      </w:r>
      <w:r>
        <w:br/>
      </w:r>
      <w:r>
        <w:rPr>
          <w:b/>
        </w:rPr>
        <w:t>Lugar:</w:t>
      </w:r>
      <w:r>
        <w:t xml:space="preserve"> Sutta Nipata 3.2</w:t>
      </w:r>
      <w:r>
        <w:br/>
      </w:r>
      <w:r>
        <w:rPr>
          <w:b/>
        </w:rPr>
        <w:t>Tal como está en la fuente:</w:t>
      </w:r>
      <w:r>
        <w:t xml:space="preserve"> Taṁ te paññāya bhecchāmi, āmaṁ pattaṁva asmanā</w:t>
      </w:r>
      <w:r>
        <w:t>;</w:t>
      </w:r>
    </w:p>
    <w:p>
      <w:pPr>
        <w:pStyle w:val="ListBullet"/>
      </w:pPr>
      <w:r>
        <w:rPr>
          <w:b/>
        </w:rPr>
        <w:t>cerrar las tres puertas:</w:t>
      </w:r>
      <w:r>
        <w:t xml:space="preserve"> «Triple es esta puerta del infierno, que destruye el alma: el deseo, la ira y la codicia; por eso hay que dejar las tres»</w:t>
      </w:r>
      <w:r>
        <w:t xml:space="preserve"> [original: «tri-vidhaṃ narakasyedaṃ dvāraṃ nāśanam ātmanaḥ kāmaḥ krodhas tathā lobhas tasmād etat trayaṃ tyajet»]</w:t>
      </w:r>
      <w:r>
        <w:t xml:space="preserve"> (Bhagavad Gita 16.21)</w:t>
      </w:r>
      <w:r>
        <w:br/>
      </w:r>
      <w:r>
        <w:rPr>
          <w:b/>
        </w:rPr>
        <w:t>leída en su fuente · Bhagavad Gita 16.21</w:t>
      </w:r>
      <w:r>
        <w:br/>
      </w:r>
      <w:r>
        <w:rPr>
          <w:b/>
        </w:rPr>
        <w:t>Archivo leído:</w:t>
      </w:r>
      <w:r>
        <w:t xml:space="preserve"> bg_sanscrito_gretil_comm.txt (c4\bg_sanscrito_gretil_comm.txt) · contraste del archivo de pasajes: ✔</w:t>
      </w:r>
      <w:r>
        <w:br/>
      </w:r>
      <w:r>
        <w:rPr>
          <w:b/>
        </w:rPr>
        <w:t>Lugar:</w:t>
      </w:r>
      <w:r>
        <w:t xml:space="preserve"> Bhagavad Gita 16.21</w:t>
      </w:r>
      <w:r>
        <w:br/>
      </w:r>
      <w:r>
        <w:rPr>
          <w:b/>
        </w:rPr>
        <w:t>Tal como está en la fuente:</w:t>
      </w:r>
      <w:r>
        <w:t xml:space="preserve"> tri-vidhaṃ narakasyedaṃ dvāraṃ nāśanam ātmanaḥ kāmaḥ krodhas tathā lobhas tasmād etat trayaṃ tyajet</w:t>
      </w:r>
      <w:r>
        <w:t>;</w:t>
      </w:r>
    </w:p>
    <w:p>
      <w:pPr>
        <w:pStyle w:val="ListBullet"/>
      </w:pPr>
      <w:r>
        <w:rPr>
          <w:b/>
        </w:rPr>
        <w:t>y el conocimiento, como medicina:</w:t>
      </w:r>
      <w:r>
        <w:t xml:space="preserve"> a Noé se le explicaron «todas las medicinas de sus males, junto con sus seducciones», para que pudiera curarlos</w:t>
      </w:r>
      <w:r>
        <w:t xml:space="preserve"> [original: «we explained to Noah all the medicines of their diseases, together with their seductions, how he might heal them»]</w:t>
      </w:r>
      <w:r>
        <w:t xml:space="preserve"> (Jub 10:12)</w:t>
      </w:r>
      <w:r>
        <w:t>.</w:t>
      </w:r>
    </w:p>
    <w:p>
      <w:r>
        <w:t>Y el criterio de siempre: probar los espíritus (</w:t>
      </w:r>
      <w:r>
        <w:t>1.3</w:t>
      </w:r>
      <w:r>
        <w:t>) y mirar los frutos (</w:t>
      </w:r>
      <w:r>
        <w:t>0.5</w:t>
      </w:r>
      <w:r>
        <w:t>).</w:t>
      </w:r>
    </w:p>
    <w:p>
      <w:r>
        <w:t>[petición de Kiko del 5-oct; 1 Enoc 10, 15 y 16 (Charles, 1917); Jub 10:11-12 (Charles, 1902); Reina-Valera Antigua; Corán, traducción de Julio Cortés; Sutta Nipata 3.2 (SuttaCentral, pali); Bhagavad Gita 16.21 (GRETIL)]</w:t>
      </w:r>
    </w:p>
    <w:p>
      <w:r>
        <w:rPr>
          <w:b/>
        </w:rPr>
        <w:t>Conclusión, lo que arrojan los datos:</w:t>
      </w:r>
      <w:r>
        <w:t xml:space="preserve"> según los textos, los ángeles caídos están atados hasta el juicio, pero sus espíritus y los ángeles de Satán quedaron en la tierra. Obran sin cuerpo propio: susurran, seducen, toman muchas formas, se disfrazan de luz y actúan también a través de hombres. Y la Biblia, el Corán, el budismo y la Gita coinciden en el remedio: velar, no darles sitio, conocer sus maniobras, refugiarse en Dios, cerrar la puerta al deseo, la ira y la codicia, y no consentir, porque su poder es sobre quienes traban amistad con ellos.</w:t>
      </w:r>
    </w:p>
    <w:p>
      <w:r>
        <w:rPr>
          <w:b/>
        </w:rPr>
        <w:t>Lectura del autor:</w:t>
      </w:r>
      <w:r>
        <w:t xml:space="preserve"> el mal convive con nosotros. No se le ve, porque no tiene cuerpo propio; se le reconoce por sus frutos. Sus susurros entran por el deseo, la ira y la codicia, y casi nunca se presentan como mal, sino como luz, como consejo o como necesidad. Por eso la vigilancia empieza por uno mismo: el susurro puede pasar por cualquiera, también por quien lee y por quien escribe, y aquí no se señala a nadie (</w:t>
      </w:r>
      <w:r>
        <w:t>2.5</w:t>
      </w:r>
      <w:r>
        <w:t>). Lo que el Corán dice del Demonio, que solo tiene poder sobre quienes traban amistad con él, es lo mismo que La Boétie dijo del tirano (</w:t>
      </w:r>
      <w:r>
        <w:t>4.1</w:t>
      </w:r>
      <w:r>
        <w:t>): sin consentimiento no hay dominio. Quien no le da su sí, lo deja sin fuerza.</w:t>
      </w:r>
    </w:p>
    <w:p>
      <w:r>
        <w:t>Y cuando algo va contra la ley natural, la obra no supone mala fe en quienes lo decidieron: quizá cayeron en esos susurros creyendo que elegían algo lícito. Es lectura, no dato, porque nadie puede saber quién fue influido. Y no quita la responsabilidad: quien decide responde de lo que hace, como dejó sentado Núremberg (</w:t>
      </w:r>
      <w:r>
        <w:t>1.4</w:t>
      </w:r>
      <w:r>
        <w:t>). Lo que se suaviza es el juicio de la intención, no el del acto: se juzgan los actos y sus frutos, y la puerta queda abierta para rectificar: «no quiero la muerte del impío, sino que se torne el impío de su camino, y que viva»</w:t>
      </w:r>
      <w:r>
        <w:t xml:space="preserve"> (Ez 33:11)</w:t>
      </w:r>
      <w:r>
        <w:br/>
      </w:r>
      <w:r>
        <w:rPr>
          <w:b/>
        </w:rPr>
        <w:t>leída en su fuente · Ez 33:11</w:t>
      </w:r>
      <w:r>
        <w:br/>
      </w:r>
      <w:r>
        <w:rPr>
          <w:b/>
        </w:rPr>
        <w:t>Archivo leído:</w:t>
      </w:r>
      <w:r>
        <w:t xml:space="preserve"> spaRV1909_vpl.txt (biblia_rv1909\spaRV1909_vpl.txt) · contraste del archivo de pasajes: ✔</w:t>
      </w:r>
      <w:r>
        <w:br/>
      </w:r>
      <w:r>
        <w:rPr>
          <w:b/>
        </w:rPr>
        <w:t>Lugar:</w:t>
      </w:r>
      <w:r>
        <w:t xml:space="preserve"> Ez 33:11 (RV1909)</w:t>
      </w:r>
      <w:r>
        <w:br/>
      </w:r>
      <w:r>
        <w:rPr>
          <w:b/>
        </w:rPr>
        <w:t>Tal como está en la fuente:</w:t>
      </w:r>
      <w:r>
        <w:t xml:space="preserve"> Diles: Vivo yo, dice el Señor Jehová, que no quiero la muerte del impío, sino que se torne el impío de su camino, y que viva. Volveos, volveos de vuestros malos caminos: ¿y por qué moriréis, oh casa de Israel?</w:t>
      </w:r>
      <w:r>
        <w:t>.</w:t>
      </w:r>
    </w:p>
    <w:p>
      <w:r>
        <w:rPr>
          <w:b/>
        </w:rPr>
        <w:t>Lectura del autor, sobre el relato de Génesis (</w:t>
      </w:r>
      <w:r>
        <w:rPr>
          <w:b/>
        </w:rPr>
        <w:t>4.2</w:t>
      </w:r>
      <w:r>
        <w:rPr>
          <w:b/>
        </w:rPr>
        <w:t>): ¿fue legítimo el susurro?</w:t>
      </w:r>
      <w:r>
        <w:t xml:space="preserve"> No, por cuatro razones, que son las de la vara (</w:t>
      </w:r>
      <w:r>
        <w:t>0.5</w:t>
      </w:r>
      <w:r>
        <w:t>) y las del 1.9. Una: consentimiento sin información, porque la consecuencia se niega sin un dato</w:t>
      </w:r>
      <w:r>
        <w:t xml:space="preserve"> (Gn 3:4)</w:t>
      </w:r>
      <w:r>
        <w:t>. Dos: sin autoridad, porque quien propone no es el autor de la orden y promete lo que solo la autoridad original podría dar: «seréis como dioses»</w:t>
      </w:r>
      <w:r>
        <w:t xml:space="preserve"> (Gn 3:5)</w:t>
      </w:r>
      <w:r>
        <w:t>. Tres: un motivo atribuido y no comprobable, «Mas sabe Dios que…»</w:t>
      </w:r>
      <w:r>
        <w:t xml:space="preserve"> (Gn 3:5)</w:t>
      </w:r>
      <w:r>
        <w:t>. Cuatro: los frutos, que son miedo, escondite, acusación en cadena y expulsión</w:t>
      </w:r>
      <w:r>
        <w:t xml:space="preserve"> (Gn 3:7-24)</w:t>
      </w:r>
      <w:r>
        <w:t>: daña, y no hay reciprocidad ni beneficio mutuo. Además, el texto no muestra ninguna necesidad: tenían todos los demás árboles, «De todo árbol del huerto comerás»</w:t>
      </w:r>
      <w:r>
        <w:t xml:space="preserve"> (Gn 2:16)</w:t>
      </w:r>
      <w:r>
        <w:br/>
      </w:r>
      <w:r>
        <w:rPr>
          <w:b/>
        </w:rPr>
        <w:t>leída en su fuente · Gn 2:16</w:t>
      </w:r>
      <w:r>
        <w:br/>
      </w:r>
      <w:r>
        <w:rPr>
          <w:b/>
        </w:rPr>
        <w:t>Archivo leído:</w:t>
      </w:r>
      <w:r>
        <w:t xml:space="preserve"> spaRV1909_texto_corrido.txt (biblia_rv1909\spaRV1909_texto_corrido.txt) · contraste del archivo de pasajes: ✔</w:t>
      </w:r>
      <w:r>
        <w:br/>
      </w:r>
      <w:r>
        <w:rPr>
          <w:b/>
        </w:rPr>
        <w:t>Lugar:</w:t>
      </w:r>
      <w:r>
        <w:t xml:space="preserve"> Gn 2:16</w:t>
      </w:r>
      <w:r>
        <w:br/>
      </w:r>
      <w:r>
        <w:rPr>
          <w:b/>
        </w:rPr>
        <w:t>Tal como está en la fuente:</w:t>
      </w:r>
      <w:r>
        <w:t xml:space="preserve"> De todo árbol del huerto comerás</w:t>
      </w:r>
      <w:r>
        <w:t>; lo que mueve es el deseo, «agradable á los ojos»</w:t>
      </w:r>
      <w:r>
        <w:t xml:space="preserve"> (Gn 3:6)</w:t>
      </w:r>
      <w:r>
        <w:t>, y la sospecha sobre el motivo de Dios. El susurro no cubre una necesidad: la fabrica.</w:t>
      </w:r>
    </w:p>
    <w:p>
      <w:r>
        <w:rPr>
          <w:b/>
        </w:rPr>
        <w:t>La «criba».</w:t>
      </w:r>
      <w:r>
        <w:t xml:space="preserve"> Para el autor, la vida es un juego, y aquello fue una parte más de él, con una criba en la que solo pasan los de más nivel. Esa criba choca con dos cosas: con que nadie es más ni menos que otro, y con el huerto, que no tenía criba: «De todo árbol del huerto comerás»</w:t>
      </w:r>
      <w:r>
        <w:t xml:space="preserve"> (Gn 2:16)</w:t>
      </w:r>
      <w:r>
        <w:br/>
      </w:r>
      <w:r>
        <w:rPr>
          <w:b/>
        </w:rPr>
        <w:t>leída en su fuente · Gn 2:16</w:t>
      </w:r>
      <w:r>
        <w:br/>
      </w:r>
      <w:r>
        <w:rPr>
          <w:b/>
        </w:rPr>
        <w:t>Archivo leído:</w:t>
      </w:r>
      <w:r>
        <w:t xml:space="preserve"> spaRV1909_texto_corrido.txt (biblia_rv1909\spaRV1909_texto_corrido.txt) · contraste del archivo de pasajes: ✔</w:t>
      </w:r>
      <w:r>
        <w:br/>
      </w:r>
      <w:r>
        <w:rPr>
          <w:b/>
        </w:rPr>
        <w:t>Lugar:</w:t>
      </w:r>
      <w:r>
        <w:t xml:space="preserve"> Gn 2:16</w:t>
      </w:r>
      <w:r>
        <w:br/>
      </w:r>
      <w:r>
        <w:rPr>
          <w:b/>
        </w:rPr>
        <w:t>Tal como está en la fuente:</w:t>
      </w:r>
      <w:r>
        <w:t xml:space="preserve"> De todo árbol del huerto comerás</w:t>
      </w:r>
      <w:r>
        <w:t>. Un juego con criba selecciona por poder, que es la lógica de Nimrod, «vigoroso cazador delante de Jehová»</w:t>
      </w:r>
      <w:r>
        <w:t xml:space="preserve"> (Gn 10:9)</w:t>
      </w:r>
      <w:r>
        <w:br/>
      </w:r>
      <w:r>
        <w:rPr>
          <w:b/>
        </w:rPr>
        <w:t>leída en su fuente · Gn 10:9</w:t>
      </w:r>
      <w:r>
        <w:br/>
      </w:r>
      <w:r>
        <w:rPr>
          <w:b/>
        </w:rPr>
        <w:t>Archivo leído:</w:t>
      </w:r>
      <w:r>
        <w:t xml:space="preserve"> spaRV1909_texto_corrido.txt (biblia_rv1909\spaRV1909_texto_corrido.txt) · contraste del archivo de pasajes: ✔</w:t>
      </w:r>
      <w:r>
        <w:br/>
      </w:r>
      <w:r>
        <w:rPr>
          <w:b/>
        </w:rPr>
        <w:t>Lugar:</w:t>
      </w:r>
      <w:r>
        <w:t xml:space="preserve"> Gn 10:9</w:t>
      </w:r>
      <w:r>
        <w:br/>
      </w:r>
      <w:r>
        <w:rPr>
          <w:b/>
        </w:rPr>
        <w:t>Tal como está en la fuente:</w:t>
      </w:r>
      <w:r>
        <w:t xml:space="preserve"> vigoroso cazador delante de Jehová</w:t>
      </w:r>
      <w:r>
        <w:t>, y la de Babel: «hagámonos un nombre»</w:t>
      </w:r>
      <w:r>
        <w:t xml:space="preserve"> (Gn 11:4)</w:t>
      </w:r>
      <w:r>
        <w:t>. Es lectura, no dato: el texto no habla de niveles ni de un juego.</w:t>
      </w:r>
    </w:p>
    <w:p>
      <w:r>
        <w:t>[palabras de Kiko, 8-oct-2026; 04e apartado 5; 04n E5; borrador B7, 9-oct]</w:t>
      </w:r>
    </w:p>
    <w:p>
      <w:pPr>
        <w:pStyle w:val="Heading3"/>
      </w:pPr>
      <w:r>
        <w:t>Anexo al apartado 4.3. El extremo con cara de ángel: la línea de la virtud</w:t>
      </w:r>
    </w:p>
    <w:p>
      <w:pPr>
        <w:pBdr>
          <w:left w:val="single" w:sz="24" w:space="6" w:color="E2DED6"/>
        </w:pBdr>
        <w:shd w:val="clear" w:color="auto" w:fill="F1EEE8"/>
        <w:spacing w:before="80" w:after="160"/>
        <w:ind w:left="142" w:right="142"/>
      </w:pPr>
      <w:r>
        <w:rPr>
          <w:b/>
        </w:rPr>
        <w:t>La idea: el mal casi nunca se presenta como mal, sino como un extremo con cara de luz; y la virtud, para quien la midió con más cuidado, no está entre el ángel y el demonio, sino entre dos vicios.</w:t>
      </w:r>
    </w:p>
    <w:p>
      <w:r>
        <w:rPr>
          <w:b/>
        </w:rPr>
        <w:t xml:space="preserve">Lo que ya dicen los textos de </w:t>
      </w:r>
      <w:r>
        <w:rPr>
          <w:b/>
        </w:rPr>
        <w:t>4.3</w:t>
      </w:r>
      <w:r>
        <w:rPr>
          <w:b/>
        </w:rPr>
        <w:t>.</w:t>
      </w:r>
      <w:r>
        <w:t xml:space="preserve"> «El mismo Satanás se transfigura en ángel de luz»</w:t>
      </w:r>
      <w:r>
        <w:t xml:space="preserve"> (2 Co 11:14)</w:t>
      </w:r>
      <w:r>
        <w:br/>
      </w:r>
      <w:r>
        <w:rPr>
          <w:b/>
        </w:rPr>
        <w:t>leída en su fuente · 2 Co 11:14</w:t>
      </w:r>
      <w:r>
        <w:br/>
      </w:r>
      <w:r>
        <w:rPr>
          <w:b/>
        </w:rPr>
        <w:t>Archivo leído:</w:t>
      </w:r>
      <w:r>
        <w:t xml:space="preserve"> spaRV1909_texto_corrido.txt (biblia_rv1909\spaRV1909_texto_corrido.txt) · contraste del archivo de pasajes: ✔</w:t>
      </w:r>
      <w:r>
        <w:br/>
      </w:r>
      <w:r>
        <w:rPr>
          <w:b/>
        </w:rPr>
        <w:t>Lugar:</w:t>
      </w:r>
      <w:r>
        <w:t xml:space="preserve"> 2 Co 11:14</w:t>
      </w:r>
      <w:r>
        <w:br/>
      </w:r>
      <w:r>
        <w:rPr>
          <w:b/>
        </w:rPr>
        <w:t>Tal como está en la fuente:</w:t>
      </w:r>
      <w:r>
        <w:t xml:space="preserve"> el mismo Satanás se transfigura en ángel de luz</w:t>
      </w:r>
      <w:r>
        <w:t>. Sus susurros entran por el deseo, la ira y la codicia, y casi nunca se presentan como mal, sino como luz, como consejo o como necesidad (</w:t>
      </w:r>
      <w:r>
        <w:t>4.3</w:t>
      </w:r>
      <w:r>
        <w:t>).</w:t>
      </w:r>
    </w:p>
    <w:p>
      <w:r>
        <w:rPr>
          <w:b/>
        </w:rPr>
        <w:t>Dónde está la virtud, según Aristóteles.</w:t>
      </w:r>
      <w:r>
        <w:t xml:space="preserve"> En la </w:t>
      </w:r>
      <w:r>
        <w:rPr>
          <w:i/>
        </w:rPr>
        <w:t>Ética a Nicómaco</w:t>
      </w:r>
      <w:r>
        <w:t>, el filósofo no pone la virtud entre el bien y el mal, sino entre dos males:</w:t>
      </w:r>
    </w:p>
    <w:p>
      <w:pPr>
        <w:pStyle w:val="ListBullet"/>
      </w:pPr>
      <w:r>
        <w:t>«La virtud es, pues, un hábito de elegir, que consiste en un término medio relativo a nosotros, determinado por la razón y tal como lo determinaría el prudente. Y es un término medio entre dos vicios: uno por exceso y otro por defecto»</w:t>
      </w:r>
      <w:r>
        <w:t xml:space="preserve"> [original: «ἔστιν ἄρα ἡ ἀρετὴ ἕξις προαιρετική, ἐν μεσότητι οὖσα τῇ πρὸς ἡμᾶς, ὡρισμένῃ λόγῳ καὶ ᾧ ἂν ὁ φρόνιμος ὁρίσειεν. μεσότης δὲ δύο κακιῶν, τῆς μὲν καθʼ ὑπερβολὴν τῆς δὲ κατʼ ἔλλειψιν»]</w:t>
      </w:r>
      <w:r>
        <w:t xml:space="preserve"> (Aristóteles, Ética a Nicómaco II, 6, 1106b36 a 1107a2, en el griego de la edición de Bywater (Oxford, 1894), Perseus Digital Library; traducción de la edición)</w:t>
      </w:r>
      <w:r>
        <w:br/>
      </w:r>
      <w:r>
        <w:rPr>
          <w:b/>
        </w:rPr>
        <w:t>leída en su fuente · Aristóteles, Ética a Nicómaco II, 6, 1106b36 a 1107a2, en el griego de la edición de Bywat</w:t>
      </w:r>
      <w:r>
        <w:br/>
      </w:r>
      <w:r>
        <w:rPr>
          <w:b/>
        </w:rPr>
        <w:t>Original donde está:</w:t>
      </w:r>
      <w:r>
        <w:t xml:space="preserve"> perseus_aristoteles_etica_nicomaquea_grc.xml</w:t>
      </w:r>
      <w:r>
        <w:br/>
      </w:r>
      <w:r>
        <w:t>El pasaje literal no está en el archivo de pasajes con este comienzo; la auditoría lo halló en ese original.</w:t>
      </w:r>
      <w:r>
        <w:t>;</w:t>
      </w:r>
    </w:p>
    <w:p>
      <w:pPr>
        <w:pStyle w:val="ListBullet"/>
      </w:pPr>
      <w:r>
        <w:t>«errar es posible de muchas maneras […]; acertar, de una sola»</w:t>
      </w:r>
      <w:r>
        <w:t xml:space="preserve"> [original: «τὸ μὲν ἁμαρτάνειν πολλαχῶς ἔστιν […], τὸ δὲ κατορθοῦν μοναχῶς»]</w:t>
      </w:r>
      <w:r>
        <w:t xml:space="preserve"> (Aristóteles, Ética a Nicómaco II, 6, 1106b28 a 1106b32, ídem; traducción de la edición)</w:t>
      </w:r>
      <w:r>
        <w:br/>
      </w:r>
      <w:r>
        <w:rPr>
          <w:b/>
        </w:rPr>
        <w:t>leída en su fuente · Aristóteles, Ética a Nicómaco II, 6, 1106b28 a 1106b32, ídem; traducción de la edición</w:t>
      </w:r>
      <w:r>
        <w:br/>
      </w:r>
      <w:r>
        <w:rPr>
          <w:b/>
        </w:rPr>
        <w:t>Original donde está:</w:t>
      </w:r>
      <w:r>
        <w:t xml:space="preserve"> perseus_aristoteles_etica_nicomaquea_grc.xml</w:t>
      </w:r>
      <w:r>
        <w:br/>
      </w:r>
      <w:r>
        <w:t>El pasaje literal no está en el archivo de pasajes con este comienzo; la auditoría lo halló en ese original.</w:t>
      </w:r>
      <w:r>
        <w:t>;</w:t>
      </w:r>
    </w:p>
    <w:p>
      <w:pPr>
        <w:pStyle w:val="ListBullet"/>
      </w:pPr>
      <w:r>
        <w:t>y da dos ejemplos: en el miedo y la confianza, el término medio es la valentía, y los extremos, el temerario y el cobarde; en el dar y recibir dinero, es la generosidad, y los extremos, el derroche y la tacañería</w:t>
      </w:r>
      <w:r>
        <w:t xml:space="preserve"> [original: «ἀνδρεία μεσότης […] θρασύς […] δειλός»; «ἐλευθεριότης […] ἀσωτία καὶ ἀνελευθερία»]</w:t>
      </w:r>
      <w:r>
        <w:t xml:space="preserve"> (Aristóteles, Ética a Nicómaco II, 7, 1107a33 a 1107b8, en el griego de la edición de Bywater (Oxford, 1894), Perseus Digital Library; traducción de la edición)</w:t>
      </w:r>
      <w:r>
        <w:t>.</w:t>
      </w:r>
    </w:p>
    <w:p>
      <w:r>
        <w:rPr>
          <w:b/>
        </w:rPr>
        <w:t>Conclusión, lo que arrojan los datos:</w:t>
      </w:r>
      <w:r>
        <w:t xml:space="preserve"> en Aristóteles, los dos polos de una virtud no son «el bien» y «el mal», sino dos vicios, uno por defecto y otro por exceso. El centro no es un punto fijo («relativo a nosotros»): lo fija la razón del prudente. Y hay muchas maneras de fallar y una sola de acertar. Los textos de </w:t>
      </w:r>
      <w:r>
        <w:t>4.3</w:t>
      </w:r>
      <w:r>
        <w:t xml:space="preserve"> dicen que el mal se presenta como luz. Las dos cosas encajan: el extremo de algo bueno, llevado lejos, se parece a la virtud, pero ya no lo es.</w:t>
      </w:r>
    </w:p>
    <w:p>
      <w:r>
        <w:rPr>
          <w:b/>
        </w:rPr>
        <w:t>Lectura del autor</w:t>
      </w:r>
      <w:r>
        <w:t xml:space="preserve"> (palabra del autor, 8-oct-2026; es lectura, no dato): cada persona tiene varias caras, como padre, como marido, como hermano, como trabajador, y en cada una hay un dial entre dos extremos. Cuando consigue llevarlas todas al centro, dice, hay equilibrio y armonía, y a eso lo llama espiritualidad y estar alineado con la ley de Dios; cuanto más se aleja un dial del centro, menos coherente y menos alineada está la persona. Como lo que se hace una y otra vez forma a quien lo hace (</w:t>
      </w:r>
      <w:r>
        <w:t>4.4</w:t>
      </w:r>
      <w:r>
        <w:t>), lo que mueve el dial es lo que uno repite. «El juego de la vida consiste en saber bailar, pero nunca dejarse mucho del centro.» Aristóteles habla de la virtud de una persona; llevar la misma idea a las leyes y a las instituciones es una extensión del autor que la obra no usa todavía como medida.</w:t>
      </w:r>
    </w:p>
    <w:p>
      <w:r>
        <w:t xml:space="preserve">[petición de Kiko del 8-oct-2026; 2 Co 11:14 y 4.3, ya en el capítulo; Aristóteles, </w:t>
      </w:r>
      <w:r>
        <w:rPr>
          <w:i/>
        </w:rPr>
        <w:t>Ética a Nicómaco</w:t>
      </w:r>
      <w:r>
        <w:t xml:space="preserve"> II, 6 y 7, leído el 8-oct-2026 en el griego de la edición de Bywater (Perseus Digital Library), con los siete fragmentos griegos comprobados letra a letra por programa; lectura del autor, palabras del autor, 8-oct-2026]</w:t>
      </w:r>
    </w:p>
    <w:p>
      <w:pPr>
        <w:pStyle w:val="Heading2"/>
      </w:pPr>
      <w:r>
        <w:t>4.4 El padre de la mentira</w:t>
      </w:r>
    </w:p>
    <w:p>
      <w:pPr>
        <w:pBdr>
          <w:left w:val="single" w:sz="24" w:space="6" w:color="E2DED6"/>
        </w:pBdr>
        <w:shd w:val="clear" w:color="auto" w:fill="F1EEE8"/>
        <w:spacing w:before="80" w:after="160"/>
        <w:ind w:left="142" w:right="142"/>
      </w:pPr>
      <w:r>
        <w:rPr>
          <w:b/>
        </w:rPr>
        <w:t>La idea: el Evangelio llama al diablo «padre de mentira», y otras tradiciones ponen también la mentira del lado del mal. La obra usa esa imagen solo como lectura del autor, con una sola fórmula: «apunta hacia».</w:t>
      </w:r>
    </w:p>
    <w:p>
      <w:r>
        <w:rPr>
          <w:b/>
        </w:rPr>
        <w:t>El texto.</w:t>
      </w:r>
      <w:r>
        <w:t xml:space="preserve"> «Vosotros de vuestro padre el diablo sois […]. Él, homicida ha sido desde el principio, y no permaneció en la verdad, porque no hay verdad en él. Cuando habla mentira, de suyo habla; porque es mentiroso, y padre de mentira»</w:t>
      </w:r>
      <w:r>
        <w:t xml:space="preserve"> [original: «ὅταν λαλῇ τὸ ψεῦδος, ἐκ τῶν ἰδίων λαλεῖ, ὅτι ψεύστης ἐστὶν καὶ ὁ πατὴρ αὐτοῦ»]</w:t>
      </w:r>
      <w:r>
        <w:t xml:space="preserve"> (Jn 8:44)</w:t>
      </w:r>
      <w:r>
        <w:br/>
      </w:r>
      <w:r>
        <w:rPr>
          <w:b/>
        </w:rPr>
        <w:t>leída en su fuente · Jn 8:44</w:t>
      </w:r>
      <w:r>
        <w:br/>
      </w:r>
      <w:r>
        <w:rPr>
          <w:b/>
        </w:rPr>
        <w:t>Archivo leído:</w:t>
      </w:r>
      <w:r>
        <w:t xml:space="preserve"> rva_jn8.txt (c4_44\rva_jn8.txt) · contraste del archivo de pasajes: ✔</w:t>
      </w:r>
      <w:r>
        <w:br/>
      </w:r>
      <w:r>
        <w:rPr>
          <w:b/>
        </w:rPr>
        <w:t>Lugar:</w:t>
      </w:r>
      <w:r>
        <w:t xml:space="preserve"> v. 44</w:t>
      </w:r>
      <w:r>
        <w:br/>
      </w:r>
      <w:r>
        <w:rPr>
          <w:b/>
        </w:rPr>
        <w:t>Dirección:</w:t>
      </w:r>
      <w:r>
        <w:t xml:space="preserve"> </w:t>
      </w:r>
      <w:r>
        <w:t>https://www.biblegateway.com/passage/?search=John+8%3A44&amp;version=RVA</w:t>
      </w:r>
      <w:r>
        <w:br/>
      </w:r>
      <w:r>
        <w:rPr>
          <w:b/>
        </w:rPr>
        <w:t>Tal como está en la fuente:</w:t>
      </w:r>
      <w:r>
        <w:t xml:space="preserve"> Vosotros de vuestro padre el diablo sois, y los deseos de vuestro padre queréis cumplir. Él, homicida ha sido desde el principio, y no permaneció en la verdad, porque no hay verdad en él. Cuando habla mentira, de suyo habla; porque es mentiroso, y padre de mentira.</w:t>
      </w:r>
      <w:r>
        <w:t>.</w:t>
      </w:r>
    </w:p>
    <w:p>
      <w:r>
        <w:rPr>
          <w:b/>
        </w:rPr>
        <w:t>La mentira, del lado del mal, en otras tradiciones:</w:t>
      </w:r>
    </w:p>
    <w:p>
      <w:pPr>
        <w:pStyle w:val="ListBullet"/>
      </w:pPr>
      <w:r>
        <w:rPr>
          <w:b/>
        </w:rPr>
        <w:t>Persia:</w:t>
      </w:r>
      <w:r>
        <w:t xml:space="preserve"> de los dos espíritus, «el que siguió la Mentira eligió hacer lo peor»</w:t>
      </w:r>
      <w:r>
        <w:t xml:space="preserve"> [original: «ayå manivå varatâ ýê dregvå acishtâ verezyô»; en la traducción inglesa de avesta.org: «Of these twain Spirits he that followed the Lie chose doing the worst things»]</w:t>
      </w:r>
      <w:r>
        <w:t xml:space="preserve"> (Yasna 30:5)</w:t>
      </w:r>
      <w:r>
        <w:br/>
      </w:r>
      <w:r>
        <w:rPr>
          <w:b/>
        </w:rPr>
        <w:t>leída en su fuente · Yasna 30:5</w:t>
      </w:r>
      <w:r>
        <w:br/>
      </w:r>
      <w:r>
        <w:rPr>
          <w:b/>
        </w:rPr>
        <w:t>Archivo leído:</w:t>
      </w:r>
      <w:r>
        <w:t xml:space="preserve"> yasna_28-34_avestico_avesta_org.html (c4\yasna_28-34_avestico_avesta_org.html) · contraste del archivo de pasajes: ✔</w:t>
      </w:r>
      <w:r>
        <w:br/>
      </w:r>
      <w:r>
        <w:rPr>
          <w:b/>
        </w:rPr>
        <w:t>Lugar:</w:t>
      </w:r>
      <w:r>
        <w:t xml:space="preserve"> Yasna 30:5</w:t>
      </w:r>
      <w:r>
        <w:br/>
      </w:r>
      <w:r>
        <w:rPr>
          <w:b/>
        </w:rPr>
        <w:t>Tal como está en la fuente:</w:t>
      </w:r>
      <w:r>
        <w:t xml:space="preserve"> ayå manivå varatâ ýê dregvå acishtâ verezyô</w:t>
      </w:r>
      <w:r>
        <w:t>;</w:t>
      </w:r>
    </w:p>
    <w:p>
      <w:pPr>
        <w:pStyle w:val="ListBullet"/>
      </w:pPr>
      <w:r>
        <w:rPr>
          <w:b/>
        </w:rPr>
        <w:t>la India:</w:t>
      </w:r>
      <w:r>
        <w:t xml:space="preserve"> los de condición demoníaca dicen que el mundo «no tiene verdad, ni fundamento, ni Señor»</w:t>
      </w:r>
      <w:r>
        <w:t xml:space="preserve"> [original: «asatyam apratiṣṭhaṃ te jagad āhur anīśvaram»]</w:t>
      </w:r>
      <w:r>
        <w:t xml:space="preserve"> (Bhagavad Gita 16.8)</w:t>
      </w:r>
      <w:r>
        <w:br/>
      </w:r>
      <w:r>
        <w:rPr>
          <w:b/>
        </w:rPr>
        <w:t>leída en su fuente · Bhagavad Gita 16.8</w:t>
      </w:r>
      <w:r>
        <w:br/>
      </w:r>
      <w:r>
        <w:rPr>
          <w:b/>
        </w:rPr>
        <w:t>Archivo leído:</w:t>
      </w:r>
      <w:r>
        <w:t xml:space="preserve"> bg_sanscrito_gretil_comm.txt (c4\bg_sanscrito_gretil_comm.txt) · contraste del archivo de pasajes: ✔</w:t>
      </w:r>
      <w:r>
        <w:br/>
      </w:r>
      <w:r>
        <w:rPr>
          <w:b/>
        </w:rPr>
        <w:t>Lugar:</w:t>
      </w:r>
      <w:r>
        <w:t xml:space="preserve"> Bhagavad Gita 16.8</w:t>
      </w:r>
      <w:r>
        <w:br/>
      </w:r>
      <w:r>
        <w:rPr>
          <w:b/>
        </w:rPr>
        <w:t>Tal como está en la fuente:</w:t>
      </w:r>
      <w:r>
        <w:t xml:space="preserve"> asatyam apratiṣṭhaṃ te jagad āhur anīśvaram</w:t>
      </w:r>
      <w:r>
        <w:t>; y la Upanishad responde: «solo la verdad vence, no la mentira»</w:t>
      </w:r>
      <w:r>
        <w:t xml:space="preserve"> [original: «सत्यमेव जयते नानृतं»]</w:t>
      </w:r>
      <w:r>
        <w:t xml:space="preserve"> (Mundaka Upanishad 3.1.6)</w:t>
      </w:r>
      <w:r>
        <w:br/>
      </w:r>
      <w:r>
        <w:rPr>
          <w:b/>
        </w:rPr>
        <w:t>leída en su fuente · Mundaka Upanishad 3.1.6</w:t>
      </w:r>
      <w:r>
        <w:br/>
      </w:r>
      <w:r>
        <w:rPr>
          <w:b/>
        </w:rPr>
        <w:t>Original donde está:</w:t>
      </w:r>
      <w:r>
        <w:t xml:space="preserve"> mundaka_wikisource.html</w:t>
      </w:r>
      <w:r>
        <w:br/>
      </w:r>
      <w:r>
        <w:t>El pasaje literal no está en el archivo de pasajes con este comienzo; la auditoría lo halló en ese original.</w:t>
      </w:r>
      <w:r>
        <w:t>;</w:t>
      </w:r>
    </w:p>
    <w:p>
      <w:pPr>
        <w:pStyle w:val="ListBullet"/>
      </w:pPr>
      <w:r>
        <w:rPr>
          <w:b/>
        </w:rPr>
        <w:t>el budismo:</w:t>
      </w:r>
      <w:r>
        <w:t xml:space="preserve"> «vence al mentiroso con la verdad»</w:t>
      </w:r>
      <w:r>
        <w:t xml:space="preserve"> [original: «saccenālikavādinaṁ»]</w:t>
      </w:r>
      <w:r>
        <w:t xml:space="preserve"> (Dhammapada 223)</w:t>
      </w:r>
      <w:r>
        <w:br/>
      </w:r>
      <w:r>
        <w:rPr>
          <w:b/>
        </w:rPr>
        <w:t>leída en su fuente · Dhammapada 223</w:t>
      </w:r>
      <w:r>
        <w:br/>
      </w:r>
      <w:r>
        <w:rPr>
          <w:b/>
        </w:rPr>
        <w:t>Archivo leído:</w:t>
      </w:r>
      <w:r>
        <w:t xml:space="preserve"> dhp221-234.json; Müller: dhammapada_muller_gutenberg_2017.txt (líneas 951-952) (reparacion_citas\suttacentral_dhammapada_pali_ms_texto_corrido.txt) · contraste del archivo de pasajes: ✔</w:t>
      </w:r>
      <w:r>
        <w:br/>
      </w:r>
      <w:r>
        <w:rPr>
          <w:b/>
        </w:rPr>
        <w:t>Lugar:</w:t>
      </w:r>
      <w:r>
        <w:t xml:space="preserve"> Pali</w:t>
      </w:r>
      <w:r>
        <w:br/>
      </w:r>
      <w:r>
        <w:rPr>
          <w:b/>
        </w:rPr>
        <w:t>Dirección:</w:t>
      </w:r>
      <w:r>
        <w:t xml:space="preserve"> </w:t>
      </w:r>
      <w:r>
        <w:t>https://suttacentral.net/api/bilarasuttas/dhp221-234/sujato?lang=en</w:t>
      </w:r>
      <w:r>
        <w:t xml:space="preserve"> ; </w:t>
      </w:r>
      <w:r>
        <w:t>https://www.gutenberg.org/cache/epub/2017/pg2017.txt</w:t>
      </w:r>
      <w:r>
        <w:br/>
      </w:r>
      <w:r>
        <w:rPr>
          <w:b/>
        </w:rPr>
        <w:t>Tal como está en la fuente:</w:t>
      </w:r>
      <w:r>
        <w:t xml:space="preserve"> Akkodhena jine kodhaṁ, asādhuṁ sādhunā jine; Jine kadariyaṁ dānena, saccenālikavādinaṁ.</w:t>
      </w:r>
      <w:r>
        <w:br/>
      </w:r>
      <w:r>
        <w:rPr>
          <w:b/>
        </w:rPr>
        <w:t>Traducción guardada:</w:t>
      </w:r>
      <w:r>
        <w:t xml:space="preserve"> venza a la ira con la no-ira, al malo con el bien, al avaro con la dádiva, al mentiroso con la verdad</w:t>
      </w:r>
      <w:r>
        <w:t>;</w:t>
      </w:r>
    </w:p>
    <w:p>
      <w:pPr>
        <w:pStyle w:val="ListBullet"/>
      </w:pPr>
      <w:r>
        <w:rPr>
          <w:b/>
        </w:rPr>
        <w:t>el islam:</w:t>
      </w:r>
      <w:r>
        <w:t xml:space="preserve"> «¡Ha venido la Verdad y se ha disipado lo falso! ¡Lo falso tiene que disiparse!»</w:t>
      </w:r>
      <w:r>
        <w:t xml:space="preserve"> [original: «جَآءَ ٱلْحَقُّ وَزَهَقَ ٱلْبَٰطِلُ ۚ إِنَّ ٱلْبَٰطِلَ كَانَ زَهُوقًۭا»]</w:t>
      </w:r>
      <w:r>
        <w:t xml:space="preserve"> (Corán 17:81, traducción de Julio Cortés)</w:t>
      </w:r>
      <w:r>
        <w:br/>
      </w:r>
      <w:r>
        <w:rPr>
          <w:b/>
        </w:rPr>
        <w:t>leída en su fuente · Corán 17:81, traducción de Julio Cortés</w:t>
      </w:r>
      <w:r>
        <w:br/>
      </w:r>
      <w:r>
        <w:rPr>
          <w:b/>
        </w:rPr>
        <w:t>Archivo leído:</w:t>
      </w:r>
      <w:r>
        <w:t xml:space="preserve"> coran_17_81.json (c4\coran_cortes_tanzil_completo.txt) · contraste del archivo de pasajes: ✔</w:t>
      </w:r>
      <w:r>
        <w:br/>
      </w:r>
      <w:r>
        <w:rPr>
          <w:b/>
        </w:rPr>
        <w:t>Lugar:</w:t>
      </w:r>
      <w:r>
        <w:t xml:space="preserve"> Cortés</w:t>
      </w:r>
      <w:r>
        <w:br/>
      </w:r>
      <w:r>
        <w:rPr>
          <w:b/>
        </w:rPr>
        <w:t>Dirección:</w:t>
      </w:r>
      <w:r>
        <w:t xml:space="preserve"> </w:t>
      </w:r>
      <w:r>
        <w:t>https://tanzil.net/trans/es.cortes</w:t>
      </w:r>
      <w:r>
        <w:br/>
      </w:r>
      <w:r>
        <w:rPr>
          <w:b/>
        </w:rPr>
        <w:t>Tal como está en la fuente:</w:t>
      </w:r>
      <w:r>
        <w:t xml:space="preserve"> Y di: «¡Ha venido la Verdad y se ha disipado lo falso! ¡Lo falso tiene que disiparse!»</w:t>
      </w:r>
      <w:r>
        <w:t>.</w:t>
      </w:r>
    </w:p>
    <w:p>
      <w:r>
        <w:t>Y la verdad libera, pero con una condición: «Si vosotros permaneciereis en mi palabra, seréis verdaderamente mis discípulos; Y conoceréis la verdad, y la verdad os libertará»</w:t>
      </w:r>
      <w:r>
        <w:t xml:space="preserve"> (Jn 8:31-32)</w:t>
      </w:r>
      <w:r>
        <w:br/>
      </w:r>
      <w:r>
        <w:rPr>
          <w:b/>
        </w:rPr>
        <w:t>leída en su fuente · Jn 8:31-32</w:t>
      </w:r>
      <w:r>
        <w:br/>
      </w:r>
      <w:r>
        <w:rPr>
          <w:b/>
        </w:rPr>
        <w:t>Original donde está:</w:t>
      </w:r>
      <w:r>
        <w:t xml:space="preserve"> rva_jn8.txt</w:t>
      </w:r>
      <w:r>
        <w:br/>
      </w:r>
      <w:r>
        <w:t>El pasaje literal no está en el archivo de pasajes con este comienzo; la auditoría lo halló en ese original.</w:t>
      </w:r>
      <w:r>
        <w:t>.</w:t>
      </w:r>
    </w:p>
    <w:p>
      <w:r>
        <w:t>[00.00-6.3 a 6.9, corregido: el Dhammapada que vence al mentiroso es el verso 223, no el 11-12; textos leídos en su original]</w:t>
      </w:r>
    </w:p>
    <w:p>
      <w:r>
        <w:rPr>
          <w:b/>
        </w:rPr>
        <w:t>Conclusión, lo que arrojan los datos:</w:t>
      </w:r>
      <w:r>
        <w:t xml:space="preserve"> Israel y el cristianismo, Persia, la India, el budismo y el islam ponen la mentira del lado del mal, y varios dicen que la verdad prevalece sobre ella. Ninguna de esas tradiciones defiende la mentira como camino. </w:t>
      </w:r>
      <w:r>
        <w:t>[00.00-6.9]</w:t>
      </w:r>
    </w:p>
    <w:p>
      <w:r>
        <w:rPr>
          <w:b/>
        </w:rPr>
        <w:t>Cómo usa la obra esta imagen.</w:t>
      </w:r>
      <w:r>
        <w:t xml:space="preserve"> El padre de la mentira va siempre, y solo, bajo el rótulo «Lectura del autor», con una sola fórmula: «esto apunta hacia el padre de la mentira (Jn 8:44)». «Apunta hacia» dice lo que se ve, la dirección de los frutos (</w:t>
      </w:r>
      <w:r>
        <w:t>0.5</w:t>
      </w:r>
      <w:r>
        <w:t>), y no un origen que nadie puede probar. Nunca se dice de una persona ni de un colectivo: se dice de actos y de instituciones.</w:t>
      </w:r>
    </w:p>
    <w:p>
      <w:r>
        <w:t>[glosario 9.1, fórmula aprobada por Kiko el 5-oct]</w:t>
      </w:r>
    </w:p>
    <w:p>
      <w:r>
        <w:rPr>
          <w:b/>
        </w:rPr>
        <w:t>Cómo se hace uno seguidor: la repetición.</w:t>
      </w:r>
      <w:r>
        <w:t xml:space="preserve"> Las tradiciones coinciden en que lo que se hace una y otra vez forma a quien lo hace:</w:t>
      </w:r>
    </w:p>
    <w:p>
      <w:pPr>
        <w:pStyle w:val="ListBullet"/>
      </w:pPr>
      <w:r>
        <w:rPr>
          <w:b/>
        </w:rPr>
        <w:t>Grecia:</w:t>
      </w:r>
      <w:r>
        <w:t xml:space="preserve"> «haciendo cosas justas nos hacemos justos»</w:t>
      </w:r>
      <w:r>
        <w:t xml:space="preserve"> [original: «τὰ μὲν δίκαια πράττοντες δίκαιοι γινόμεθα»]</w:t>
      </w:r>
      <w:r>
        <w:t xml:space="preserve"> (Aristóteles, Ética a Nicómaco II, 1, 1103b)</w:t>
      </w:r>
      <w:r>
        <w:br/>
      </w:r>
      <w:r>
        <w:rPr>
          <w:b/>
        </w:rPr>
        <w:t>leída en su fuente · Aristóteles, Ética a Nicómaco II, 1, 1103b</w:t>
      </w:r>
      <w:r>
        <w:br/>
      </w:r>
      <w:r>
        <w:rPr>
          <w:b/>
        </w:rPr>
        <w:t>Original donde está:</w:t>
      </w:r>
      <w:r>
        <w:t xml:space="preserve"> perseus_aristoteles_etica_nicomaquea_grc.xml</w:t>
      </w:r>
      <w:r>
        <w:br/>
      </w:r>
      <w:r>
        <w:t>El pasaje literal no está en el archivo de pasajes con este comienzo; la auditoría lo halló en ese original.</w:t>
      </w:r>
      <w:r>
        <w:t>;</w:t>
      </w:r>
    </w:p>
    <w:p>
      <w:pPr>
        <w:pStyle w:val="ListBullet"/>
      </w:pPr>
      <w:r>
        <w:rPr>
          <w:b/>
        </w:rPr>
        <w:t>el Evangelio:</w:t>
      </w:r>
      <w:r>
        <w:t xml:space="preserve"> «todo aquel que hace pecado, es siervo de pecado»</w:t>
      </w:r>
      <w:r>
        <w:t xml:space="preserve"> (Jn 8:34)</w:t>
      </w:r>
      <w:r>
        <w:br/>
      </w:r>
      <w:r>
        <w:rPr>
          <w:b/>
        </w:rPr>
        <w:t>leída en su fuente · Jn 8:34</w:t>
      </w:r>
      <w:r>
        <w:br/>
      </w:r>
      <w:r>
        <w:rPr>
          <w:b/>
        </w:rPr>
        <w:t>Archivo leído:</w:t>
      </w:r>
      <w:r>
        <w:t xml:space="preserve"> spaRV1909_texto_corrido.txt (biblia_rv1909\spaRV1909_texto_corrido.txt) · contraste del archivo de pasajes: ✔</w:t>
      </w:r>
      <w:r>
        <w:br/>
      </w:r>
      <w:r>
        <w:rPr>
          <w:b/>
        </w:rPr>
        <w:t>Lugar:</w:t>
      </w:r>
      <w:r>
        <w:t xml:space="preserve"> Jn 8:34</w:t>
      </w:r>
      <w:r>
        <w:br/>
      </w:r>
      <w:r>
        <w:rPr>
          <w:b/>
        </w:rPr>
        <w:t>Tal como está en la fuente:</w:t>
      </w:r>
      <w:r>
        <w:t xml:space="preserve"> todo aquel que hace pecado, es siervo de pecado</w:t>
      </w:r>
      <w:r>
        <w:t>; y Pablo: «sois siervos de aquel á quien obedecéis»</w:t>
      </w:r>
      <w:r>
        <w:t xml:space="preserve"> (Rm 6:16)</w:t>
      </w:r>
      <w:r>
        <w:br/>
      </w:r>
      <w:r>
        <w:rPr>
          <w:b/>
        </w:rPr>
        <w:t>leída en su fuente · Rm 6:16</w:t>
      </w:r>
      <w:r>
        <w:br/>
      </w:r>
      <w:r>
        <w:rPr>
          <w:b/>
        </w:rPr>
        <w:t>Archivo leído:</w:t>
      </w:r>
      <w:r>
        <w:t xml:space="preserve"> spaRV1909_texto_corrido.txt (biblia_rv1909\spaRV1909_texto_corrido.txt) · contraste del archivo de pasajes: ✔</w:t>
      </w:r>
      <w:r>
        <w:br/>
      </w:r>
      <w:r>
        <w:rPr>
          <w:b/>
        </w:rPr>
        <w:t>Lugar:</w:t>
      </w:r>
      <w:r>
        <w:t xml:space="preserve"> Rm 6:16</w:t>
      </w:r>
      <w:r>
        <w:br/>
      </w:r>
      <w:r>
        <w:rPr>
          <w:b/>
        </w:rPr>
        <w:t>Tal como está en la fuente:</w:t>
      </w:r>
      <w:r>
        <w:t xml:space="preserve"> sois siervos de aquel á quien obedecéis</w:t>
      </w:r>
      <w:r>
        <w:t>. De los que hablan mentira dice que acaban «teniendo cauterizada la conciencia»</w:t>
      </w:r>
      <w:r>
        <w:t xml:space="preserve"> (1 Tim 4:2)</w:t>
      </w:r>
      <w:r>
        <w:br/>
      </w:r>
      <w:r>
        <w:rPr>
          <w:b/>
        </w:rPr>
        <w:t>leída en su fuente · 1 Tim 4:2</w:t>
      </w:r>
      <w:r>
        <w:br/>
      </w:r>
      <w:r>
        <w:rPr>
          <w:b/>
        </w:rPr>
        <w:t>Archivo leído:</w:t>
      </w:r>
      <w:r>
        <w:t xml:space="preserve"> spaRV1909_texto_corrido.txt (biblia_rv1909\spaRV1909_texto_corrido.txt) · contraste del archivo de pasajes: ✔</w:t>
      </w:r>
      <w:r>
        <w:br/>
      </w:r>
      <w:r>
        <w:rPr>
          <w:b/>
        </w:rPr>
        <w:t>Lugar:</w:t>
      </w:r>
      <w:r>
        <w:t xml:space="preserve"> 1 Tim 4:2</w:t>
      </w:r>
      <w:r>
        <w:br/>
      </w:r>
      <w:r>
        <w:rPr>
          <w:b/>
        </w:rPr>
        <w:t>Tal como está en la fuente:</w:t>
      </w:r>
      <w:r>
        <w:t xml:space="preserve"> teniendo cauterizada la conciencia</w:t>
      </w:r>
      <w:r>
        <w:t>;</w:t>
      </w:r>
    </w:p>
    <w:p>
      <w:pPr>
        <w:pStyle w:val="ListBullet"/>
      </w:pPr>
      <w:r>
        <w:rPr>
          <w:b/>
        </w:rPr>
        <w:t>el islam:</w:t>
      </w:r>
      <w:r>
        <w:t xml:space="preserve"> «Lo que han cometido ha cubierto de herrumbre sus corazones»</w:t>
      </w:r>
      <w:r>
        <w:t xml:space="preserve"> [original: «بَلْ ۜ رَانَ عَلَىٰ قُلُوبِهِم مَّا كَانُوا۟ يَكْسِبُونَ»]</w:t>
      </w:r>
      <w:r>
        <w:t xml:space="preserve"> (Corán 83:14, traducción de Julio Cortés)</w:t>
      </w:r>
      <w:r>
        <w:br/>
      </w:r>
      <w:r>
        <w:rPr>
          <w:b/>
        </w:rPr>
        <w:t>leída en su fuente · Corán 83:14, traducción de Julio Cortés</w:t>
      </w:r>
      <w:r>
        <w:br/>
      </w:r>
      <w:r>
        <w:rPr>
          <w:b/>
        </w:rPr>
        <w:t>Original donde está:</w:t>
      </w:r>
      <w:r>
        <w:t xml:space="preserve"> coran_arabe_tanzil_uthmani_texto_corrido.txt</w:t>
      </w:r>
      <w:r>
        <w:br/>
      </w:r>
      <w:r>
        <w:t>El pasaje literal no está en el archivo de pasajes con este comienzo; la auditoría lo halló en ese original.</w:t>
      </w:r>
      <w:r>
        <w:t>;</w:t>
      </w:r>
    </w:p>
    <w:p>
      <w:pPr>
        <w:pStyle w:val="ListBullet"/>
      </w:pPr>
      <w:r>
        <w:rPr>
          <w:b/>
        </w:rPr>
        <w:t>el budismo:</w:t>
      </w:r>
      <w:r>
        <w:t xml:space="preserve"> «No tengas en poco el mal […]: gota a gota se llena la jarra de agua; el necio se llena de mal, juntándolo poco a poco»</w:t>
      </w:r>
      <w:r>
        <w:t xml:space="preserve"> [original: «Māvamaññetha pāpassa […] Udabindunipātena, udakumbhopi pūrati; Bālo pūrati pāpassa, thokaṁ thokampi ācinaṁ»]</w:t>
      </w:r>
      <w:r>
        <w:t xml:space="preserve"> (Dhammapada 121)</w:t>
      </w:r>
      <w:r>
        <w:br/>
      </w:r>
      <w:r>
        <w:rPr>
          <w:b/>
        </w:rPr>
        <w:t>leída en su fuente · Dhammapada 121</w:t>
      </w:r>
      <w:r>
        <w:br/>
      </w:r>
      <w:r>
        <w:rPr>
          <w:b/>
        </w:rPr>
        <w:t>Archivo leído:</w:t>
      </w:r>
      <w:r>
        <w:t xml:space="preserve"> suttacentral_dhammapada_pali_ms_texto_corrido.txt (reparacion_citas\suttacentral_dhammapada_pali_ms_texto_corrido.txt) · contraste del archivo de pasajes: ✔</w:t>
      </w:r>
      <w:r>
        <w:br/>
      </w:r>
      <w:r>
        <w:rPr>
          <w:b/>
        </w:rPr>
        <w:t>Lugar:</w:t>
      </w:r>
      <w:r>
        <w:t xml:space="preserve"> Dhammapada 121</w:t>
      </w:r>
      <w:r>
        <w:br/>
      </w:r>
      <w:r>
        <w:rPr>
          <w:b/>
        </w:rPr>
        <w:t>Tal como está en la fuente:</w:t>
      </w:r>
      <w:r>
        <w:t xml:space="preserve"> Māvamaññetha pāpassa […] Udabindunipātena, udakumbhopi pūrati; Bālo pūrati pāpassa, thokaṁ thokampi ācinaṁ</w:t>
      </w:r>
      <w:r>
        <w:t>.</w:t>
      </w:r>
    </w:p>
    <w:p>
      <w:r>
        <w:t>Y lo mismo vale para el bien: el grano, por repetición, hace el bien (</w:t>
      </w:r>
      <w:r>
        <w:t>2.5</w:t>
      </w:r>
      <w:r>
        <w:t>).</w:t>
      </w:r>
    </w:p>
    <w:p>
      <w:r>
        <w:t>[petición de Kiko del 5-oct; Aristóteles leído en griego (Perseus); Reina-Valera Antigua; Corán, árabe y Cortés; Dhammapada en pali (SuttaCentral)]</w:t>
      </w:r>
    </w:p>
    <w:p>
      <w:r>
        <w:rPr>
          <w:b/>
        </w:rPr>
        <w:t>Conclusión, lo que arrojan los datos:</w:t>
      </w:r>
      <w:r>
        <w:t xml:space="preserve"> Grecia, el cristianismo, el islam y el budismo coinciden: lo que se hace una y otra vez forma a quien lo hace. El bien repetido hace justo; el mal repetido hace siervo, cauteriza la conciencia y cubre de herrumbre el corazón, poco a poco, gota a gota.</w:t>
      </w:r>
    </w:p>
    <w:p>
      <w:r>
        <w:rPr>
          <w:b/>
        </w:rPr>
        <w:t>Lectura del autor:</w:t>
      </w:r>
      <w:r>
        <w:t xml:space="preserve"> con el tiempo, por repetición, uno se va formando, y puede acabar siguiendo al padre de la mentira sin saberlo (</w:t>
      </w:r>
      <w:r>
        <w:t>2.5</w:t>
      </w:r>
      <w:r>
        <w:t>). Por eso habrá ya quienes estén muy polarizados, y a ellos, como a todos, hay que reconocerlos por sus frutos: por lo que hacen, no por lo que dicen ni por el grupo al que pertenecen. Y la vara vale también para uno mismo. Separar el grano de la paja es distinguir lo que sirve de lo que no sirve: hemos venido a servir (</w:t>
      </w:r>
      <w:r>
        <w:t>3.6</w:t>
      </w:r>
      <w:r>
        <w:t>).</w:t>
      </w:r>
    </w:p>
    <w:p>
      <w:r>
        <w:t xml:space="preserve">Además, una afirmación falsa necesita cada vez más excepciones para seguir en pie, como los epiciclos que se añadían para sostener que la Tierra estaba en el centro, hasta que un modelo más simple los hizo innecesarios; la verdadera acomoda lo nuevo sin tantos parches. Cuando una norma necesita cada vez más salvedades para sostener lo ya hecho, esto apunta hacia el padre de la mentira (Jn 8:44). Ese patrón se mide con datos en </w:t>
      </w:r>
      <w:r>
        <w:t>9.1</w:t>
      </w:r>
      <w:r>
        <w:t>.</w:t>
      </w:r>
    </w:p>
    <w:p>
      <w:r>
        <w:t>[00.00-6.1 y 6.2; la repetición y la polarización, lectura de Kiko del 5-oct]</w:t>
      </w:r>
    </w:p>
    <w:p>
      <w:r>
        <w:rPr>
          <w:b/>
        </w:rPr>
        <w:t>Lectura del autor, sobre las improntas:</w:t>
      </w:r>
      <w:r>
        <w:t xml:space="preserve"> si uno hubiera nacido en otro lugar y en otra religión, de otros padres y con otras influencias y otras experiencias, sería esa otra persona. Con la misma cronología, la misma situación y las mismas influencias, sean las que sean, y cada situación resuelta de la misma manera, seríamos idénticos: «yo soy tú», y «tú serías yo». Es un experimento mental, no un dato: no se afirma qué causas pesan ni cuánto. De ahí salen dos cosas. La primera, la misma justicia para todos: nadie es más ni menos que otro, y la que uno busca para sí es la que quiere para los demás: «amarás á tu prójimo como á ti mismo»</w:t>
      </w:r>
      <w:r>
        <w:t xml:space="preserve"> (Lv 19:18)</w:t>
      </w:r>
      <w:r>
        <w:br/>
      </w:r>
      <w:r>
        <w:rPr>
          <w:b/>
        </w:rPr>
        <w:t>leída en su fuente · Lv 19:18</w:t>
      </w:r>
      <w:r>
        <w:br/>
      </w:r>
      <w:r>
        <w:rPr>
          <w:b/>
        </w:rPr>
        <w:t>Archivo leído:</w:t>
      </w:r>
      <w:r>
        <w:t xml:space="preserve"> ga_5_14_rva.html; ga_6_1_rva.html; ga_6_1_rvr1960.html (c9h\ga_5_14_rva.html) · contraste del archivo de pasajes: ✔</w:t>
      </w:r>
      <w:r>
        <w:br/>
      </w:r>
      <w:r>
        <w:rPr>
          <w:b/>
        </w:rPr>
        <w:t>Lugar:</w:t>
      </w:r>
      <w:r>
        <w:t xml:space="preserve"> 5:14</w:t>
      </w:r>
      <w:r>
        <w:br/>
      </w:r>
      <w:r>
        <w:rPr>
          <w:b/>
        </w:rPr>
        <w:t>Dirección:</w:t>
      </w:r>
      <w:r>
        <w:t xml:space="preserve"> </w:t>
      </w:r>
      <w:r>
        <w:t>https://www.biblegateway.com/passage/?search=Galatians+5%3A14&amp;version=RVA</w:t>
      </w:r>
      <w:r>
        <w:t xml:space="preserve"> ; </w:t>
      </w:r>
      <w:r>
        <w:t>https://www.biblegateway.com/passage/?search=Galatians+6%3A1&amp;version=RVA</w:t>
      </w:r>
      <w:r>
        <w:br/>
      </w:r>
      <w:r>
        <w:rPr>
          <w:b/>
        </w:rPr>
        <w:t>Tal como está en la fuente:</w:t>
      </w:r>
      <w:r>
        <w:t xml:space="preserve"> Porque toda la ley en aquesta sola palabra se cumple: Amarás á tu prójimo como á ti mismo.</w:t>
      </w:r>
      <w:r>
        <w:t xml:space="preserve"> (</w:t>
      </w:r>
      <w:r>
        <w:t>0.5</w:t>
      </w:r>
      <w:r>
        <w:t>). La segunda, que no borra la libertad de elegir (</w:t>
      </w:r>
      <w:r>
        <w:t>1.9</w:t>
      </w:r>
      <w:r>
        <w:t>): el experimento explica dónde está cada uno, en sus diales (anexo del 4.3), y saberlo es una circunstancia nueva; lo que se repite cambia el hábito (arriba). Y queda una pregunta para cada lector: una vez sabido esto, ¿cómo afecta a las decisiones sobre la propia existencia, y qué hacemos con nuestras vidas, perdiendo el tiempo y enfrentándonos unos a otros?</w:t>
      </w:r>
    </w:p>
    <w:p>
      <w:r>
        <w:t>[palabras de Kiko, 8-oct-2026; 04c; 04n Q17; borrador B7, 9-oct]</w:t>
      </w:r>
    </w:p>
    <w:p>
      <w:pPr>
        <w:pStyle w:val="Heading2"/>
      </w:pPr>
      <w:r>
        <w:t>Límite honesto de la prueba</w:t>
      </w:r>
    </w:p>
    <w:p>
      <w:pPr>
        <w:pStyle w:val="ListBullet"/>
      </w:pPr>
      <w:r>
        <w:rPr>
          <w:b/>
        </w:rPr>
        <w:t>Es lectura comparada, y se dice.</w:t>
      </w:r>
      <w:r>
        <w:t xml:space="preserve"> Las figuras del mal son imágenes de cada tradición; lo que la obra lee en ellas va marcado como lectura del autor. Su fuerza no está en profetizar, sino en documentar una constante. </w:t>
      </w:r>
      <w:r>
        <w:t>[04.00-9.1]</w:t>
      </w:r>
    </w:p>
    <w:p>
      <w:pPr>
        <w:pStyle w:val="ListBullet"/>
      </w:pPr>
      <w:r>
        <w:rPr>
          <w:b/>
        </w:rPr>
        <w:t>La persona jurídica también sirve a la vida.</w:t>
      </w:r>
      <w:r>
        <w:t xml:space="preserve"> El hospital, la cooperativa y la asociación vecinal llevan la misma máscara: el mal no está en la máscara, sino en la máscara sin responsabilidad. </w:t>
      </w:r>
      <w:r>
        <w:t>[04.00-8.6, 8.7 y 9.1]</w:t>
      </w:r>
    </w:p>
    <w:p>
      <w:pPr>
        <w:pStyle w:val="ListBullet"/>
      </w:pPr>
      <w:r>
        <w:rPr>
          <w:b/>
        </w:rPr>
        <w:t>El Estado actúa por cargos con nombre, y la ley prevé que respondan.</w:t>
      </w:r>
      <w:r>
        <w:t xml:space="preserve"> Esa defensa, con sus artículos, se oye en las cuestiones previas (</w:t>
      </w:r>
      <w:r>
        <w:t>11.2</w:t>
      </w:r>
      <w:r>
        <w:t xml:space="preserve">). </w:t>
      </w:r>
      <w:r>
        <w:t>[04.00-8.2 y 8.3]</w:t>
      </w:r>
    </w:p>
    <w:p>
      <w:pPr>
        <w:pStyle w:val="ListBullet"/>
      </w:pPr>
      <w:r>
        <w:rPr>
          <w:b/>
        </w:rPr>
        <w:t>Que el Estado solo exista porque se cree en él es una posición doctrinal,</w:t>
      </w:r>
      <w:r>
        <w:t xml:space="preserve"> no un consenso. Las conclusiones de la obra no dependen de ella, sino de hechos que se pueden comprobar. </w:t>
      </w:r>
      <w:r>
        <w:t>[04.00-8.8 y 8.9]</w:t>
      </w:r>
    </w:p>
    <w:p>
      <w:pPr>
        <w:pStyle w:val="ListBullet"/>
      </w:pPr>
      <w:r>
        <w:rPr>
          <w:b/>
        </w:rPr>
        <w:t>El dualismo puro es la excepción:</w:t>
      </w:r>
      <w:r>
        <w:t xml:space="preserve"> solo dos de las nueve tradiciones lo sostienen. Presentarlo todo como una guerra de dos poderes iguales sería falsear las fuentes. </w:t>
      </w:r>
      <w:r>
        <w:t>[05.00-11.1]</w:t>
      </w:r>
    </w:p>
    <w:p>
      <w:pPr>
        <w:pStyle w:val="ListBullet"/>
      </w:pPr>
      <w:r>
        <w:rPr>
          <w:b/>
        </w:rPr>
        <w:t>Lo que no entra:</w:t>
      </w:r>
      <w:r>
        <w:t xml:space="preserve"> la Regla de la Guerra de Qumrán y el ciclo de Baal, porque no hay texto completo abierto para leerlos. Y «como a dioses», en 1 Enoc 19:1, va con la duda que marca su editor.</w:t>
      </w:r>
    </w:p>
    <w:p>
      <w:pPr>
        <w:pStyle w:val="ListBullet"/>
      </w:pPr>
      <w:r>
        <w:rPr>
          <w:b/>
        </w:rPr>
        <w:t>Traducciones:</w:t>
      </w:r>
      <w:r>
        <w:t xml:space="preserve"> el Avesta y la Gita se traducen aquí desde traducciones inglesas reconocidas, o desde el original cuando se dice; el texto del que se traduce va al lado.</w:t>
      </w:r>
    </w:p>
    <w:p>
      <w:pPr>
        <w:pStyle w:val="ListBullet"/>
      </w:pPr>
      <w:r>
        <w:rPr>
          <w:b/>
        </w:rPr>
        <w:t>El relato de Génesis se lee en la Reina-Valera Antigua;</w:t>
      </w:r>
      <w:r>
        <w:t xml:space="preserve"> del hebreo solo se ha contado por programa, en el códice de Leningrado, dónde aparece la palabra «satán» (</w:t>
      </w:r>
      <w:r>
        <w:t>4.2</w:t>
      </w:r>
      <w:r>
        <w:t>); lo demás no se ha leído en hebreo. Que la serpiente sea Satanás, o que el hombre fuera inmortal por naturaleza, es tradición posterior y no del texto, y se dice.</w:t>
      </w:r>
    </w:p>
    <w:p>
      <w:pPr>
        <w:pStyle w:val="ListBullet"/>
      </w:pPr>
      <w:r>
        <w:rPr>
          <w:b/>
        </w:rPr>
        <w:t>Las improntas son un experimento mental,</w:t>
      </w:r>
      <w:r>
        <w:t xml:space="preserve"> no un dato: las causas que forman a una persona no están leídas en ninguna fuente de la obra, y el experimento vale con «las mismas circunstancias, sean las que sean». Va como lectura del autor.</w:t>
      </w:r>
    </w:p>
    <w:p>
      <w:pPr>
        <w:pStyle w:val="Heading2"/>
      </w:pPr>
      <w:r>
        <w:t>Dónde se oye la defensa del Estado</w:t>
      </w:r>
    </w:p>
    <w:p>
      <w:r>
        <w:t>La defensa del Estado frente a este capítulo, y lo que la obra le responde, se oyen en las cuestiones previas (</w:t>
      </w:r>
      <w:r>
        <w:t>11.2</w:t>
      </w:r>
      <w:r>
        <w:t>):</w:t>
      </w:r>
    </w:p>
    <w:p>
      <w:pPr>
        <w:pStyle w:val="ListBullet"/>
      </w:pPr>
      <w:r>
        <w:t>«el Estado no es un ente sin cuerpo: sus cargos responden»;</w:t>
      </w:r>
    </w:p>
    <w:p>
      <w:pPr>
        <w:pStyle w:val="ListBullet"/>
      </w:pPr>
      <w:r>
        <w:t>«usar la imagen del diablo para el Estado es demonizarlo»;</w:t>
      </w:r>
    </w:p>
    <w:p>
      <w:pPr>
        <w:pStyle w:val="ListBullet"/>
      </w:pPr>
      <w:r>
        <w:t>«la persona jurídica es una ficción necesaria»;</w:t>
      </w:r>
    </w:p>
    <w:p>
      <w:pPr>
        <w:pStyle w:val="ListBullet"/>
      </w:pPr>
      <w:r>
        <w:t>«el Estado como construcción mental es una tesis ideológica»;</w:t>
      </w:r>
    </w:p>
    <w:p>
      <w:pPr>
        <w:pStyle w:val="ListBullet"/>
      </w:pPr>
      <w:r>
        <w:t>«retirar la creencia es invitar a la desobediencia»;</w:t>
      </w:r>
    </w:p>
    <w:p>
      <w:pPr>
        <w:pStyle w:val="ListBullet"/>
      </w:pPr>
      <w:r>
        <w:t>«el Estado es aconfesional»;</w:t>
      </w:r>
    </w:p>
    <w:p>
      <w:pPr>
        <w:pStyle w:val="ListBullet"/>
      </w:pPr>
      <w:r>
        <w:t>«hablar de bien y mal es demonizar al adversario»;</w:t>
      </w:r>
    </w:p>
    <w:p>
      <w:pPr>
        <w:pStyle w:val="ListBullet"/>
      </w:pPr>
      <w:r>
        <w:t>«el Estado de derecho sustituyó la moral por procedimientos neutrales»;</w:t>
      </w:r>
    </w:p>
    <w:p>
      <w:pPr>
        <w:pStyle w:val="ListBullet"/>
      </w:pPr>
      <w:r>
        <w:t>y «la convergencia es una selección interesada».</w:t>
      </w:r>
    </w:p>
    <w:p>
      <w:r>
        <w:t>[clasificación de las defensas, aprobada; glosario 8.13]</w:t>
      </w:r>
    </w:p>
    <w:p>
      <w:pPr>
        <w:pStyle w:val="Heading2"/>
      </w:pPr>
      <w:r>
        <w:t>Para recordar</w:t>
      </w:r>
    </w:p>
    <w:p>
      <w:pPr>
        <w:pStyle w:val="ListBullet"/>
      </w:pPr>
      <w:r>
        <w:t>Las tradiciones describen un mal sin cuerpo propio: acusa, engaña, se hace muchos y actúa a través de otros, a veces de hombres.</w:t>
      </w:r>
    </w:p>
    <w:p>
      <w:pPr>
        <w:pStyle w:val="ListBullet"/>
      </w:pPr>
      <w:r>
        <w:t>El poder de uno solo vive de que muchos se lo den: es la servidumbre voluntaria.</w:t>
      </w:r>
    </w:p>
    <w:p>
      <w:pPr>
        <w:pStyle w:val="ListBullet"/>
      </w:pPr>
      <w:r>
        <w:t>La lucha entre el bien y el mal pide, casi siempre, que el ser humano elija. Y varios textos ven poderes sin cuerpo detrás de los reinos.</w:t>
      </w:r>
    </w:p>
    <w:p>
      <w:pPr>
        <w:pStyle w:val="ListBullet"/>
      </w:pPr>
      <w:r>
        <w:t>El canon etíope cuenta que los ángeles caídos enseñaron las armas y llevaron a adorar lo que no es Dios; la Biblia común guarda el mismo aviso.</w:t>
      </w:r>
    </w:p>
    <w:p>
      <w:pPr>
        <w:pStyle w:val="ListBullet"/>
      </w:pPr>
      <w:r>
        <w:t>El mal convive con nosotros, sin cuerpo propio: susurra, seduce y se disfraza de luz. Se le vence velando, conociendo sus maniobras y no dándole el consentimiento.</w:t>
      </w:r>
    </w:p>
    <w:p>
      <w:pPr>
        <w:pStyle w:val="ListBullet"/>
      </w:pPr>
      <w:r>
        <w:t>La virtud, según Aristóteles, no está entre el ángel y el demonio, sino entre dos vicios, uno por defecto y otro por exceso; y el extremo de algo bueno, llevado lejos, se disfraza de virtud.</w:t>
      </w:r>
    </w:p>
    <w:p>
      <w:pPr>
        <w:pStyle w:val="ListBullet"/>
      </w:pPr>
      <w:r>
        <w:t>La obra usa la imagen del padre de la mentira solo como lectura del autor, con una fórmula: «apunta hacia».</w:t>
      </w:r>
    </w:p>
    <w:p>
      <w:pPr>
        <w:pStyle w:val="ListBullet"/>
      </w:pPr>
      <w:r>
        <w:rPr>
          <w:b/>
        </w:rPr>
        <w:t>Lo siguiente:</w:t>
      </w:r>
      <w:r>
        <w:t xml:space="preserve"> lo que se da por supuesto sobre el Estado sin haberlo comprobado, frente a lo que dicen la norma y el dato (</w:t>
      </w:r>
      <w:r>
        <w:t>capítulo 5</w:t>
      </w:r>
      <w:r>
        <w:t>).</w:t>
      </w:r>
    </w:p>
    <w:p>
      <w:r>
        <w:br w:type="page"/>
      </w:r>
    </w:p>
    <w:p>
      <w:pPr>
        <w:pStyle w:val="Heading1"/>
      </w:pPr>
      <w:r>
        <w:t>5 Lo que se da por supuesto</w:t>
      </w:r>
    </w:p>
    <w:p>
      <w:pPr>
        <w:spacing w:after="200"/>
      </w:pPr>
      <w:r>
        <w:rPr>
          <w:rFonts w:ascii="Segoe UI" w:hAnsi="Segoe UI" w:eastAsia="Segoe UI" w:cs="Segoe UI"/>
          <w:color w:val="6B665E"/>
          <w:sz w:val="17"/>
        </w:rPr>
        <w:t>Primera versión: 5 de octubre de 2026 · Última revisión: 12 de octubre de 2026 · Cambios anotados en el capítulo: 6 · Citas leídas en su fuente: 63</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(orden de 08.30, fila 725 de 08/01): en la conclusión de 5.1, «y el «derecho» no se puede reclamar» pasa a «y el «derecho» a la vivienda no se puede reclamar», como dicen la tabla de 5.1 y «Para recordar» (07/herramientas/aplicar_derecho_vivienda_5_1.py).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6 (borrador B16). Ninguna otra palabra cambia. Cambio del 11-oct-2026 (Kiko, chat de 08.16, 21:5x, pasado por 08.16 tal cual: «sí, corrígelo si expecifica o sino deben de estar ahi los sacas que utilice otros si hay para apoyar su argumentacion […]»; borrador B12 de la carpeta 07, aviso de 11.2): en 5.1, n.º 14, «ha anulado varios decretos-leyes» pasa a «ha anulado al menos cinco veces decretos-leyes […]: uno entero, en 2007, y partes de otros cuatro: dos en 2011, uno en 2018 y otro en 2020», cada una con su sentencia. Las de 2018 y 2020, leídas en local (06/10 FUENTES LEIDAS/c10); las de 2007 y 2011, en el BOE (BOE-T-2007-8660, FJ 12; BOE-A-2011-6546, FJ 8; BOE-A-2011-16025, FJ 8), las tres por el art. 86.1. Ninguna otra palabra cambia. Cambio del 9-oct-2026 (Kiko: «Sí al B6 con las tres recomendaciones» y «sí al B6»; filas 38 de 04p; borrador B6 de la carpeta 07, escrito por la ventana que acompaña): en 5.4, «La idea» y un bloque nuevo al final, «La piedra que sostiene toda la obra» (el pueblo no consintió; nació dentro y lo aceptó sin saberlo; si es verdadero, se sostiene, con Mt 7:24-27); y la frase en 5.0, «En pocas palabras» y «Para recordar». Cambio del 8-oct-2026 (fase de reparación, sexta tanda): corregida una remisión que apuntaba a un apartado que no trata de lo que se remite: «no es otra persona escondida bajo el nombre propio» remitía a 2.6, que no lo trata; se trata en el anexo E (E.2). Cambio del 8-oct-2026 (parlamento sobre los mitos; Kiko: «sí a las tres, con tus recomendaciones» y el añadido del método de medir): en 5.4, «ese mito ya se descartó» pasa a «la idea de una persona oculta bajo el nombre propio no tiene respaldo (anexo E)». ESTADO: APROBADO por Kiko el 5-oct-2026 («sí a todas»: el título del glosario, las correcciones en la Biblioteca y el párrafo de Aristóteles). Su material está marcado en el inventario (04 CAPITULOS/marcas/marcas del capitulo 5.txt). Cualquier cambio posterior, con su aprobación. Escrito en tres niveles y con remisiones enlazables. Marcas: {fuente: …} niveles 2 y 3; {original: …} nivel 3; [trazabilidad] nivel 3; {completo} solo nivel 3; {breve} solo niveles 1 y 2. Trazabilidad: al final de cada párrafo o bloque, entre corchetes (se ve en el nivel completo). Reparto (Kiko, 5-oct): las fuentes las localizó y descargó un agente (61 archivos en c5 y 7 en c5b); Claude leyó cada original y extrajo las citas. Leído hoy en su original: - BOE: Constitución, arts. 1, 9, 10, 16, 47, 50, 53.3, 67.2, 71.4, 86, 135.3 y 168; Código Civil, arts. 1, 6.1, 29, 30 y 1261; Ley 39/2015, arts. 21, 39, 77.5, 98, 99 y 129; Ley General de la Seguridad Social, arts. 110.1, 122 y 123.2.d; texto refundido de la Ley Concursal, art. 1.3; Ley 20/2011 del Registro Civil, arts. 5, 6, 45, 46 (en la redacción de la Ley 19/2015) y 48; Ley General Tributaria, art. 28; Ley de Enjuiciamiento Civil, art. 517; Ley 46/1998, art. 3; Ley Orgánica 6/2002, de Partidos Políticos, art. 7.1; STC 184/2025. - Otros: Tratado de Funcionamiento de la UE, art. 3.1.c; Fondo de Reserva, informe a las Cortes de 2025; Memoria del Tribunal Constitucional de 2025; INE, Tabla de Pensiones 2021; Banco de Inglaterra, 2014. - Diccionarios: Webster, 1913 (Gutenberg); Real Academia Española, 14.ª edición, 1914 (Internet Archive, dos copias: diccionariodelal00realuoft y diccionariodelal0000unse_q9u2); 22.ª edición, 2001, y edición actual. - Biblia: Reina-Valera Antigua. - Autores: Montaigne, Ensayos III, 13 (Wikisource, edición de Burdeos); Pascal, Pensamientos, fr. 294 (Wikisource, edición de Brunschvicg, 1921); Rousseau, Del contrato social I, 4 (Wikisource, edición de 1762); La Boétie, Discurso de la servidumbre voluntaria (Wikisource, edición de 1922); Aristóteles, Ética a Nicómaco II, 1, 1103b (Perseus, griego); Lewis y Short, A Latin Dictionary, s. v. «persona» (Perseus). - Fuente secundaria, porque no hay texto abierto: Searle (1995), su fórmula comprobada en la Stanford Encyclopedia of Philosophy, «Social Ontology»; Derrida (1989), por el título y el año; Putnam (2000), por el título. Hallado al escribir (corregido en la Biblioteca el 5-oct, libreta 72, punto 134, salvo lo que se dice): - 00.1, «Otras seis incongruencias», fila 3: no fue el Supremo, sino el Tribunal Constitucional (STC 184/2025, Pleno, 2-12-2025); y no anuló el reglamento entero, sino que declaró inconstitucional y nulo su art. 73.1. Corregido en la 00.1, y en la 00.2, la 20.00 y la 37.00 («un artículo de un reglamento»). - 00.1, «Otras seis incongruencias», fila 4 («Ninguna ley obliga a explicar las normas en lenguaje llano…»): afirmación de ausencia que no se sostiene tal cual. La Ley 39/2015, art. 129.4, pide un marco normativo «claro» que facilite «su conocimiento y comprensión». No entra; va a la libreta de flecos (no se corrige: queda pendiente). - 00.1, «contrato social»: «sus propios teóricos lo presentan como una idea (Hume, Kant)». Hume fue un crítico del contrato original, no su teórico. Se revisa al escribir 6.1; aquí solo se remite (no se corrige todavía). - Constitución, art. 135.3: la Biblioteca corta la cita; sigue «mientras se ajusten a las condiciones de la ley de emisión». Aquí va entera. Corregido en la 00.1. - Del borrador, no de la Biblioteca: el INE dice que la cifra «hace referencia al valor presente»; la Biblioteca lo parafrasea bien («el valor actual de pagos futuros»), sin comillas. - Verificado hoy, que la Biblioteca daba sin poder abrir: la RAE de 1914 dice lo que la 00.1 afirma. Nuevo, aprobado por Kiko el 5-oct: en 5.5, Aristóteles, los legisladores forman a los ciudadanos por la costumbre (mismo pasaje que 4.4). Título: el del glosario 3.3, «lo que se da por supuesto», porque «lo que nos hacen creer» supone intención; esa expresión se queda en la lectura del autor (decisión de Kiko del 5-oct; índice y 0.6 al día). No entra: 04.00-2.5 (Miguel Anxo Bastos), sin obra ni página que leer; la idea, con fuente, está en 5.3 (Searle), y su límite ya se dijo en el capítulo 4 (es una posición doctrinal). Conceptos que ancla: la maniobra camuflada y el dinero sin respaldo material, en breve (5.1; se desarrolla en 8.1); la presunción (5.2; en breve en 0.4); contra natura (5.2); la ficción jurídica (5.3). Corregido el 7-oct-2026 (capítulo 11, parte 6): «Las veinticinco preguntas» pasa a «Las preguntas»: el catálogo (00.1) tiene 24, ordenadas por destinatario en 11.5; las 25 maniobras de 5.1 no tienen una pregunta cada una.</w:t>
      </w:r>
    </w:p>
    <w:p>
      <w:pPr>
        <w:pBdr>
          <w:left w:val="single" w:sz="24" w:space="6" w:color="E2DED6"/>
        </w:pBdr>
        <w:shd w:val="clear" w:color="auto" w:fill="F1EEE8"/>
        <w:spacing w:before="80" w:after="160"/>
        <w:ind w:left="142" w:right="142"/>
      </w:pPr>
      <w:r>
        <w:rPr>
          <w:b/>
        </w:rPr>
        <w:t>En pocas palabras:</w:t>
      </w:r>
    </w:p>
    <w:p>
      <w:pPr>
        <w:pStyle w:val="ListBullet"/>
      </w:pPr>
      <w:r>
        <w:t>Muchas cosas que se dan por supuestas sobre el Estado no las dice ninguna ley: las sugiere un nombre oficial o una cifra que se repite. Puestas al lado de la norma y del dato, veinticinco de ellas dicen otra cosa.</w:t>
      </w:r>
    </w:p>
    <w:p>
      <w:pPr>
        <w:pStyle w:val="ListBullet"/>
      </w:pPr>
      <w:r>
        <w:t>El Estado se sostiene en presunciones. Da por cierto, sin haberlo probado, el consentimiento del pueblo, la validez de sus propios actos, el valor de su moneda y la conformidad de quienes aún no han nacido. Ordenadas, forman un edificio de siete plantas, y frente a cada una la ley de Dios dice otra cosa.</w:t>
      </w:r>
    </w:p>
    <w:p>
      <w:pPr>
        <w:pStyle w:val="ListBullet"/>
      </w:pPr>
      <w:r>
        <w:t>El Estado y el derecho existen porque se reconocen, no porque tengan cuerpo: son ficciones jurídicas. Una ficción declarada no es un vicio. Se vuelve engaño cuando se presenta como un hecho natural.</w:t>
      </w:r>
    </w:p>
    <w:p>
      <w:pPr>
        <w:pStyle w:val="ListBullet"/>
      </w:pPr>
      <w:r>
        <w:t>La raíz es una: la presunción ocupa el lugar del consentimiento. Y empieza al nacer: en setenta y dos horas, a cada recién nacido se le abre un registro, antes de que pueda decir sí o no. Esa es la piedra que sostiene toda la obra: el pueblo no consintió; nació dentro y lo aceptó sin saberlo.</w:t>
      </w:r>
    </w:p>
    <w:p>
      <w:pPr>
        <w:pStyle w:val="ListBullet"/>
      </w:pPr>
      <w:r>
        <w:t>Ninguna de estas piezas, por separado, hace caer el edificio. Juntas, impiden ver que no se sostiene, y la costumbre hace el resto. Por eso ha durado.</w:t>
      </w:r>
    </w:p>
    <w:p>
      <w:pPr>
        <w:pStyle w:val="Heading2"/>
      </w:pPr>
      <w:r>
        <w:t>5.0 Propósito</w:t>
      </w:r>
    </w:p>
    <w:p>
      <w:r>
        <w:t xml:space="preserve">El </w:t>
      </w:r>
      <w:r>
        <w:t>capítulo 4</w:t>
      </w:r>
      <w:r>
        <w:t xml:space="preserve"> mostró que el poder de uno solo vive de que muchos se lo den, por costumbre: es la servidumbre voluntaria (</w:t>
      </w:r>
      <w:r>
        <w:t>4.1</w:t>
      </w:r>
      <w:r>
        <w:t>). Este capítulo mira lo que esos muchos dan por supuesto: lo que se cree del Estado sin haberlo comprobado, frente a lo que dicen la norma y el dato.</w:t>
      </w:r>
    </w:p>
    <w:p>
      <w:r>
        <w:rPr>
          <w:b/>
        </w:rPr>
        <w:t>Cómo se lee.</w:t>
      </w:r>
      <w:r>
        <w:t xml:space="preserve"> Cada creencia va con la norma o el dato que la contradice, con su fuente, y con el capítulo donde se prueba del todo. Ninguna fila atribuye intención a nadie: la intención, si se lee, va en la «Lectura del autor» (</w:t>
      </w:r>
      <w:r>
        <w:t>0.3</w:t>
      </w:r>
      <w:r>
        <w:t>).</w:t>
      </w:r>
    </w:p>
    <w:p>
      <w:r>
        <w:rPr>
          <w:b/>
        </w:rPr>
        <w:t>Lo que este capítulo no hace.</w:t>
      </w:r>
      <w:r>
        <w:t xml:space="preserve"> No dice que el Estado no haga falta: una sociedad necesita quien coordine lo que es de todos. Tampoco invita a desobedecer: la obra no exime de ninguna obligación vigente (</w:t>
      </w:r>
      <w:r>
        <w:t>0.2</w:t>
      </w:r>
      <w:r>
        <w:t>). Pide la prueba y deja constancia.</w:t>
      </w:r>
    </w:p>
    <w:p>
      <w:r>
        <w:t>Este capítulo dice:</w:t>
      </w:r>
    </w:p>
    <w:p>
      <w:pPr>
        <w:pStyle w:val="ListBullet"/>
      </w:pPr>
      <w:r>
        <w:rPr>
          <w:b/>
        </w:rPr>
        <w:t>5.1</w:t>
      </w:r>
      <w:r>
        <w:t xml:space="preserve"> lo que se da por supuesto sobre el dinero, el poder y la información, y lo que es;</w:t>
      </w:r>
    </w:p>
    <w:p>
      <w:pPr>
        <w:pStyle w:val="ListBullet"/>
      </w:pPr>
      <w:r>
        <w:rPr>
          <w:b/>
        </w:rPr>
        <w:t>5.2</w:t>
      </w:r>
      <w:r>
        <w:t xml:space="preserve"> el edificio de las presunciones, planta por planta, y lo que dice frente a cada una la ley de Dios;</w:t>
      </w:r>
    </w:p>
    <w:p>
      <w:pPr>
        <w:pStyle w:val="ListBullet"/>
      </w:pPr>
      <w:r>
        <w:rPr>
          <w:b/>
        </w:rPr>
        <w:t>5.3</w:t>
      </w:r>
      <w:r>
        <w:t xml:space="preserve"> la ficción jurídica: cómo existen el Estado y el derecho;</w:t>
      </w:r>
    </w:p>
    <w:p>
      <w:pPr>
        <w:pStyle w:val="ListBullet"/>
      </w:pPr>
      <w:r>
        <w:rPr>
          <w:b/>
        </w:rPr>
        <w:t>5.4</w:t>
      </w:r>
      <w:r>
        <w:t xml:space="preserve"> la raíz: la presunción en lugar del consentimiento, desde el nacimiento, y la piedra que sostiene toda la obra;</w:t>
      </w:r>
    </w:p>
    <w:p>
      <w:pPr>
        <w:pStyle w:val="ListBullet"/>
      </w:pPr>
      <w:r>
        <w:rPr>
          <w:b/>
        </w:rPr>
        <w:t>5.5</w:t>
      </w:r>
      <w:r>
        <w:t xml:space="preserve"> y por qué ha durado.</w:t>
      </w:r>
    </w:p>
    <w:p>
      <w:pPr>
        <w:pStyle w:val="Heading2"/>
      </w:pPr>
      <w:r>
        <w:t>5.1 Lo que se da por supuesto y lo que es: el dinero, el poder y la información</w:t>
      </w:r>
    </w:p>
    <w:p>
      <w:pPr>
        <w:pBdr>
          <w:left w:val="single" w:sz="24" w:space="6" w:color="E2DED6"/>
        </w:pBdr>
        <w:shd w:val="clear" w:color="auto" w:fill="F1EEE8"/>
        <w:spacing w:before="80" w:after="160"/>
        <w:ind w:left="142" w:right="142"/>
      </w:pPr>
      <w:r>
        <w:rPr>
          <w:b/>
        </w:rPr>
        <w:t>La idea: muchas cosas que se dan por supuestas no las dice ninguna ley; las sugiere un nombre oficial o una cifra que se repite. Puestas al lado de la norma y del dato, dicen otra cosa.</w:t>
      </w:r>
    </w:p>
    <w:p>
      <w:r>
        <w:rPr>
          <w:b/>
        </w:rPr>
        <w:t>La maniobra camuflada.</w:t>
      </w:r>
      <w:r>
        <w:t xml:space="preserve"> Desde aquí, la edición llama así al caso en que un nombre oficial o una creencia extendida sugieren una cosa, y la norma o el dato dicen otra. Describirla no exige suponer intención. </w:t>
      </w:r>
      <w:r>
        <w:t>[glosario 3.3; 00.1-0.0.2]</w:t>
      </w:r>
    </w:p>
    <w:p>
      <w:r>
        <w:rPr>
          <w:b/>
        </w:rPr>
        <w:t>Cómo se lee cada una.</w:t>
      </w:r>
      <w:r>
        <w:t xml:space="preserve"> Primero, lo que se da por supuesto; después, lo que dicen la norma o el dato, con su fuente; y, entre paréntesis, el capítulo donde se prueba del todo. Cada una se puede convertir en una pregunta por escrito al organismo responsable, cuya respuesta, o cuyo silencio, queda como constancia (</w:t>
      </w:r>
      <w:r>
        <w:t>0.2</w:t>
      </w:r>
      <w:r>
        <w:t xml:space="preserve">). Las preguntas, ordenadas por destinatario, están en </w:t>
      </w:r>
      <w:r>
        <w:t>11.5</w:t>
      </w:r>
      <w:r>
        <w:t xml:space="preserve">. </w:t>
      </w:r>
      <w:r>
        <w:t>[00.1-0.0.3 y 0.0.4]</w:t>
      </w:r>
    </w:p>
    <w:p>
      <w:pPr>
        <w:pStyle w:val="Heading3"/>
      </w:pPr>
      <w:r>
        <w:t>El dinero</w:t>
      </w:r>
    </w:p>
    <w:p>
      <w:r>
        <w:t>Lo que se cree sobre lo que pagamos, lo que se guarda y lo que se debe.</w:t>
      </w:r>
    </w:p>
    <w:p>
      <w:pPr>
        <w:spacing w:after="60"/>
        <w:ind w:left="510" w:hanging="397"/>
      </w:pPr>
      <w:r>
        <w:rPr>
          <w:b w:val="0"/>
        </w:rPr>
        <w:t xml:space="preserve">1. </w:t>
      </w:r>
      <w:r>
        <w:rPr>
          <w:b/>
        </w:rPr>
        <w:t>«Cotizo para mi propia jubilación.»</w:t>
      </w:r>
      <w:r>
        <w:t xml:space="preserve"> El sistema es de reparto: lo que se cotiza hoy paga las pensiones de hoy. «El sistema financiero de todos los regímenes que integran el sistema de la Seguridad Social será el de reparto»</w:t>
      </w:r>
      <w:r>
        <w:t xml:space="preserve"> (Ley General de la Seguridad Social, art. 110.1)</w:t>
      </w:r>
      <w:r>
        <w:br/>
      </w:r>
      <w:r>
        <w:rPr>
          <w:b/>
        </w:rPr>
        <w:t>leída en su fuente · Ley General de la Seguridad Social, art. 110.1</w:t>
      </w:r>
      <w:r>
        <w:br/>
      </w:r>
      <w:r>
        <w:rPr>
          <w:b/>
        </w:rPr>
        <w:t>Archivo leído:</w:t>
      </w:r>
      <w:r>
        <w:t xml:space="preserve"> lgss_rdl8_2015.html (c5\lgss_rdl8_2015.html) · contraste del archivo de pasajes: ✔</w:t>
      </w:r>
      <w:r>
        <w:br/>
      </w:r>
      <w:r>
        <w:rPr>
          <w:b/>
        </w:rPr>
        <w:t>Lugar:</w:t>
      </w:r>
      <w:r>
        <w:t xml:space="preserve"> Art. 110.1 (#a110)</w:t>
      </w:r>
      <w:r>
        <w:br/>
      </w:r>
      <w:r>
        <w:rPr>
          <w:b/>
        </w:rPr>
        <w:t>Dirección:</w:t>
      </w:r>
      <w:r>
        <w:t xml:space="preserve"> </w:t>
      </w:r>
      <w:r>
        <w:t>https://www.boe.es/buscar/act.php?id=BOE-A-2015-11724</w:t>
      </w:r>
      <w:r>
        <w:br/>
      </w:r>
      <w:r>
        <w:rPr>
          <w:b/>
        </w:rPr>
        <w:t>Tal como está en la fuente:</w:t>
      </w:r>
      <w:r>
        <w:t xml:space="preserve"> 1. El sistema financiero de todos los regímenes que integran el sistema de la Seguridad Social será el de reparto</w:t>
      </w:r>
      <w:r>
        <w:t>. (</w:t>
      </w:r>
      <w:r>
        <w:t>8.6</w:t>
      </w:r>
      <w:r>
        <w:t>)</w:t>
      </w:r>
    </w:p>
    <w:p>
      <w:pPr>
        <w:spacing w:after="60"/>
        <w:ind w:left="510" w:hanging="397"/>
      </w:pPr>
      <w:r>
        <w:rPr>
          <w:b w:val="0"/>
        </w:rPr>
        <w:t xml:space="preserve">2. </w:t>
      </w:r>
      <w:r>
        <w:rPr>
          <w:b/>
        </w:rPr>
        <w:t>«La hucha de las pensiones guarda el dinero de los trabajadores.»</w:t>
      </w:r>
      <w:r>
        <w:t xml:space="preserve"> La ley obliga a invertirla en títulos públicos</w:t>
      </w:r>
      <w:r>
        <w:t xml:space="preserve"> (Ley General de la Seguridad Social, art. 122)</w:t>
      </w:r>
      <w:r>
        <w:t>, y hoy «está compuesta, exclusivamente, por deuda pública española»</w:t>
      </w:r>
      <w:r>
        <w:t xml:space="preserve"> (Fondo de Reserva, informe a las Cortes Generales, 2025)</w:t>
      </w:r>
      <w:r>
        <w:br/>
      </w:r>
      <w:r>
        <w:rPr>
          <w:b/>
        </w:rPr>
        <w:t>leída en su fuente · Fondo de Reserva, informe a las Cortes Generales, 2025</w:t>
      </w:r>
      <w:r>
        <w:br/>
      </w:r>
      <w:r>
        <w:rPr>
          <w:b/>
        </w:rPr>
        <w:t>Archivo leído:</w:t>
      </w:r>
      <w:r>
        <w:t xml:space="preserve"> fondo_reserva_informe_cortes_2025.pdf (c5\fondo_reserva_informe_cortes_2025.pdf) · contraste del archivo de pasajes: ✔</w:t>
      </w:r>
      <w:r>
        <w:br/>
      </w:r>
      <w:r>
        <w:rPr>
          <w:b/>
        </w:rPr>
        <w:t>Lugar:</w:t>
      </w:r>
      <w:r>
        <w:t xml:space="preserve"> Pág. PDF 33 (impresa 31)</w:t>
      </w:r>
      <w:r>
        <w:br/>
      </w:r>
      <w:r>
        <w:rPr>
          <w:b/>
        </w:rPr>
        <w:t>Dirección:</w:t>
      </w:r>
      <w:r>
        <w:t xml:space="preserve"> </w:t>
      </w:r>
      <w:r>
        <w:t>https://www.seg-social.es/descarga/es/15072026</w:t>
      </w:r>
      <w:r>
        <w:br/>
      </w:r>
      <w:r>
        <w:rPr>
          <w:b/>
        </w:rPr>
        <w:t>Tal como está en la fuente:</w:t>
      </w:r>
      <w:r>
        <w:t xml:space="preserve"> La cartera está compuesta, exclusivamente, por deuda pública española y su clasificación por tramos</w:t>
      </w:r>
      <w:r>
        <w:t>. En el comité que decide se sienta el Director General del Tesoro</w:t>
      </w:r>
      <w:r>
        <w:t xml:space="preserve"> (art. 123.2.d)</w:t>
      </w:r>
      <w:r>
        <w:t>. En los últimos diez años rindió un 0,12 % al año, con una inflación del 2,39 %. (</w:t>
      </w:r>
      <w:r>
        <w:t>8.6</w:t>
      </w:r>
      <w:r>
        <w:t>)</w:t>
      </w:r>
    </w:p>
    <w:p>
      <w:pPr>
        <w:spacing w:after="60"/>
        <w:ind w:left="510" w:hanging="397"/>
      </w:pPr>
      <w:r>
        <w:rPr>
          <w:b w:val="0"/>
        </w:rPr>
        <w:t xml:space="preserve">3. </w:t>
      </w:r>
      <w:r>
        <w:rPr>
          <w:b/>
        </w:rPr>
        <w:t>«Las cotizaciones de la empresa son dinero privado.»</w:t>
      </w:r>
      <w:r>
        <w:t xml:space="preserve"> De los 223.612 millones de euros de cotizaciones de 2025, 161.409 los pagan los empleadores, y entre ellos están las propias administraciones por su personal, que lo pagan con impuestos. Las estadísticas no separan una parte de la otra</w:t>
      </w:r>
      <w:r>
        <w:t xml:space="preserve"> (Eurostat, cuentas de las administraciones públicas)</w:t>
      </w:r>
      <w:r>
        <w:t>. (</w:t>
      </w:r>
      <w:r>
        <w:t>8.6</w:t>
      </w:r>
      <w:r>
        <w:t>)</w:t>
      </w:r>
    </w:p>
    <w:p>
      <w:pPr>
        <w:spacing w:after="60"/>
        <w:ind w:left="510" w:hanging="397"/>
      </w:pPr>
      <w:r>
        <w:rPr>
          <w:b w:val="0"/>
        </w:rPr>
        <w:t xml:space="preserve">4. </w:t>
      </w:r>
      <w:r>
        <w:rPr>
          <w:b/>
        </w:rPr>
        <w:t>«La presión fiscal es la cifra que se publica, en torno al 38 %.»</w:t>
      </w:r>
      <w:r>
        <w:t xml:space="preserve"> Medida sobre el coste laboral de quien trabaja, la carga va del 41 % firme al 53,6 % con todas las capas: de cada 100 euros que paga la empresa por un trabajador, hasta 53,6 van a impuestos y cotizaciones. (</w:t>
      </w:r>
      <w:r>
        <w:t>8.4</w:t>
      </w:r>
      <w:r>
        <w:t>)</w:t>
      </w:r>
    </w:p>
    <w:p>
      <w:pPr>
        <w:spacing w:after="60"/>
        <w:ind w:left="510" w:hanging="397"/>
      </w:pPr>
      <w:r>
        <w:rPr>
          <w:b w:val="0"/>
        </w:rPr>
        <w:t xml:space="preserve">5. </w:t>
      </w:r>
      <w:r>
        <w:rPr>
          <w:b/>
        </w:rPr>
        <w:t>«Si no me suben el IRPF, pago lo mismo.»</w:t>
      </w:r>
      <w:r>
        <w:t xml:space="preserve"> La escala estatal del IRPF no se actualiza desde la reforma de 2014, salvo un tramo añadido en 2021 por encima de 300.000 euros</w:t>
      </w:r>
      <w:r>
        <w:t xml:space="preserve"> (Ley 35/2006, art. 63)</w:t>
      </w:r>
      <w:r>
        <w:t>, y «El mínimo del contribuyente será, con carácter general, de 5.550 euros anuales»</w:t>
      </w:r>
      <w:r>
        <w:t xml:space="preserve"> (art. 57.1)</w:t>
      </w:r>
      <w:r>
        <w:br/>
      </w:r>
      <w:r>
        <w:rPr>
          <w:b/>
        </w:rPr>
        <w:t>leída en su fuente · art. 57.1</w:t>
      </w:r>
      <w:r>
        <w:br/>
      </w:r>
      <w:r>
        <w:rPr>
          <w:b/>
        </w:rPr>
        <w:t>Archivo leído:</w:t>
      </w:r>
      <w:r>
        <w:t xml:space="preserve"> irpf_ley35_2006.html (c5\irpf_ley35_2006.html) · contraste del archivo de pasajes: ✔</w:t>
      </w:r>
      <w:r>
        <w:br/>
      </w:r>
      <w:r>
        <w:rPr>
          <w:b/>
        </w:rPr>
        <w:t>Lugar:</w:t>
      </w:r>
      <w:r>
        <w:t xml:space="preserve"> Art. 57.1 (#a57)</w:t>
      </w:r>
      <w:r>
        <w:br/>
      </w:r>
      <w:r>
        <w:rPr>
          <w:b/>
        </w:rPr>
        <w:t>Dirección:</w:t>
      </w:r>
      <w:r>
        <w:t xml:space="preserve"> </w:t>
      </w:r>
      <w:r>
        <w:t>https://www.boe.es/buscar/act.php?id=BOE-A-2006-20764</w:t>
      </w:r>
      <w:r>
        <w:br/>
      </w:r>
      <w:r>
        <w:rPr>
          <w:b/>
        </w:rPr>
        <w:t>Tal como está en la fuente:</w:t>
      </w:r>
      <w:r>
        <w:t xml:space="preserve"> 1. El mínimo del contribuyente será, con carácter general, de 5.550 euros anuales.</w:t>
      </w:r>
      <w:r>
        <w:t>, la misma cifra desde 2015. Los precios subieron un 28,0 % entre 2015 y 2025: con el mismo poder adquisitivo se paga más, sin que ninguna ley suba el impuesto. Para las rentas más bajas se ha ampliado la reducción por rendimientos del trabajo, que compensa una parte. El Banco de España estimó en unos 11.000 millones lo recaudado de más solo en 2023 por este efecto. (</w:t>
      </w:r>
      <w:r>
        <w:t>8.3</w:t>
      </w:r>
      <w:r>
        <w:t>)</w:t>
      </w:r>
    </w:p>
    <w:p>
      <w:pPr>
        <w:spacing w:after="60"/>
        <w:ind w:left="510" w:hanging="397"/>
      </w:pPr>
      <w:r>
        <w:rPr>
          <w:b w:val="0"/>
        </w:rPr>
        <w:t xml:space="preserve">6. </w:t>
      </w:r>
      <w:r>
        <w:rPr>
          <w:b/>
        </w:rPr>
        <w:t>«Cuando suben los precios, el Estado pierde como todos.»</w:t>
      </w:r>
      <w:r>
        <w:t xml:space="preserve"> El Estado es el mayor deudor del país, y la subida de los precios rebaja el valor real de lo que debe. Entre 2021 y 2025 rebajó su deuda, en términos reales, en 306.760 millones de euros, mientras se pagaban 172.603 millones en intereses. Lo que pierde quien ahorra lo gana, en buena parte, quien debe. (</w:t>
      </w:r>
      <w:r>
        <w:t>8.3</w:t>
      </w:r>
      <w:r>
        <w:t>)</w:t>
      </w:r>
    </w:p>
    <w:p>
      <w:pPr>
        <w:spacing w:after="60"/>
        <w:ind w:left="510" w:hanging="397"/>
      </w:pPr>
      <w:r>
        <w:rPr>
          <w:b w:val="0"/>
        </w:rPr>
        <w:t xml:space="preserve">7. </w:t>
      </w:r>
      <w:r>
        <w:rPr>
          <w:b/>
        </w:rPr>
        <w:t>«El Estado responde de sus deudas como cualquiera.»</w:t>
      </w:r>
      <w:r>
        <w:t xml:space="preserve"> «Las entidades que integran la organización territorial del Estado, los organismos públicos y demás entes de derecho público no podrán ser declarados en concurso»</w:t>
      </w:r>
      <w:r>
        <w:t xml:space="preserve"> (texto refundido de la Ley Concursal, art. 1.3)</w:t>
      </w:r>
      <w:r>
        <w:br/>
      </w:r>
      <w:r>
        <w:rPr>
          <w:b/>
        </w:rPr>
        <w:t>leída en su fuente · texto refundido de la Ley Concursal, art. 1.3</w:t>
      </w:r>
      <w:r>
        <w:br/>
      </w:r>
      <w:r>
        <w:rPr>
          <w:b/>
        </w:rPr>
        <w:t>Archivo leído:</w:t>
      </w:r>
      <w:r>
        <w:t xml:space="preserve"> ley_concursal_rdleg1_2020.html (c5\ley_concursal_rdleg1_2020.html) · contraste del archivo de pasajes: ✔</w:t>
      </w:r>
      <w:r>
        <w:br/>
      </w:r>
      <w:r>
        <w:rPr>
          <w:b/>
        </w:rPr>
        <w:t>Lugar:</w:t>
      </w:r>
      <w:r>
        <w:t xml:space="preserve"> Art. 1.3 (#a1)</w:t>
      </w:r>
      <w:r>
        <w:br/>
      </w:r>
      <w:r>
        <w:rPr>
          <w:b/>
        </w:rPr>
        <w:t>Dirección:</w:t>
      </w:r>
      <w:r>
        <w:t xml:space="preserve"> </w:t>
      </w:r>
      <w:r>
        <w:t>https://www.boe.es/buscar/act.php?id=BOE-A-2020-4859</w:t>
      </w:r>
      <w:r>
        <w:br/>
      </w:r>
      <w:r>
        <w:rPr>
          <w:b/>
        </w:rPr>
        <w:t>Tal como está en la fuente:</w:t>
      </w:r>
      <w:r>
        <w:t xml:space="preserve"> 3. Las entidades que integran la organización territorial del Estado, los organismos públicos y demás entes de derecho público no podrán ser declarados en concurso.</w:t>
      </w:r>
      <w:r>
        <w:t>. (</w:t>
      </w:r>
      <w:r>
        <w:t>9.1</w:t>
      </w:r>
      <w:r>
        <w:t>)</w:t>
      </w:r>
    </w:p>
    <w:p>
      <w:pPr>
        <w:spacing w:after="60"/>
        <w:ind w:left="510" w:hanging="397"/>
      </w:pPr>
      <w:r>
        <w:rPr>
          <w:b w:val="0"/>
        </w:rPr>
        <w:t xml:space="preserve">8. </w:t>
      </w:r>
      <w:r>
        <w:rPr>
          <w:b/>
        </w:rPr>
        <w:t>«La deuda se paga cuando se puede, como cualquier otro gasto.»</w:t>
      </w:r>
      <w:r>
        <w:t xml:space="preserve"> Su pago «gozará de prioridad absoluta», y sus créditos «no podrán ser objeto de enmienda o modificación, mientras se ajusten a las condiciones de la ley de emisión»</w:t>
      </w:r>
      <w:r>
        <w:t xml:space="preserve"> (Constitución, art. 135.3)</w:t>
      </w:r>
      <w:r>
        <w:br/>
      </w:r>
      <w:r>
        <w:rPr>
          <w:b/>
        </w:rPr>
        <w:t>leída en su fuente · Constitución, art. 135.3</w:t>
      </w:r>
      <w:r>
        <w:br/>
      </w:r>
      <w:r>
        <w:rPr>
          <w:b/>
        </w:rPr>
        <w:t>Archivo leído:</w:t>
      </w:r>
      <w:r>
        <w:t xml:space="preserve"> ce.html (ant\c1\ce.html) · contraste del archivo de pasajes: ✔</w:t>
      </w:r>
      <w:r>
        <w:br/>
      </w:r>
      <w:r>
        <w:rPr>
          <w:b/>
        </w:rPr>
        <w:t>Lugar:</w:t>
      </w:r>
      <w:r>
        <w:t xml:space="preserve"> Constitución, art. 135.3</w:t>
      </w:r>
      <w:r>
        <w:br/>
      </w:r>
      <w:r>
        <w:rPr>
          <w:b/>
        </w:rPr>
        <w:t>Tal como está en la fuente:</w:t>
      </w:r>
      <w:r>
        <w:t xml:space="preserve"> no podrán ser objeto de enmienda o modificación, mientras se ajusten a las condiciones de la ley de emisión</w:t>
      </w:r>
      <w:r>
        <w:t>. Los intereses de todas las administraciones juntas fueron 40.314 millones en 2025, casi lo mismo que el déficit de ese año. (</w:t>
      </w:r>
      <w:r>
        <w:t>8.6</w:t>
      </w:r>
      <w:r>
        <w:t xml:space="preserve">; </w:t>
      </w:r>
      <w:r>
        <w:t>anexo A</w:t>
      </w:r>
      <w:r>
        <w:t>, art. 135)</w:t>
      </w:r>
    </w:p>
    <w:p>
      <w:pPr>
        <w:spacing w:after="60"/>
        <w:ind w:left="510" w:hanging="397"/>
      </w:pPr>
      <w:r>
        <w:rPr>
          <w:b w:val="0"/>
        </w:rPr>
        <w:t xml:space="preserve">9. </w:t>
      </w:r>
      <w:r>
        <w:rPr>
          <w:b/>
        </w:rPr>
        <w:t>«Si un impuesto es inconstitucional, me devuelven lo que pagué.»</w:t>
      </w:r>
      <w:r>
        <w:t xml:space="preserve"> El Constitucional anuló la amnistía fiscal de 2012</w:t>
      </w:r>
      <w:r>
        <w:t xml:space="preserve"> (STC 73/2017)</w:t>
      </w:r>
      <w:r>
        <w:t xml:space="preserve"> y el cálculo de la plusvalía municipal</w:t>
      </w:r>
      <w:r>
        <w:t xml:space="preserve"> (STC 182/2021)</w:t>
      </w:r>
      <w:r>
        <w:t xml:space="preserve"> con efectos solo hacia delante: las liquidaciones ya firmes no se revisaron. (</w:t>
      </w:r>
      <w:r>
        <w:t>anexo A</w:t>
      </w:r>
      <w:r>
        <w:t>, art. 31)</w:t>
      </w:r>
    </w:p>
    <w:p>
      <w:pPr>
        <w:spacing w:after="60"/>
        <w:ind w:left="510" w:hanging="397"/>
      </w:pPr>
      <w:r>
        <w:rPr>
          <w:b w:val="0"/>
        </w:rPr>
        <w:t xml:space="preserve">10. </w:t>
      </w:r>
      <w:r>
        <w:rPr>
          <w:b/>
        </w:rPr>
        <w:t>«El dinero lo emite el Estado.»</w:t>
      </w:r>
      <w:r>
        <w:t xml:space="preserve"> La mayor parte del dinero la crea la banca al conceder préstamos. Lo dice el propio Banco de Inglaterra: el artículo «explica cómo la mayor parte del dinero de la economía moderna lo crean los bancos comerciales al conceder préstamos»</w:t>
      </w:r>
      <w:r>
        <w:t xml:space="preserve"> [original: «This article explains how the majority of money in the modern economy is created by commercial banks making loans.»]</w:t>
      </w:r>
      <w:r>
        <w:t xml:space="preserve"> (Banco de Inglaterra, «Money creation in the modern economy» (La creación del dinero en la economía moderna), Quarterly Bulletin (Boletín trimestral), 2014)</w:t>
      </w:r>
      <w:r>
        <w:br/>
      </w:r>
      <w:r>
        <w:rPr>
          <w:b/>
        </w:rPr>
        <w:t>leída en su fuente · Banco de Inglaterra, «Money creation in the modern economy» (La creación del dinero en la</w:t>
      </w:r>
      <w:r>
        <w:br/>
      </w:r>
      <w:r>
        <w:rPr>
          <w:b/>
        </w:rPr>
        <w:t>Archivo leído:</w:t>
      </w:r>
      <w:r>
        <w:t xml:space="preserve"> banco_inglaterra_2014_money_creation_modern_economy.pdf (c5\banco_inglaterra_2014_money_creation_modern_economy.pdf) · contraste del archivo de pasajes: ✔</w:t>
      </w:r>
      <w:r>
        <w:br/>
      </w:r>
      <w:r>
        <w:rPr>
          <w:b/>
        </w:rPr>
        <w:t>Lugar:</w:t>
      </w:r>
      <w:r>
        <w:t xml:space="preserve"> Quarterly Bulletin (Boletín trimestral) 2014 Q1, pág. 14 (pág. PDF 1), entradilla</w:t>
      </w:r>
      <w:r>
        <w:br/>
      </w:r>
      <w:r>
        <w:rPr>
          <w:b/>
        </w:rPr>
        <w:t>Dirección:</w:t>
      </w:r>
      <w:r>
        <w:t xml:space="preserve"> </w:t>
      </w:r>
      <w:r>
        <w:t>https://www.bankofengland.co.uk/-/media/boe/files/quarterly-bulletin/2014/money-creation-in-the-modern-economy.pdf</w:t>
      </w:r>
      <w:r>
        <w:br/>
      </w:r>
      <w:r>
        <w:rPr>
          <w:b/>
        </w:rPr>
        <w:t>Tal como está en la fuente:</w:t>
      </w:r>
      <w:r>
        <w:t xml:space="preserve"> This article explains how the majority of money in the modern economy is created by commercial banks making loans.</w:t>
      </w:r>
      <w:r>
        <w:br/>
      </w:r>
      <w:r>
        <w:rPr>
          <w:b/>
        </w:rPr>
        <w:t>Traducción guardada:</w:t>
      </w:r>
      <w:r>
        <w:t xml:space="preserve"> Este artículo explica cómo la mayor parte del dinero en la economía moderna lo crean los bancos comerciales al conceder préstamos.</w:t>
      </w:r>
      <w:r>
        <w:t>. (</w:t>
      </w:r>
      <w:r>
        <w:t>8.1</w:t>
      </w:r>
      <w:r>
        <w:t>)</w:t>
      </w:r>
    </w:p>
    <w:p>
      <w:pPr>
        <w:spacing w:after="60"/>
        <w:ind w:left="510" w:hanging="397"/>
      </w:pPr>
      <w:r>
        <w:rPr>
          <w:b w:val="0"/>
        </w:rPr>
        <w:t xml:space="preserve">11. </w:t>
      </w:r>
      <w:r>
        <w:rPr>
          <w:b/>
        </w:rPr>
        <w:t>«Mi dinero está respaldado por algo, oro o reservas.»</w:t>
      </w:r>
      <w:r>
        <w:t xml:space="preserve"> Desde 1971 ninguna moneda se puede cambiar por oro, tampoco la peseta ni el euro. El dinero vale lo que la ley declara, «Los billetes y monedas denominados en euros serán los únicos de curso legal en el territorio nacional»</w:t>
      </w:r>
      <w:r>
        <w:t xml:space="preserve"> (Ley 46/1998, art. 3)</w:t>
      </w:r>
      <w:r>
        <w:br/>
      </w:r>
      <w:r>
        <w:rPr>
          <w:b/>
        </w:rPr>
        <w:t>leída en su fuente · Ley 46/1998, art. 3</w:t>
      </w:r>
      <w:r>
        <w:br/>
      </w:r>
      <w:r>
        <w:rPr>
          <w:b/>
        </w:rPr>
        <w:t>Archivo leído:</w:t>
      </w:r>
      <w:r>
        <w:t xml:space="preserve"> ley46_1998_euro.html (c5\ley46_1998_euro.html) · contraste del archivo de pasajes: ✔</w:t>
      </w:r>
      <w:r>
        <w:br/>
      </w:r>
      <w:r>
        <w:rPr>
          <w:b/>
        </w:rPr>
        <w:t>Lugar:</w:t>
      </w:r>
      <w:r>
        <w:t xml:space="preserve"> Art. 3, apartado Dos (#a3)</w:t>
      </w:r>
      <w:r>
        <w:br/>
      </w:r>
      <w:r>
        <w:rPr>
          <w:b/>
        </w:rPr>
        <w:t>Dirección:</w:t>
      </w:r>
      <w:r>
        <w:t xml:space="preserve"> </w:t>
      </w:r>
      <w:r>
        <w:t>https://www.boe.es/buscar/act.php?id=BOE-A-1998-29216</w:t>
      </w:r>
      <w:r>
        <w:br/>
      </w:r>
      <w:r>
        <w:rPr>
          <w:b/>
        </w:rPr>
        <w:t>Tal como está en la fuente:</w:t>
      </w:r>
      <w:r>
        <w:t xml:space="preserve"> Los billetes y monedas denominados en euros serán los únicos de curso legal en el territorio nacional.</w:t>
      </w:r>
      <w:r>
        <w:t>, y lo que la gente confía en él. Desde el 1 de enero de 1971, 100 euros guardados han perdido el 96 % de su valor: hoy compran lo que entonces 3,90. (</w:t>
      </w:r>
      <w:r>
        <w:t>8.1</w:t>
      </w:r>
      <w:r>
        <w:t xml:space="preserve"> y </w:t>
      </w:r>
      <w:r>
        <w:t>8.3</w:t>
      </w:r>
      <w:r>
        <w:t>)</w:t>
      </w:r>
    </w:p>
    <w:p>
      <w:pPr>
        <w:spacing w:after="60"/>
        <w:ind w:left="510" w:hanging="397"/>
      </w:pPr>
      <w:r>
        <w:rPr>
          <w:b w:val="0"/>
        </w:rPr>
        <w:t xml:space="preserve">12. </w:t>
      </w:r>
      <w:r>
        <w:rPr>
          <w:b/>
        </w:rPr>
        <w:t>«Si suben los precios, es que las cosas valen más.»</w:t>
      </w:r>
      <w:r>
        <w:t xml:space="preserve"> Lo que pierde valor es la moneda. Ya en 1609 Juan de Mariana advirtió que rebajar la moneda es un tributo disfrazado (</w:t>
      </w:r>
      <w:r>
        <w:t>8.2</w:t>
      </w:r>
      <w:r>
        <w:t>). Y hoy la política monetaria del euro no la decide España: es competencia exclusiva de la Unión</w:t>
      </w:r>
      <w:r>
        <w:t xml:space="preserve"> [original: «la política monetaria de los Estados miembros cuya moneda es el euro»]</w:t>
      </w:r>
      <w:r>
        <w:t xml:space="preserve"> (Tratado de Funcionamiento de la Unión Europea, art. 3.1.c)</w:t>
      </w:r>
      <w:r>
        <w:t>. (</w:t>
      </w:r>
      <w:r>
        <w:t>8.2</w:t>
      </w:r>
      <w:r>
        <w:t xml:space="preserve"> y </w:t>
      </w:r>
      <w:r>
        <w:t>8.3</w:t>
      </w:r>
      <w:r>
        <w:t>)</w:t>
      </w:r>
    </w:p>
    <w:p>
      <w:r>
        <w:t>[00.1-1.1 a 1.14; normas leídas en el BOE; Fondo de Reserva, Banco de Inglaterra y Tratado, en su documento]</w:t>
      </w:r>
    </w:p>
    <w:p>
      <w:r>
        <w:rPr>
          <w:b/>
        </w:rPr>
        <w:t>El dinero sin respaldo material.</w:t>
      </w:r>
      <w:r>
        <w:t xml:space="preserve"> Desde aquí, la edición llama así al dinero que no se puede cambiar por oro ni por ningún bien: vale por lo que la ley declara, su «curso legal», y por la confianza que la gente tiene en él. Es la norma en todo el mundo desde 1971. Se desarrolla en </w:t>
      </w:r>
      <w:r>
        <w:t>8.1</w:t>
      </w:r>
      <w:r>
        <w:t xml:space="preserve">. </w:t>
      </w:r>
      <w:r>
        <w:t>[glosario 6.1]</w:t>
      </w:r>
    </w:p>
    <w:p>
      <w:pPr>
        <w:pStyle w:val="Heading3"/>
      </w:pPr>
      <w:r>
        <w:t>El poder</w:t>
      </w:r>
    </w:p>
    <w:p>
      <w:r>
        <w:t>Lo que se cree sobre quién manda, quién responde y con qué freno.</w:t>
      </w:r>
    </w:p>
    <w:p>
      <w:pPr>
        <w:spacing w:after="60"/>
        <w:ind w:left="510" w:hanging="397"/>
      </w:pPr>
      <w:r>
        <w:rPr>
          <w:b w:val="0"/>
        </w:rPr>
        <w:t xml:space="preserve">1. </w:t>
      </w:r>
      <w:r>
        <w:rPr>
          <w:b/>
        </w:rPr>
        <w:t>«Vivimos bajo un contrato social que todos aceptamos.»</w:t>
      </w:r>
      <w:r>
        <w:t xml:space="preserve"> Nadie lo firmó. «No hay contrato sino cuando concurren los requisitos siguientes: 1.º Consentimiento de los contratantes. 2.º Objeto cierto que sea materia del contrato. 3.º Causa de la obligación que se establezca»</w:t>
      </w:r>
      <w:r>
        <w:t xml:space="preserve"> (Código Civil, art. 1261)</w:t>
      </w:r>
      <w:r>
        <w:br/>
      </w:r>
      <w:r>
        <w:rPr>
          <w:b/>
        </w:rPr>
        <w:t>leída en su fuente · Código Civil, art. 1261</w:t>
      </w:r>
      <w:r>
        <w:br/>
      </w:r>
      <w:r>
        <w:rPr>
          <w:b/>
        </w:rPr>
        <w:t>Archivo leído:</w:t>
      </w:r>
      <w:r>
        <w:t xml:space="preserve"> codigo_civil_1889.html (c5\codigo_civil_1889.html) · contraste del archivo de pasajes: ✔</w:t>
      </w:r>
      <w:r>
        <w:br/>
      </w:r>
      <w:r>
        <w:rPr>
          <w:b/>
        </w:rPr>
        <w:t>Dirección:</w:t>
      </w:r>
      <w:r>
        <w:t xml:space="preserve"> </w:t>
      </w:r>
      <w:r>
        <w:t>https://www.boe.es/buscar/act.php?id=BOE-A-1889-4763</w:t>
      </w:r>
      <w:r>
        <w:br/>
      </w:r>
      <w:r>
        <w:rPr>
          <w:b/>
        </w:rPr>
        <w:t>Tal como está en la fuente:</w:t>
      </w:r>
      <w:r>
        <w:t xml:space="preserve"> Artículo 1261. No hay contrato sino cuando concurren los requisitos siguientes: 1.º Consentimiento de los contratantes. 2.º Objeto cierto que sea materia del contrato. 3.º Causa de la obligación que se establezca.</w:t>
      </w:r>
      <w:r>
        <w:t xml:space="preserve">. Si fue un hecho o solo una idea, se examina en </w:t>
      </w:r>
      <w:r>
        <w:t>6.1</w:t>
      </w:r>
      <w:r>
        <w:t>.</w:t>
      </w:r>
    </w:p>
    <w:p>
      <w:pPr>
        <w:spacing w:after="60"/>
        <w:ind w:left="510" w:hanging="397"/>
      </w:pPr>
      <w:r>
        <w:rPr>
          <w:b w:val="0"/>
        </w:rPr>
        <w:t xml:space="preserve">2. </w:t>
      </w:r>
      <w:r>
        <w:rPr>
          <w:b/>
        </w:rPr>
        <w:t>«El Gobierno legisla por decreto solo en casos de urgencia.»</w:t>
      </w:r>
      <w:r>
        <w:t xml:space="preserve"> La Constitución lo permite solo «En caso de extraordinaria y urgente necesidad»</w:t>
      </w:r>
      <w:r>
        <w:t xml:space="preserve"> (Constitución, art. 86.1)</w:t>
      </w:r>
      <w:r>
        <w:br/>
      </w:r>
      <w:r>
        <w:rPr>
          <w:b/>
        </w:rPr>
        <w:t>leída en su fuente · Constitución, art. 86.1</w:t>
      </w:r>
      <w:r>
        <w:br/>
      </w:r>
      <w:r>
        <w:rPr>
          <w:b/>
        </w:rPr>
        <w:t>Archivo leído:</w:t>
      </w:r>
      <w:r>
        <w:t xml:space="preserve"> constitucion_1978.html (c5\constitucion_1978.html) · contraste del archivo de pasajes: ✔</w:t>
      </w:r>
      <w:r>
        <w:br/>
      </w:r>
      <w:r>
        <w:rPr>
          <w:b/>
        </w:rPr>
        <w:t>Lugar:</w:t>
      </w:r>
      <w:r>
        <w:t xml:space="preserve"> Art. 86.1 (#a86)</w:t>
      </w:r>
      <w:r>
        <w:br/>
      </w:r>
      <w:r>
        <w:rPr>
          <w:b/>
        </w:rPr>
        <w:t>Dirección:</w:t>
      </w:r>
      <w:r>
        <w:t xml:space="preserve"> </w:t>
      </w:r>
      <w:r>
        <w:t>https://www.boe.es/buscar/act.php?id=BOE-A-1978-31229</w:t>
      </w:r>
      <w:r>
        <w:br/>
      </w:r>
      <w:r>
        <w:rPr>
          <w:b/>
        </w:rPr>
        <w:t>Tal como está en la fuente:</w:t>
      </w:r>
      <w:r>
        <w:t xml:space="preserve"> 1. En caso de extraordinaria y urgente necesidad, el Gobierno podrá dictar disposiciones legislativas</w:t>
      </w:r>
      <w:r>
        <w:t>, y el Constitucional ha anulado al menos cinco veces decretos-leyes por no justificar esa urgencia: uno entero, en 2007</w:t>
      </w:r>
      <w:r>
        <w:t xml:space="preserve"> (STC 68/2007, de 28-III)</w:t>
      </w:r>
      <w:r>
        <w:t>, y partes de otros cuatro: dos en 2011</w:t>
      </w:r>
      <w:r>
        <w:t xml:space="preserve"> (STC 31/2011, de 17-III; STC 137/2011, de 14-IX)</w:t>
      </w:r>
      <w:r>
        <w:t>, uno en 2018</w:t>
      </w:r>
      <w:r>
        <w:t xml:space="preserve"> (STC 61/2018, de 7-VI)</w:t>
      </w:r>
      <w:r>
        <w:t xml:space="preserve"> y otro en 2020</w:t>
      </w:r>
      <w:r>
        <w:t xml:space="preserve"> (STC 14/2020, de 28-I)</w:t>
      </w:r>
      <w:r>
        <w:t xml:space="preserve">. Cuántos se dictan frente a las leyes, con su cautela, se ve en el </w:t>
      </w:r>
      <w:r>
        <w:t>anexo A</w:t>
      </w:r>
      <w:r>
        <w:t xml:space="preserve"> (art. 86).</w:t>
      </w:r>
    </w:p>
    <w:p>
      <w:pPr>
        <w:spacing w:after="60"/>
        <w:ind w:left="510" w:hanging="397"/>
      </w:pPr>
      <w:r>
        <w:rPr>
          <w:b w:val="0"/>
        </w:rPr>
        <w:t xml:space="preserve">3. </w:t>
      </w:r>
      <w:r>
        <w:rPr>
          <w:b/>
        </w:rPr>
        <w:t>«El Estado y el ciudadano se cobran con la misma vara.»</w:t>
      </w:r>
      <w:r>
        <w:t xml:space="preserve"> Los actos de la Administración «serán inmediatamente ejecutivos»</w:t>
      </w:r>
      <w:r>
        <w:t xml:space="preserve"> (Ley 39/2015, art. 98.1)</w:t>
      </w:r>
      <w:r>
        <w:br/>
      </w:r>
      <w:r>
        <w:rPr>
          <w:b/>
        </w:rPr>
        <w:t>leída en su fuente · art. 98.1</w:t>
      </w:r>
      <w:r>
        <w:br/>
      </w:r>
      <w:r>
        <w:rPr>
          <w:b/>
        </w:rPr>
        <w:t>Archivo leído:</w:t>
      </w:r>
      <w:r>
        <w:t xml:space="preserve"> ley39_2015_procedimiento.html (c5\ley39_2015_procedimiento.html) · contraste del archivo de pasajes: ✔</w:t>
      </w:r>
      <w:r>
        <w:br/>
      </w:r>
      <w:r>
        <w:rPr>
          <w:b/>
        </w:rPr>
        <w:t>Lugar:</w:t>
      </w:r>
      <w:r>
        <w:t xml:space="preserve"> Art. 98.1 (#a98)</w:t>
      </w:r>
      <w:r>
        <w:br/>
      </w:r>
      <w:r>
        <w:rPr>
          <w:b/>
        </w:rPr>
        <w:t>Dirección:</w:t>
      </w:r>
      <w:r>
        <w:t xml:space="preserve"> </w:t>
      </w:r>
      <w:r>
        <w:t>https://www.boe.es/buscar/act.php?id=BOE-A-2015-10565</w:t>
      </w:r>
      <w:r>
        <w:br/>
      </w:r>
      <w:r>
        <w:rPr>
          <w:b/>
        </w:rPr>
        <w:t>Tal como está en la fuente:</w:t>
      </w:r>
      <w:r>
        <w:t xml:space="preserve"> 1. Los actos de las Administraciones Públicas sujetos al Derecho Administrativo serán inmediatamente ejecutivos</w:t>
      </w:r>
      <w:r>
        <w:t>, y ella misma puede ejecutarlos</w:t>
      </w:r>
      <w:r>
        <w:t xml:space="preserve"> (art. 99)</w:t>
      </w:r>
      <w:r>
        <w:t>: embarga sin juez previo. Un particular necesita siempre un título, porque «La acción ejecutiva deberá fundarse en un título que tenga aparejada ejecución»</w:t>
      </w:r>
      <w:r>
        <w:t xml:space="preserve"> (Ley de Enjuiciamiento Civil, art. 517.1)</w:t>
      </w:r>
      <w:r>
        <w:br/>
      </w:r>
      <w:r>
        <w:rPr>
          <w:b/>
        </w:rPr>
        <w:t>leída en su fuente · Ley de Enjuiciamiento Civil, art. 517.1</w:t>
      </w:r>
      <w:r>
        <w:br/>
      </w:r>
      <w:r>
        <w:rPr>
          <w:b/>
        </w:rPr>
        <w:t>Archivo leído:</w:t>
      </w:r>
      <w:r>
        <w:t xml:space="preserve"> lec_ley1_2000.html (c5\lec_ley1_2000.html) · contraste del archivo de pasajes: ✔</w:t>
      </w:r>
      <w:r>
        <w:br/>
      </w:r>
      <w:r>
        <w:rPr>
          <w:b/>
        </w:rPr>
        <w:t>Lugar:</w:t>
      </w:r>
      <w:r>
        <w:t xml:space="preserve"> Art. 517.1 (#a517)</w:t>
      </w:r>
      <w:r>
        <w:br/>
      </w:r>
      <w:r>
        <w:rPr>
          <w:b/>
        </w:rPr>
        <w:t>Dirección:</w:t>
      </w:r>
      <w:r>
        <w:t xml:space="preserve"> </w:t>
      </w:r>
      <w:r>
        <w:t>https://www.boe.es/buscar/act.php?id=BOE-A-2000-323</w:t>
      </w:r>
      <w:r>
        <w:br/>
      </w:r>
      <w:r>
        <w:rPr>
          <w:b/>
        </w:rPr>
        <w:t>Tal como está en la fuente:</w:t>
      </w:r>
      <w:r>
        <w:t xml:space="preserve"> 1. La acción ejecutiva deberá fundarse en un título que tenga aparejada ejecución.</w:t>
      </w:r>
      <w:r>
        <w:t>: una sentencia, un laudo o una escritura. Al ciudadano que paga tarde se le aplica un recargo del 5, el 10 o el 20 %</w:t>
      </w:r>
      <w:r>
        <w:t xml:space="preserve"> (Ley General Tributaria, art. 28)</w:t>
      </w:r>
      <w:r>
        <w:t>; a Hacienda, cuando devuelve tarde, no. (</w:t>
      </w:r>
      <w:r>
        <w:t>7.6</w:t>
      </w:r>
      <w:r>
        <w:t>)</w:t>
      </w:r>
    </w:p>
    <w:p>
      <w:pPr>
        <w:spacing w:after="60"/>
        <w:ind w:left="510" w:hanging="397"/>
      </w:pPr>
      <w:r>
        <w:rPr>
          <w:b w:val="0"/>
        </w:rPr>
        <w:t xml:space="preserve">4. </w:t>
      </w:r>
      <w:r>
        <w:rPr>
          <w:b/>
        </w:rPr>
        <w:t>«Tengo derecho a una vivienda digna, porque lo dice la Constitución.»</w:t>
      </w:r>
      <w:r>
        <w:t xml:space="preserve"> El art. 47 es un principio rector, y los principios rectores «Sólo podrán ser alegados ante la Jurisdicción ordinaria de acuerdo con lo que dispongan las leyes que los desarrollen»</w:t>
      </w:r>
      <w:r>
        <w:t xml:space="preserve"> (Constitución, art. 53.3)</w:t>
      </w:r>
      <w:r>
        <w:br/>
      </w:r>
      <w:r>
        <w:rPr>
          <w:b/>
        </w:rPr>
        <w:t>leída en su fuente · Constitución, art. 53.3</w:t>
      </w:r>
      <w:r>
        <w:br/>
      </w:r>
      <w:r>
        <w:rPr>
          <w:b/>
        </w:rPr>
        <w:t>Archivo leído:</w:t>
      </w:r>
      <w:r>
        <w:t xml:space="preserve"> constitucion_1978.html (c5\constitucion_1978.html) · contraste del archivo de pasajes: ✔</w:t>
      </w:r>
      <w:r>
        <w:br/>
      </w:r>
      <w:r>
        <w:rPr>
          <w:b/>
        </w:rPr>
        <w:t>Lugar:</w:t>
      </w:r>
      <w:r>
        <w:t xml:space="preserve"> Art. 53.3 (#a53)</w:t>
      </w:r>
      <w:r>
        <w:br/>
      </w:r>
      <w:r>
        <w:rPr>
          <w:b/>
        </w:rPr>
        <w:t>Dirección:</w:t>
      </w:r>
      <w:r>
        <w:t xml:space="preserve"> </w:t>
      </w:r>
      <w:r>
        <w:t>https://www.boe.es/buscar/act.php?id=BOE-A-1978-31229</w:t>
      </w:r>
      <w:r>
        <w:br/>
      </w:r>
      <w:r>
        <w:rPr>
          <w:b/>
        </w:rPr>
        <w:t>Tal como está en la fuente:</w:t>
      </w:r>
      <w:r>
        <w:t xml:space="preserve"> Sólo podrán ser alegados ante la Jurisdicción ordinaria de acuerdo con lo que dispongan</w:t>
      </w:r>
      <w:r>
        <w:t>. (</w:t>
      </w:r>
      <w:r>
        <w:t>7.6</w:t>
      </w:r>
      <w:r>
        <w:t>)</w:t>
      </w:r>
    </w:p>
    <w:p>
      <w:pPr>
        <w:spacing w:after="60"/>
        <w:ind w:left="510" w:hanging="397"/>
      </w:pPr>
      <w:r>
        <w:rPr>
          <w:b w:val="0"/>
        </w:rPr>
        <w:t xml:space="preserve">5. </w:t>
      </w:r>
      <w:r>
        <w:rPr>
          <w:b/>
        </w:rPr>
        <w:t>«Mi diputado me representa y responde ante mí.»</w:t>
      </w:r>
      <w:r>
        <w:t xml:space="preserve"> «Los miembros de las Cortes Generales no estarán ligados por mandato imperativo»</w:t>
      </w:r>
      <w:r>
        <w:t xml:space="preserve"> (Constitución, art. 67.2)</w:t>
      </w:r>
      <w:r>
        <w:br/>
      </w:r>
      <w:r>
        <w:rPr>
          <w:b/>
        </w:rPr>
        <w:t>leída en su fuente · Constitución, art. 67.2</w:t>
      </w:r>
      <w:r>
        <w:br/>
      </w:r>
      <w:r>
        <w:rPr>
          <w:b/>
        </w:rPr>
        <w:t>Archivo leído:</w:t>
      </w:r>
      <w:r>
        <w:t xml:space="preserve"> constitucion_1978.html (c5\constitucion_1978.html) · contraste del archivo de pasajes: ✔</w:t>
      </w:r>
      <w:r>
        <w:br/>
      </w:r>
      <w:r>
        <w:rPr>
          <w:b/>
        </w:rPr>
        <w:t>Lugar:</w:t>
      </w:r>
      <w:r>
        <w:t xml:space="preserve"> Art. 67.2 (#a67)</w:t>
      </w:r>
      <w:r>
        <w:br/>
      </w:r>
      <w:r>
        <w:rPr>
          <w:b/>
        </w:rPr>
        <w:t>Dirección:</w:t>
      </w:r>
      <w:r>
        <w:t xml:space="preserve"> </w:t>
      </w:r>
      <w:r>
        <w:t>https://www.boe.es/buscar/act.php?id=BOE-A-1978-31229</w:t>
      </w:r>
      <w:r>
        <w:br/>
      </w:r>
      <w:r>
        <w:rPr>
          <w:b/>
        </w:rPr>
        <w:t>Tal como está en la fuente:</w:t>
      </w:r>
      <w:r>
        <w:t xml:space="preserve"> 2. Los miembros de las Cortes Generales no estarán ligados por mandato imperativo.</w:t>
      </w:r>
      <w:r>
        <w:t>, y durante el mandato nadie los puede apartar, salvo en los casos tasados del Reglamento</w:t>
      </w:r>
      <w:r>
        <w:t xml:space="preserve"> (Reglamento del Congreso, art. 22)</w:t>
      </w:r>
      <w:r>
        <w:t>. (</w:t>
      </w:r>
      <w:r>
        <w:t>8.6</w:t>
      </w:r>
      <w:r>
        <w:t>)</w:t>
      </w:r>
    </w:p>
    <w:p>
      <w:pPr>
        <w:spacing w:after="60"/>
        <w:ind w:left="510" w:hanging="397"/>
      </w:pPr>
      <w:r>
        <w:rPr>
          <w:b w:val="0"/>
        </w:rPr>
        <w:t xml:space="preserve">6. </w:t>
      </w:r>
      <w:r>
        <w:rPr>
          <w:b/>
        </w:rPr>
        <w:t>«Elijo a mis representantes.»</w:t>
      </w:r>
      <w:r>
        <w:t xml:space="preserve"> Se vota una lista cerrada. La ley de partidos solo pide que su «estructura interna y el funcionamiento» sean «democráticos»</w:t>
      </w:r>
      <w:r>
        <w:t xml:space="preserve"> (Ley Orgánica 6/2002, art. 7.1)</w:t>
      </w:r>
      <w:r>
        <w:t>; ni ella ni la ley electoral regulan cómo elige cada partido a sus candidatos: eso queda a sus estatutos. (</w:t>
      </w:r>
      <w:r>
        <w:t>7.2</w:t>
      </w:r>
      <w:r>
        <w:t>)</w:t>
      </w:r>
    </w:p>
    <w:p>
      <w:pPr>
        <w:spacing w:after="60"/>
        <w:ind w:left="510" w:hanging="397"/>
      </w:pPr>
      <w:r>
        <w:rPr>
          <w:b w:val="0"/>
        </w:rPr>
        <w:t xml:space="preserve">7. </w:t>
      </w:r>
      <w:r>
        <w:rPr>
          <w:b/>
        </w:rPr>
        <w:t>«Si el Estado vulnera mis derechos, el Constitucional me ampara.»</w:t>
      </w:r>
      <w:r>
        <w:t xml:space="preserve"> En 2025, de 9.089 recursos de amparo presentados, solo 59 fueron admitidos a trámite</w:t>
      </w:r>
      <w:r>
        <w:t xml:space="preserve"> (Tribunal Constitucional, Memoria 2025)</w:t>
      </w:r>
      <w:r>
        <w:t>. (</w:t>
      </w:r>
      <w:r>
        <w:t>7.2</w:t>
      </w:r>
      <w:r>
        <w:t>)</w:t>
      </w:r>
    </w:p>
    <w:p>
      <w:pPr>
        <w:spacing w:after="60"/>
        <w:ind w:left="510" w:hanging="397"/>
      </w:pPr>
      <w:r>
        <w:rPr>
          <w:b w:val="0"/>
        </w:rPr>
        <w:t xml:space="preserve">8. </w:t>
      </w:r>
      <w:r>
        <w:rPr>
          <w:b/>
        </w:rPr>
        <w:t>«El Estado social cumple lo que la Constitución promete.»</w:t>
      </w:r>
      <w:r>
        <w:t xml:space="preserve"> En lo que la Constitución dispone sobre el bien común, el incumplimiento es del 62,1 % (41 de 66 artículos), frente al 27,2 % en lo que regula el organigrama del poder (28 de 103). (</w:t>
      </w:r>
      <w:r>
        <w:t>7.4</w:t>
      </w:r>
      <w:r>
        <w:t>)</w:t>
      </w:r>
    </w:p>
    <w:p>
      <w:r>
        <w:t>[00.1-3.1 a 3.10; normas leídas en el BOE; Memoria del Constitucional]</w:t>
      </w:r>
    </w:p>
    <w:p>
      <w:pPr>
        <w:pStyle w:val="Heading3"/>
      </w:pPr>
      <w:r>
        <w:t>La información</w:t>
      </w:r>
    </w:p>
    <w:p>
      <w:r>
        <w:t>Lo que se cree que se sabe, porque se publica, y lo que no se publica.</w:t>
      </w:r>
    </w:p>
    <w:p>
      <w:pPr>
        <w:spacing w:after="60"/>
        <w:ind w:left="510" w:hanging="397"/>
      </w:pPr>
      <w:r>
        <w:rPr>
          <w:b w:val="0"/>
        </w:rPr>
        <w:t xml:space="preserve">1. </w:t>
      </w:r>
      <w:r>
        <w:rPr>
          <w:b/>
        </w:rPr>
        <w:t>«Hay transparencia: todo se publica.»</w:t>
      </w:r>
      <w:r>
        <w:t xml:space="preserve"> Se publica cada dato por separado, pero no la suma: las retribuciones de los altos cargos están en 23 ficheros sin un total, y lo que cobran los cargos locales exigiría consultar una a una más de 8.000 entidades. La ley obliga a publicar cada dato; nadie está obligado a publicar la suma. (</w:t>
      </w:r>
      <w:r>
        <w:t>8.6</w:t>
      </w:r>
      <w:r>
        <w:t xml:space="preserve">; </w:t>
      </w:r>
      <w:r>
        <w:t>anexo C</w:t>
      </w:r>
      <w:r>
        <w:t>)</w:t>
      </w:r>
    </w:p>
    <w:p>
      <w:pPr>
        <w:spacing w:after="60"/>
        <w:ind w:left="510" w:hanging="397"/>
      </w:pPr>
      <w:r>
        <w:rPr>
          <w:b w:val="0"/>
        </w:rPr>
        <w:t xml:space="preserve">2. </w:t>
      </w:r>
      <w:r>
        <w:rPr>
          <w:b/>
        </w:rPr>
        <w:t>«La inflación es que suben los precios.»</w:t>
      </w:r>
      <w:r>
        <w:t xml:space="preserve"> La palabra nombraba antes la causa, no el efecto. Este dato se prueba aquí: </w:t>
      </w:r>
    </w:p>
    <w:p>
      <w:pPr>
        <w:pStyle w:val="ListBullet2"/>
      </w:pPr>
      <w:r>
        <w:t>En inglés, el diccionario Webster de 1913 la definía como «expansión o aumento indebido, por emisión excesiva; dicho de la moneda»</w:t>
      </w:r>
      <w:r>
        <w:t xml:space="preserve"> [original: «Undue expansion or increase, from overissue; -- said of currency. [U.S.]»]</w:t>
      </w:r>
      <w:r>
        <w:t>, y llamaba «inflacionista» a quien «favorece una emisión aumentada o muy grande de papel moneda»</w:t>
      </w:r>
      <w:r>
        <w:t xml:space="preserve"> [original: «One who favors an increased or very large issue of paper money.»]</w:t>
      </w:r>
      <w:r>
        <w:t xml:space="preserve"> (Webster's Revised Unabridged Dictionary (Diccionario Webster revisado e íntegro), 1913, Proyecto Gutenberg n.º 29765, s. v. «inflation» e «inflationist»)</w:t>
      </w:r>
      <w:r>
        <w:br/>
      </w:r>
      <w:r>
        <w:rPr>
          <w:b/>
        </w:rPr>
        <w:t>leída en su fuente · Webster's Revised Unabridged Dictionary (Diccionario Webster revisado e íntegro), 1913, Pr</w:t>
      </w:r>
      <w:r>
        <w:br/>
      </w:r>
      <w:r>
        <w:rPr>
          <w:b/>
        </w:rPr>
        <w:t>Archivo leído:</w:t>
      </w:r>
      <w:r>
        <w:t xml:space="preserve"> webster_1913_gutenberg_29765.txt (c5_grandes\webster_1913_gutenberg_29765.txt) · contraste del archivo de pasajes: ✔</w:t>
      </w:r>
      <w:r>
        <w:br/>
      </w:r>
      <w:r>
        <w:rPr>
          <w:b/>
        </w:rPr>
        <w:t>Lugar:</w:t>
      </w:r>
      <w:r>
        <w:t xml:space="preserve"> Líneas 438093-438096</w:t>
      </w:r>
      <w:r>
        <w:br/>
      </w:r>
      <w:r>
        <w:rPr>
          <w:b/>
        </w:rPr>
        <w:t>Tal como está en la fuente:</w:t>
      </w:r>
      <w:r>
        <w:t xml:space="preserve"> Defn: One who favors an increased or very large issue of paper money.</w:t>
      </w:r>
      <w:r>
        <w:br/>
      </w:r>
      <w:r>
        <w:rPr>
          <w:b/>
        </w:rPr>
        <w:t>Traducción guardada:</w:t>
      </w:r>
      <w:r>
        <w:t xml:space="preserve"> Quien favorece una emisión aumentada o muy grande de papel moneda.</w:t>
      </w:r>
      <w:r>
        <w:t>.</w:t>
      </w:r>
    </w:p>
    <w:p>
      <w:pPr>
        <w:pStyle w:val="ListBullet2"/>
      </w:pPr>
      <w:r>
        <w:t>En español, en 1914, «inflación» solo era «Acción y efecto de inflar» y, en sentido figurado, «Engreimiento y vanidad»</w:t>
      </w:r>
      <w:r>
        <w:t xml:space="preserve"> (Real Academia Española, Diccionario de la lengua castellana, 14.ª edición, 1914)</w:t>
      </w:r>
      <w:r>
        <w:t>.</w:t>
      </w:r>
    </w:p>
    <w:p>
      <w:pPr>
        <w:pStyle w:val="ListBullet2"/>
      </w:pPr>
      <w:r>
        <w:t>En 2001, la Academia la definía en economía como «Elevación notable del nivel de precios con efectos desfavorables para la economía de un país»</w:t>
      </w:r>
      <w:r>
        <w:t xml:space="preserve"> (Diccionario de la lengua española, 22.ª edición, 2001)</w:t>
      </w:r>
      <w:r>
        <w:br/>
      </w:r>
      <w:r>
        <w:rPr>
          <w:b/>
        </w:rPr>
        <w:t>leída en su fuente · Diccionario de la lengua española, 22.ª edición, 2001</w:t>
      </w:r>
      <w:r>
        <w:br/>
      </w:r>
      <w:r>
        <w:rPr>
          <w:b/>
        </w:rPr>
        <w:t>Archivo leído:</w:t>
      </w:r>
      <w:r>
        <w:t xml:space="preserve"> rae_drae2001_inflacion.html (c5\rae_drae2001_inflacion.html) · contraste del archivo de pasajes: ✔</w:t>
      </w:r>
      <w:r>
        <w:br/>
      </w:r>
      <w:r>
        <w:rPr>
          <w:b/>
        </w:rPr>
        <w:t>Lugar:</w:t>
      </w:r>
      <w:r>
        <w:t xml:space="preserve"> Acepción 4</w:t>
      </w:r>
      <w:r>
        <w:br/>
      </w:r>
      <w:r>
        <w:rPr>
          <w:b/>
        </w:rPr>
        <w:t>Dirección:</w:t>
      </w:r>
      <w:r>
        <w:t xml:space="preserve"> </w:t>
      </w:r>
      <w:r>
        <w:t>https://www.rae.es/drae2001/inflaci%C3%B3n</w:t>
      </w:r>
      <w:r>
        <w:br/>
      </w:r>
      <w:r>
        <w:rPr>
          <w:b/>
        </w:rPr>
        <w:t>Tal como está en la fuente:</w:t>
      </w:r>
      <w:r>
        <w:t xml:space="preserve"> 4. f. Econ. Elevación notable del nivel de precios con efectos desfavorables para la economía de un país.</w:t>
      </w:r>
      <w:r>
        <w:t>.</w:t>
      </w:r>
    </w:p>
    <w:p>
      <w:pPr>
        <w:pStyle w:val="ListBullet2"/>
      </w:pPr>
      <w:r>
        <w:t>Hoy, como «Elevación del nivel general de precios»</w:t>
      </w:r>
      <w:r>
        <w:t xml:space="preserve"> (Diccionario de la lengua española, edición actual)</w:t>
      </w:r>
      <w:r>
        <w:br/>
      </w:r>
      <w:r>
        <w:rPr>
          <w:b/>
        </w:rPr>
        <w:t>leída en su fuente · Diccionario de la lengua española, edición actual</w:t>
      </w:r>
      <w:r>
        <w:br/>
      </w:r>
      <w:r>
        <w:rPr>
          <w:b/>
        </w:rPr>
        <w:t>Archivo leído:</w:t>
      </w:r>
      <w:r>
        <w:t xml:space="preserve"> rae_dle_inflacion_actual.html (c5\rae_dle_inflacion_actual.html) · contraste del archivo de pasajes: ✔</w:t>
      </w:r>
      <w:r>
        <w:br/>
      </w:r>
      <w:r>
        <w:rPr>
          <w:b/>
        </w:rPr>
        <w:t>Lugar:</w:t>
      </w:r>
      <w:r>
        <w:t xml:space="preserve"> Acepción 4</w:t>
      </w:r>
      <w:r>
        <w:br/>
      </w:r>
      <w:r>
        <w:rPr>
          <w:b/>
        </w:rPr>
        <w:t>Dirección:</w:t>
      </w:r>
      <w:r>
        <w:t xml:space="preserve"> </w:t>
      </w:r>
      <w:r>
        <w:t>https://dle.rae.es/inflaci%C3%B3n</w:t>
      </w:r>
      <w:r>
        <w:br/>
      </w:r>
      <w:r>
        <w:rPr>
          <w:b/>
        </w:rPr>
        <w:t>Tal como está en la fuente:</w:t>
      </w:r>
      <w:r>
        <w:t xml:space="preserve"> 4. f. Econ. Elevación del nivel general de precios.</w:t>
      </w:r>
      <w:r>
        <w:t>: se suprimieron «notable» y «con efectos desfavorables».</w:t>
      </w:r>
    </w:p>
    <w:p>
      <w:pPr>
        <w:pStyle w:val="ListBullet2"/>
      </w:pPr>
      <w:r>
        <w:t>Con el nombre del efecto, la mirada se va a los precios y al mercado, y no a quien crea el dinero.</w:t>
      </w:r>
    </w:p>
    <w:p>
      <w:pPr>
        <w:pStyle w:val="ListBullet2"/>
      </w:pPr>
      <w:r>
        <w:rPr>
          <w:b/>
        </w:rPr>
        <w:t>Dificultad de acceso:</w:t>
      </w:r>
      <w:r>
        <w:t xml:space="preserve"> las ediciones de la Academia entre 1925 y 1992 no se han podido consultar para saber cuándo entró el sentido económico y con qué definición. El Nuevo Tesoro Lexicográfico de la Academia no se pudo abrir, y las copias de 1947, 1956 y 1970 en Internet Archive solo se prestan, sin texto consultable (comprobado de nuevo el 5-X-2026).</w:t>
      </w:r>
    </w:p>
    <w:p>
      <w:pPr>
        <w:spacing w:after="60"/>
        <w:ind w:left="510" w:hanging="397"/>
      </w:pPr>
      <w:r>
        <w:rPr>
          <w:b w:val="0"/>
        </w:rPr>
        <w:t xml:space="preserve">3. </w:t>
      </w:r>
      <w:r>
        <w:rPr>
          <w:b/>
        </w:rPr>
        <w:t>«La partida de “vejez” son los jubilados que cotizaron.»</w:t>
      </w:r>
      <w:r>
        <w:t xml:space="preserve"> Mezcla las pensiones de la Seguridad Social con las de Clases Pasivas de los funcionarios del Estado, que se pagan con los Presupuestos, y con la maquinaria que las gestiona. Nueve de cada diez euros de la protección social son prestaciones; unos 16.400 millones son gestión. (</w:t>
      </w:r>
      <w:r>
        <w:t>8.6</w:t>
      </w:r>
      <w:r>
        <w:t>)</w:t>
      </w:r>
    </w:p>
    <w:p>
      <w:pPr>
        <w:spacing w:after="60"/>
        <w:ind w:left="510" w:hanging="397"/>
      </w:pPr>
      <w:r>
        <w:rPr>
          <w:b w:val="0"/>
        </w:rPr>
        <w:t xml:space="preserve">4. </w:t>
      </w:r>
      <w:r>
        <w:rPr>
          <w:b/>
        </w:rPr>
        <w:t>«La deuda pública es la cifra que se publica.»</w:t>
      </w:r>
      <w:r>
        <w:t xml:space="preserve"> Las pensiones ya prometidas sumaban 6,13 billones de euros a finales de 2021</w:t>
      </w:r>
      <w:r>
        <w:t xml:space="preserve"> [original: «6.129.248 millones de euros correspondieron a los sistemas garantizados por las Administraciones Públicas»]</w:t>
      </w:r>
      <w:r>
        <w:t xml:space="preserve"> (INE, Tabla de Pensiones 2021)</w:t>
      </w:r>
      <w:r>
        <w:t>, y no figuran en la deuda oficial, que en 2025 rondaba 1,7 billones. El propio INE advierte que esa cifra hace referencia «al valor presente de una suma de cantidades futuras»: no es una deuda que venza hoy. (</w:t>
      </w:r>
      <w:r>
        <w:t>9.1</w:t>
      </w:r>
      <w:r>
        <w:t>)</w:t>
      </w:r>
    </w:p>
    <w:p>
      <w:pPr>
        <w:spacing w:after="60"/>
        <w:ind w:left="510" w:hanging="397"/>
      </w:pPr>
      <w:r>
        <w:rPr>
          <w:b w:val="0"/>
        </w:rPr>
        <w:t xml:space="preserve">5. </w:t>
      </w:r>
      <w:r>
        <w:rPr>
          <w:b/>
        </w:rPr>
        <w:t>«Si el Estado no contesta, no pasa nada; si no contesto yo, tampoco.»</w:t>
      </w:r>
      <w:r>
        <w:t xml:space="preserve"> «La Administración está obligada a dictar resolución expresa y a notificarla en todos los procedimientos»</w:t>
      </w:r>
      <w:r>
        <w:t xml:space="preserve"> (Ley 39/2015, art. 21.1)</w:t>
      </w:r>
      <w:r>
        <w:br/>
      </w:r>
      <w:r>
        <w:rPr>
          <w:b/>
        </w:rPr>
        <w:t>leída en su fuente · Ley 39/2015, art. 21.1</w:t>
      </w:r>
      <w:r>
        <w:br/>
      </w:r>
      <w:r>
        <w:rPr>
          <w:b/>
        </w:rPr>
        <w:t>Archivo leído:</w:t>
      </w:r>
      <w:r>
        <w:t xml:space="preserve"> ley39_2015_procedimiento.html (c5\ley39_2015_procedimiento.html) · contraste del archivo de pasajes: ✔</w:t>
      </w:r>
      <w:r>
        <w:br/>
      </w:r>
      <w:r>
        <w:rPr>
          <w:b/>
        </w:rPr>
        <w:t>Lugar:</w:t>
      </w:r>
      <w:r>
        <w:t xml:space="preserve"> Art. 21.1 (#a21)</w:t>
      </w:r>
      <w:r>
        <w:br/>
      </w:r>
      <w:r>
        <w:rPr>
          <w:b/>
        </w:rPr>
        <w:t>Dirección:</w:t>
      </w:r>
      <w:r>
        <w:t xml:space="preserve"> </w:t>
      </w:r>
      <w:r>
        <w:t>https://www.boe.es/buscar/act.php?id=BOE-A-2015-10565</w:t>
      </w:r>
      <w:r>
        <w:br/>
      </w:r>
      <w:r>
        <w:rPr>
          <w:b/>
        </w:rPr>
        <w:t>Tal como está en la fuente:</w:t>
      </w:r>
      <w:r>
        <w:t xml:space="preserve"> 1. La Administración está obligada a dictar resolución expresa y a notificarla en todos los procedimientos</w:t>
      </w:r>
      <w:r>
        <w:t>. Pero cuando el ciudadano calla, el sistema tiene recargo, sanción, apremio, caducidad y pérdida del plazo; cuando calla el sistema, el ciudadano tiene que acudir a un tribunal, agotar las instancias, probar el daño y esperar años. El silencio de uno se castiga solo; el del otro hay que perseguirlo. (</w:t>
      </w:r>
      <w:r>
        <w:t>10.4</w:t>
      </w:r>
      <w:r>
        <w:t>)</w:t>
      </w:r>
    </w:p>
    <w:p>
      <w:r>
        <w:t>[00.1-5.1 a 5.7; diccionarios leídos en su fuente, la RAE de 1914 en Internet Archive el 5-X-2026; INE y Ley 39/2015, en su documento]</w:t>
      </w:r>
    </w:p>
    <w:p>
      <w:r>
        <w:rPr>
          <w:b/>
        </w:rPr>
        <w:t>Y seis más registradas en la obra:</w:t>
      </w:r>
    </w:p>
    <w:p>
      <w:pPr>
        <w:pStyle w:val="ListBullet"/>
      </w:pPr>
      <w:r>
        <w:t>El rescate bancario costó 71.833 millones de euros, de los que hasta 2021 se habían recuperado 40 (Tribunal de Cuentas, informe n.º 1.513), y el Banco de España dejó de publicar la nota en que daba cuenta de esas ayudas: la última localizada es de noviembre de 2019. (</w:t>
      </w:r>
      <w:r>
        <w:t>7.2</w:t>
      </w:r>
      <w:r>
        <w:t>)</w:t>
      </w:r>
    </w:p>
    <w:p>
      <w:pPr>
        <w:pStyle w:val="ListBullet"/>
      </w:pPr>
      <w:r>
        <w:t>«Los Diputados y Senadores percibirán una asignación que será fijada por las respectivas Cámaras» (Constitución, art. 71.4): el sueldo lo fija quien lo cobra. (</w:t>
      </w:r>
      <w:r>
        <w:t>7.2</w:t>
      </w:r>
      <w:r>
        <w:t xml:space="preserve"> y </w:t>
      </w:r>
      <w:r>
        <w:t>7.5</w:t>
      </w:r>
      <w:r>
        <w:t>)</w:t>
      </w:r>
    </w:p>
    <w:p>
      <w:pPr>
        <w:pStyle w:val="ListBullet"/>
      </w:pPr>
      <w:r>
        <w:t>Un artículo del reglamento sancionador de la Escuela Superior de Policía, aprobado por una orden de 1981, se aplicó cuarenta y cuatro años sin la ley que exige el art. 25.1 de la Constitución, hasta que el Tribunal Constitucional lo declaró «inconstitucional y nulo» (STC 184/2025, de 2 de diciembre).</w:t>
      </w:r>
    </w:p>
    <w:p>
      <w:pPr>
        <w:pStyle w:val="ListBullet"/>
      </w:pPr>
      <w:r>
        <w:t>Los 959 asesores eventuales de los ministerios son un mínimo: no cuentan los funcionarios de carrera que ocupan puestos de confianza. (</w:t>
      </w:r>
      <w:r>
        <w:t>8.6</w:t>
      </w:r>
      <w:r>
        <w:t>)</w:t>
      </w:r>
    </w:p>
    <w:p>
      <w:pPr>
        <w:pStyle w:val="ListBullet"/>
      </w:pPr>
      <w:r>
        <w:t>La ley obliga a evaluar el desempeño de los empleados públicos: las administraciones «establecerán sistemas que permitan la evaluación del desempeño de sus empleados» (Estatuto Básico del Empleado Público, art. 20.1). Pero en la Administración del Estado el complemento que debería pagarse según esa evaluación se sigue pagando con los criterios anteriores, «Hasta tanto se implemente la evaluación del desempeño» (Real Decreto-ley 6/2023, disposición transitoria séptima). (</w:t>
      </w:r>
      <w:r>
        <w:t>anexo C</w:t>
      </w:r>
      <w:r>
        <w:t>)</w:t>
      </w:r>
    </w:p>
    <w:p>
      <w:pPr>
        <w:pStyle w:val="ListBullet"/>
      </w:pPr>
      <w:r>
        <w:t>La ley pide claridad, pero lo hace con principios: un marco normativo «estable, predecible, integrado, claro y de certidumbre, que facilite su conocimiento y comprensión»</w:t>
      </w:r>
      <w:r>
        <w:t xml:space="preserve"> (Ley 39/2015, art. 129.4)</w:t>
      </w:r>
      <w:r>
        <w:br/>
      </w:r>
      <w:r>
        <w:rPr>
          <w:b/>
        </w:rPr>
        <w:t>leída en su fuente · Ley 39/2015, art. 129.4</w:t>
      </w:r>
      <w:r>
        <w:br/>
      </w:r>
      <w:r>
        <w:rPr>
          <w:b/>
        </w:rPr>
        <w:t>Archivo leído:</w:t>
      </w:r>
      <w:r>
        <w:t xml:space="preserve"> ley19_2013_transparencia.html (ya estaban) (c5\ley39_2015_procedimiento.html) · contraste del archivo de pasajes: ✔</w:t>
      </w:r>
      <w:r>
        <w:br/>
      </w:r>
      <w:r>
        <w:rPr>
          <w:b/>
        </w:rPr>
        <w:t>Dirección:</w:t>
      </w:r>
      <w:r>
        <w:t xml:space="preserve"> </w:t>
      </w:r>
      <w:r>
        <w:t>https://www.boe.es/buscar/act.php?id=BOE-A-2015-10565</w:t>
      </w:r>
      <w:r>
        <w:br/>
      </w:r>
      <w:r>
        <w:rPr>
          <w:b/>
        </w:rPr>
        <w:t>Tal como está en la fuente:</w:t>
      </w:r>
      <w:r>
        <w:t xml:space="preserve"> marco normativo estable, predecible, integrado, claro y de certidumbre, que facilite su conocimiento y comprensión</w:t>
      </w:r>
      <w:r>
        <w:t>, y una información de transparencia publicada «de una manera clara, estructurada y entendible» y «comprensible, de acceso fácil y gratuito»</w:t>
      </w:r>
      <w:r>
        <w:t xml:space="preserve"> (Ley 19/2013, art. 5.4 y 5.5)</w:t>
      </w:r>
      <w:r>
        <w:br/>
      </w:r>
      <w:r>
        <w:rPr>
          <w:b/>
        </w:rPr>
        <w:t>leída en su fuente · Ley 19/2013, art. 5.4 y 5.5</w:t>
      </w:r>
      <w:r>
        <w:br/>
      </w:r>
      <w:r>
        <w:rPr>
          <w:b/>
        </w:rPr>
        <w:t>Archivo leído:</w:t>
      </w:r>
      <w:r>
        <w:t xml:space="preserve"> ley19_2013_transparencia.html (c5\ley19_2013_transparencia.html) · contraste del archivo de pasajes: ✔</w:t>
      </w:r>
      <w:r>
        <w:br/>
      </w:r>
      <w:r>
        <w:rPr>
          <w:b/>
        </w:rPr>
        <w:t>Lugar:</w:t>
      </w:r>
      <w:r>
        <w:t xml:space="preserve"> Ley 19/2013, art. 5.4 y 5.5</w:t>
      </w:r>
      <w:r>
        <w:br/>
      </w:r>
      <w:r>
        <w:rPr>
          <w:b/>
        </w:rPr>
        <w:t>Tal como está en la fuente:</w:t>
      </w:r>
      <w:r>
        <w:t xml:space="preserve"> comprensible, de acceso fácil y gratuito</w:t>
      </w:r>
      <w:r>
        <w:t>. La obra no ha buscado en todo el ordenamiento una obligación expresa de explicar las normas en lenguaje llano a quien no es jurista.</w:t>
      </w:r>
    </w:p>
    <w:p>
      <w:r>
        <w:t>[00.1-7.1 a 7.6 (la fila 4, con lo leído en la Ley 39/2015 y en la Ley 19/2013, y sin «ninguna ley»); STC 184/2025 leída en el BOE; corregido en la Biblioteca, que decía «el Supremo» y «entero»]</w:t>
      </w:r>
    </w:p>
    <w:p>
      <w:r>
        <w:rPr>
          <w:b/>
        </w:rPr>
        <w:t>A qué ámbitos de la vida afecta.</w:t>
      </w:r>
      <w:r>
        <w:t xml:space="preserve"> No es un asunto de economistas. Esta tabla reúne, de un vistazo, lo que cada creencia toca en la vida de una persona corriente:</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Ámbito de la vida</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le hace creer</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dicen los datos</w:t>
            </w:r>
          </w:p>
        </w:tc>
        <w:tc>
          <w:tcPr>
            <w:tcW w:type="dxa" w:w="2296"/>
            <w:shd w:val="clear" w:color="auto" w:fill="F1EEE8"/>
          </w:tcPr>
          <w:p>
            <w:pPr>
              <w:spacing w:after="20" w:line="264" w:lineRule="auto"/>
            </w:pPr>
            <w:r>
              <w:rPr>
                <w:b/>
              </w:rPr>
            </w:r>
            <w:r>
              <w:rPr>
                <w:rFonts w:ascii="Segoe UI" w:hAnsi="Segoe UI" w:eastAsia="Segoe UI" w:cs="Segoe UI"/>
                <w:b/>
                <w:color w:val="1F1D1A"/>
                <w:sz w:val="18"/>
              </w:rPr>
              <w:t>Dónde</w:t>
            </w:r>
          </w:p>
        </w:tc>
      </w:tr>
      <w:tr>
        <w:tc>
          <w:tcPr>
            <w:tcW w:type="dxa" w:w="2296"/>
          </w:tcPr>
          <w:p>
            <w:pPr>
              <w:spacing w:after="20" w:line="264" w:lineRule="auto"/>
            </w:pPr>
            <w:r/>
            <w:r>
              <w:rPr>
                <w:rFonts w:ascii="Segoe UI" w:hAnsi="Segoe UI" w:eastAsia="Segoe UI" w:cs="Segoe UI"/>
                <w:color w:val="1F1D1A"/>
                <w:sz w:val="18"/>
              </w:rPr>
              <w:t>Su tiempo de vida</w:t>
            </w:r>
          </w:p>
        </w:tc>
        <w:tc>
          <w:tcPr>
            <w:tcW w:type="dxa" w:w="2296"/>
          </w:tcPr>
          <w:p>
            <w:pPr>
              <w:spacing w:after="20" w:line="264" w:lineRule="auto"/>
            </w:pPr>
            <w:r/>
            <w:r>
              <w:rPr>
                <w:rFonts w:ascii="Segoe UI" w:hAnsi="Segoe UI" w:eastAsia="Segoe UI" w:cs="Segoe UI"/>
                <w:color w:val="1F1D1A"/>
                <w:sz w:val="18"/>
              </w:rPr>
              <w:t>Que trabaja para sí.</w:t>
            </w:r>
          </w:p>
        </w:tc>
        <w:tc>
          <w:tcPr>
            <w:tcW w:type="dxa" w:w="2296"/>
          </w:tcPr>
          <w:p>
            <w:pPr>
              <w:spacing w:after="20" w:line="264" w:lineRule="auto"/>
            </w:pPr>
            <w:r/>
            <w:r>
              <w:rPr>
                <w:rFonts w:ascii="Segoe UI" w:hAnsi="Segoe UI" w:eastAsia="Segoe UI" w:cs="Segoe UI"/>
                <w:color w:val="1F1D1A"/>
                <w:sz w:val="18"/>
              </w:rPr>
              <w:t>Entre el 41 % y el 53,6 % del coste de su trabajo va a impuestos y cotizaciones.</w:t>
            </w:r>
          </w:p>
        </w:tc>
        <w:tc>
          <w:tcPr>
            <w:tcW w:type="dxa" w:w="2296"/>
          </w:tcPr>
          <w:p>
            <w:pPr>
              <w:spacing w:after="20" w:line="264" w:lineRule="auto"/>
            </w:pPr>
            <w:r/>
            <w:r>
              <w:rPr>
                <w:rFonts w:ascii="Segoe UI" w:hAnsi="Segoe UI" w:eastAsia="Segoe UI" w:cs="Segoe UI"/>
                <w:color w:val="1F1D1A"/>
                <w:sz w:val="18"/>
              </w:rPr>
              <w:t>8.4</w:t>
            </w:r>
          </w:p>
        </w:tc>
      </w:tr>
      <w:tr>
        <w:tc>
          <w:tcPr>
            <w:tcW w:type="dxa" w:w="2296"/>
          </w:tcPr>
          <w:p>
            <w:pPr>
              <w:spacing w:after="20" w:line="264" w:lineRule="auto"/>
            </w:pPr>
            <w:r/>
            <w:r>
              <w:rPr>
                <w:rFonts w:ascii="Segoe UI" w:hAnsi="Segoe UI" w:eastAsia="Segoe UI" w:cs="Segoe UI"/>
                <w:color w:val="1F1D1A"/>
                <w:sz w:val="18"/>
              </w:rPr>
              <w:t>Su sueldo</w:t>
            </w:r>
          </w:p>
        </w:tc>
        <w:tc>
          <w:tcPr>
            <w:tcW w:type="dxa" w:w="2296"/>
          </w:tcPr>
          <w:p>
            <w:pPr>
              <w:spacing w:after="20" w:line="264" w:lineRule="auto"/>
            </w:pPr>
            <w:r/>
            <w:r>
              <w:rPr>
                <w:rFonts w:ascii="Segoe UI" w:hAnsi="Segoe UI" w:eastAsia="Segoe UI" w:cs="Segoe UI"/>
                <w:color w:val="1F1D1A"/>
                <w:sz w:val="18"/>
              </w:rPr>
              <w:t>Que le suben el sueldo.</w:t>
            </w:r>
          </w:p>
        </w:tc>
        <w:tc>
          <w:tcPr>
            <w:tcW w:type="dxa" w:w="2296"/>
          </w:tcPr>
          <w:p>
            <w:pPr>
              <w:spacing w:after="20" w:line="264" w:lineRule="auto"/>
            </w:pPr>
            <w:r/>
            <w:r>
              <w:rPr>
                <w:rFonts w:ascii="Segoe UI" w:hAnsi="Segoe UI" w:eastAsia="Segoe UI" w:cs="Segoe UI"/>
                <w:color w:val="1F1D1A"/>
                <w:sz w:val="18"/>
              </w:rPr>
              <w:t>El salario medio compra hoy lo mismo que en 2008.</w:t>
            </w:r>
          </w:p>
        </w:tc>
        <w:tc>
          <w:tcPr>
            <w:tcW w:type="dxa" w:w="2296"/>
          </w:tcPr>
          <w:p>
            <w:pPr>
              <w:spacing w:after="20" w:line="264" w:lineRule="auto"/>
            </w:pPr>
            <w:r/>
            <w:r>
              <w:rPr>
                <w:rFonts w:ascii="Segoe UI" w:hAnsi="Segoe UI" w:eastAsia="Segoe UI" w:cs="Segoe UI"/>
                <w:color w:val="1F1D1A"/>
                <w:sz w:val="18"/>
              </w:rPr>
              <w:t>8.3</w:t>
            </w:r>
          </w:p>
        </w:tc>
      </w:tr>
      <w:tr>
        <w:tc>
          <w:tcPr>
            <w:tcW w:type="dxa" w:w="2296"/>
          </w:tcPr>
          <w:p>
            <w:pPr>
              <w:spacing w:after="20" w:line="264" w:lineRule="auto"/>
            </w:pPr>
            <w:r/>
            <w:r>
              <w:rPr>
                <w:rFonts w:ascii="Segoe UI" w:hAnsi="Segoe UI" w:eastAsia="Segoe UI" w:cs="Segoe UI"/>
                <w:color w:val="1F1D1A"/>
                <w:sz w:val="18"/>
              </w:rPr>
              <w:t>Sus ahorros</w:t>
            </w:r>
          </w:p>
        </w:tc>
        <w:tc>
          <w:tcPr>
            <w:tcW w:type="dxa" w:w="2296"/>
          </w:tcPr>
          <w:p>
            <w:pPr>
              <w:spacing w:after="20" w:line="264" w:lineRule="auto"/>
            </w:pPr>
            <w:r/>
            <w:r>
              <w:rPr>
                <w:rFonts w:ascii="Segoe UI" w:hAnsi="Segoe UI" w:eastAsia="Segoe UI" w:cs="Segoe UI"/>
                <w:color w:val="1F1D1A"/>
                <w:sz w:val="18"/>
              </w:rPr>
              <w:t>Que su dinero está guardado.</w:t>
            </w:r>
          </w:p>
        </w:tc>
        <w:tc>
          <w:tcPr>
            <w:tcW w:type="dxa" w:w="2296"/>
          </w:tcPr>
          <w:p>
            <w:pPr>
              <w:spacing w:after="20" w:line="264" w:lineRule="auto"/>
            </w:pPr>
            <w:r/>
            <w:r>
              <w:rPr>
                <w:rFonts w:ascii="Segoe UI" w:hAnsi="Segoe UI" w:eastAsia="Segoe UI" w:cs="Segoe UI"/>
                <w:color w:val="1F1D1A"/>
                <w:sz w:val="18"/>
              </w:rPr>
              <w:t>100 euros guardados el 1 de enero de 1971 compran hoy lo que entonces 3,90.</w:t>
            </w:r>
          </w:p>
        </w:tc>
        <w:tc>
          <w:tcPr>
            <w:tcW w:type="dxa" w:w="2296"/>
          </w:tcPr>
          <w:p>
            <w:pPr>
              <w:spacing w:after="20" w:line="264" w:lineRule="auto"/>
            </w:pPr>
            <w:r/>
            <w:r>
              <w:rPr>
                <w:rFonts w:ascii="Segoe UI" w:hAnsi="Segoe UI" w:eastAsia="Segoe UI" w:cs="Segoe UI"/>
                <w:color w:val="1F1D1A"/>
                <w:sz w:val="18"/>
              </w:rPr>
              <w:t>8.3</w:t>
            </w:r>
          </w:p>
        </w:tc>
      </w:tr>
      <w:tr>
        <w:tc>
          <w:tcPr>
            <w:tcW w:type="dxa" w:w="2296"/>
          </w:tcPr>
          <w:p>
            <w:pPr>
              <w:spacing w:after="20" w:line="264" w:lineRule="auto"/>
            </w:pPr>
            <w:r/>
            <w:r>
              <w:rPr>
                <w:rFonts w:ascii="Segoe UI" w:hAnsi="Segoe UI" w:eastAsia="Segoe UI" w:cs="Segoe UI"/>
                <w:color w:val="1F1D1A"/>
                <w:sz w:val="18"/>
              </w:rPr>
              <w:t>Sus impuestos</w:t>
            </w:r>
          </w:p>
        </w:tc>
        <w:tc>
          <w:tcPr>
            <w:tcW w:type="dxa" w:w="2296"/>
          </w:tcPr>
          <w:p>
            <w:pPr>
              <w:spacing w:after="20" w:line="264" w:lineRule="auto"/>
            </w:pPr>
            <w:r/>
            <w:r>
              <w:rPr>
                <w:rFonts w:ascii="Segoe UI" w:hAnsi="Segoe UI" w:eastAsia="Segoe UI" w:cs="Segoe UI"/>
                <w:color w:val="1F1D1A"/>
                <w:sz w:val="18"/>
              </w:rPr>
              <w:t>Que, si no se los suben, paga lo mismo.</w:t>
            </w:r>
          </w:p>
        </w:tc>
        <w:tc>
          <w:tcPr>
            <w:tcW w:type="dxa" w:w="2296"/>
          </w:tcPr>
          <w:p>
            <w:pPr>
              <w:spacing w:after="20" w:line="264" w:lineRule="auto"/>
            </w:pPr>
            <w:r/>
            <w:r>
              <w:rPr>
                <w:rFonts w:ascii="Segoe UI" w:hAnsi="Segoe UI" w:eastAsia="Segoe UI" w:cs="Segoe UI"/>
                <w:color w:val="1F1D1A"/>
                <w:sz w:val="18"/>
              </w:rPr>
              <w:t>La escala del IRPF no se actualiza desde 2015, con una subida de precios del 28 %.</w:t>
            </w:r>
          </w:p>
        </w:tc>
        <w:tc>
          <w:tcPr>
            <w:tcW w:type="dxa" w:w="2296"/>
          </w:tcPr>
          <w:p>
            <w:pPr>
              <w:spacing w:after="20" w:line="264" w:lineRule="auto"/>
            </w:pPr>
            <w:r/>
            <w:r>
              <w:rPr>
                <w:rFonts w:ascii="Segoe UI" w:hAnsi="Segoe UI" w:eastAsia="Segoe UI" w:cs="Segoe UI"/>
                <w:color w:val="1F1D1A"/>
                <w:sz w:val="18"/>
              </w:rPr>
              <w:t>8.3</w:t>
            </w:r>
          </w:p>
        </w:tc>
      </w:tr>
      <w:tr>
        <w:tc>
          <w:tcPr>
            <w:tcW w:type="dxa" w:w="2296"/>
          </w:tcPr>
          <w:p>
            <w:pPr>
              <w:spacing w:after="20" w:line="264" w:lineRule="auto"/>
            </w:pPr>
            <w:r/>
            <w:r>
              <w:rPr>
                <w:rFonts w:ascii="Segoe UI" w:hAnsi="Segoe UI" w:eastAsia="Segoe UI" w:cs="Segoe UI"/>
                <w:color w:val="1F1D1A"/>
                <w:sz w:val="18"/>
              </w:rPr>
              <w:t>Su vejez</w:t>
            </w:r>
          </w:p>
        </w:tc>
        <w:tc>
          <w:tcPr>
            <w:tcW w:type="dxa" w:w="2296"/>
          </w:tcPr>
          <w:p>
            <w:pPr>
              <w:spacing w:after="20" w:line="264" w:lineRule="auto"/>
            </w:pPr>
            <w:r/>
            <w:r>
              <w:rPr>
                <w:rFonts w:ascii="Segoe UI" w:hAnsi="Segoe UI" w:eastAsia="Segoe UI" w:cs="Segoe UI"/>
                <w:color w:val="1F1D1A"/>
                <w:sz w:val="18"/>
              </w:rPr>
              <w:t>Que cotiza para su jubilación.</w:t>
            </w:r>
          </w:p>
        </w:tc>
        <w:tc>
          <w:tcPr>
            <w:tcW w:type="dxa" w:w="2296"/>
          </w:tcPr>
          <w:p>
            <w:pPr>
              <w:spacing w:after="20" w:line="264" w:lineRule="auto"/>
            </w:pPr>
            <w:r/>
            <w:r>
              <w:rPr>
                <w:rFonts w:ascii="Segoe UI" w:hAnsi="Segoe UI" w:eastAsia="Segoe UI" w:cs="Segoe UI"/>
                <w:color w:val="1F1D1A"/>
                <w:sz w:val="18"/>
              </w:rPr>
              <w:t>El sistema es de reparto, y la hucha rindió un 0,12 % al año en los últimos diez años.</w:t>
            </w:r>
          </w:p>
        </w:tc>
        <w:tc>
          <w:tcPr>
            <w:tcW w:type="dxa" w:w="2296"/>
          </w:tcPr>
          <w:p>
            <w:pPr>
              <w:spacing w:after="20" w:line="264" w:lineRule="auto"/>
            </w:pPr>
            <w:r/>
            <w:r>
              <w:rPr>
                <w:rFonts w:ascii="Segoe UI" w:hAnsi="Segoe UI" w:eastAsia="Segoe UI" w:cs="Segoe UI"/>
                <w:color w:val="1F1D1A"/>
                <w:sz w:val="18"/>
              </w:rPr>
              <w:t>8.6</w:t>
            </w:r>
          </w:p>
        </w:tc>
      </w:tr>
      <w:tr>
        <w:tc>
          <w:tcPr>
            <w:tcW w:type="dxa" w:w="2296"/>
          </w:tcPr>
          <w:p>
            <w:pPr>
              <w:spacing w:after="20" w:line="264" w:lineRule="auto"/>
            </w:pPr>
            <w:r/>
            <w:r>
              <w:rPr>
                <w:rFonts w:ascii="Segoe UI" w:hAnsi="Segoe UI" w:eastAsia="Segoe UI" w:cs="Segoe UI"/>
                <w:color w:val="1F1D1A"/>
                <w:sz w:val="18"/>
              </w:rPr>
              <w:t>Su casa y su familia</w:t>
            </w:r>
          </w:p>
        </w:tc>
        <w:tc>
          <w:tcPr>
            <w:tcW w:type="dxa" w:w="2296"/>
          </w:tcPr>
          <w:p>
            <w:pPr>
              <w:spacing w:after="20" w:line="264" w:lineRule="auto"/>
            </w:pPr>
            <w:r/>
            <w:r>
              <w:rPr>
                <w:rFonts w:ascii="Segoe UI" w:hAnsi="Segoe UI" w:eastAsia="Segoe UI" w:cs="Segoe UI"/>
                <w:color w:val="1F1D1A"/>
                <w:sz w:val="18"/>
              </w:rPr>
              <w:t>Que tiene derecho a una vivienda.</w:t>
            </w:r>
          </w:p>
        </w:tc>
        <w:tc>
          <w:tcPr>
            <w:tcW w:type="dxa" w:w="2296"/>
          </w:tcPr>
          <w:p>
            <w:pPr>
              <w:spacing w:after="20" w:line="264" w:lineRule="auto"/>
            </w:pPr>
            <w:r/>
            <w:r>
              <w:rPr>
                <w:rFonts w:ascii="Segoe UI" w:hAnsi="Segoe UI" w:eastAsia="Segoe UI" w:cs="Segoe UI"/>
                <w:color w:val="1F1D1A"/>
                <w:sz w:val="18"/>
              </w:rPr>
              <w:t>Ese derecho no se puede reclamar ante un juez sin una ley que lo desarrolle, y la fecundidad está en 1,10 hijos por mujer.</w:t>
            </w:r>
          </w:p>
        </w:tc>
        <w:tc>
          <w:tcPr>
            <w:tcW w:type="dxa" w:w="2296"/>
          </w:tcPr>
          <w:p>
            <w:pPr>
              <w:spacing w:after="20" w:line="264" w:lineRule="auto"/>
            </w:pPr>
            <w:r/>
            <w:r>
              <w:rPr>
                <w:rFonts w:ascii="Segoe UI" w:hAnsi="Segoe UI" w:eastAsia="Segoe UI" w:cs="Segoe UI"/>
                <w:color w:val="1F1D1A"/>
                <w:sz w:val="18"/>
              </w:rPr>
              <w:t>7.6</w:t>
            </w:r>
            <w:r>
              <w:rPr>
                <w:rFonts w:ascii="Segoe UI" w:hAnsi="Segoe UI" w:eastAsia="Segoe UI" w:cs="Segoe UI"/>
                <w:color w:val="1F1D1A"/>
                <w:sz w:val="18"/>
              </w:rPr>
              <w:t xml:space="preserve"> y </w:t>
            </w:r>
            <w:r>
              <w:rPr>
                <w:rFonts w:ascii="Segoe UI" w:hAnsi="Segoe UI" w:eastAsia="Segoe UI" w:cs="Segoe UI"/>
                <w:color w:val="1F1D1A"/>
                <w:sz w:val="18"/>
              </w:rPr>
              <w:t>8.8</w:t>
            </w:r>
          </w:p>
        </w:tc>
      </w:tr>
      <w:tr>
        <w:tc>
          <w:tcPr>
            <w:tcW w:type="dxa" w:w="2296"/>
          </w:tcPr>
          <w:p>
            <w:pPr>
              <w:spacing w:after="20" w:line="264" w:lineRule="auto"/>
            </w:pPr>
            <w:r/>
            <w:r>
              <w:rPr>
                <w:rFonts w:ascii="Segoe UI" w:hAnsi="Segoe UI" w:eastAsia="Segoe UI" w:cs="Segoe UI"/>
                <w:color w:val="1F1D1A"/>
                <w:sz w:val="18"/>
              </w:rPr>
              <w:t>Su defensa</w:t>
            </w:r>
          </w:p>
        </w:tc>
        <w:tc>
          <w:tcPr>
            <w:tcW w:type="dxa" w:w="2296"/>
          </w:tcPr>
          <w:p>
            <w:pPr>
              <w:spacing w:after="20" w:line="264" w:lineRule="auto"/>
            </w:pPr>
            <w:r/>
            <w:r>
              <w:rPr>
                <w:rFonts w:ascii="Segoe UI" w:hAnsi="Segoe UI" w:eastAsia="Segoe UI" w:cs="Segoe UI"/>
                <w:color w:val="1F1D1A"/>
                <w:sz w:val="18"/>
              </w:rPr>
              <w:t>Que el Constitucional le ampara.</w:t>
            </w:r>
          </w:p>
        </w:tc>
        <w:tc>
          <w:tcPr>
            <w:tcW w:type="dxa" w:w="2296"/>
          </w:tcPr>
          <w:p>
            <w:pPr>
              <w:spacing w:after="20" w:line="264" w:lineRule="auto"/>
            </w:pPr>
            <w:r/>
            <w:r>
              <w:rPr>
                <w:rFonts w:ascii="Segoe UI" w:hAnsi="Segoe UI" w:eastAsia="Segoe UI" w:cs="Segoe UI"/>
                <w:color w:val="1F1D1A"/>
                <w:sz w:val="18"/>
              </w:rPr>
              <w:t>En 2025 se admitieron 59 de 9.089 recursos de amparo; la Administración embarga sin juez, y él no puede hacer lo mismo.</w:t>
            </w:r>
          </w:p>
        </w:tc>
        <w:tc>
          <w:tcPr>
            <w:tcW w:type="dxa" w:w="2296"/>
          </w:tcPr>
          <w:p>
            <w:pPr>
              <w:spacing w:after="20" w:line="264" w:lineRule="auto"/>
            </w:pPr>
            <w:r/>
            <w:r>
              <w:rPr>
                <w:rFonts w:ascii="Segoe UI" w:hAnsi="Segoe UI" w:eastAsia="Segoe UI" w:cs="Segoe UI"/>
                <w:color w:val="1F1D1A"/>
                <w:sz w:val="18"/>
              </w:rPr>
              <w:t>7.2</w:t>
            </w:r>
            <w:r>
              <w:rPr>
                <w:rFonts w:ascii="Segoe UI" w:hAnsi="Segoe UI" w:eastAsia="Segoe UI" w:cs="Segoe UI"/>
                <w:color w:val="1F1D1A"/>
                <w:sz w:val="18"/>
              </w:rPr>
              <w:t xml:space="preserve"> y </w:t>
            </w:r>
            <w:r>
              <w:rPr>
                <w:rFonts w:ascii="Segoe UI" w:hAnsi="Segoe UI" w:eastAsia="Segoe UI" w:cs="Segoe UI"/>
                <w:color w:val="1F1D1A"/>
                <w:sz w:val="18"/>
              </w:rPr>
              <w:t>7.6</w:t>
            </w:r>
          </w:p>
        </w:tc>
      </w:tr>
      <w:tr>
        <w:tc>
          <w:tcPr>
            <w:tcW w:type="dxa" w:w="2296"/>
          </w:tcPr>
          <w:p>
            <w:pPr>
              <w:spacing w:after="20" w:line="264" w:lineRule="auto"/>
            </w:pPr>
            <w:r/>
            <w:r>
              <w:rPr>
                <w:rFonts w:ascii="Segoe UI" w:hAnsi="Segoe UI" w:eastAsia="Segoe UI" w:cs="Segoe UI"/>
                <w:color w:val="1F1D1A"/>
                <w:sz w:val="18"/>
              </w:rPr>
              <w:t>Su voto</w:t>
            </w:r>
          </w:p>
        </w:tc>
        <w:tc>
          <w:tcPr>
            <w:tcW w:type="dxa" w:w="2296"/>
          </w:tcPr>
          <w:p>
            <w:pPr>
              <w:spacing w:after="20" w:line="264" w:lineRule="auto"/>
            </w:pPr>
            <w:r/>
            <w:r>
              <w:rPr>
                <w:rFonts w:ascii="Segoe UI" w:hAnsi="Segoe UI" w:eastAsia="Segoe UI" w:cs="Segoe UI"/>
                <w:color w:val="1F1D1A"/>
                <w:sz w:val="18"/>
              </w:rPr>
              <w:t>Que elige a sus representantes.</w:t>
            </w:r>
          </w:p>
        </w:tc>
        <w:tc>
          <w:tcPr>
            <w:tcW w:type="dxa" w:w="2296"/>
          </w:tcPr>
          <w:p>
            <w:pPr>
              <w:spacing w:after="20" w:line="264" w:lineRule="auto"/>
            </w:pPr>
            <w:r/>
            <w:r>
              <w:rPr>
                <w:rFonts w:ascii="Segoe UI" w:hAnsi="Segoe UI" w:eastAsia="Segoe UI" w:cs="Segoe UI"/>
                <w:color w:val="1F1D1A"/>
                <w:sz w:val="18"/>
              </w:rPr>
              <w:t>Vota una lista cerrada, y su diputado no está ligado por mandato imperativo.</w:t>
            </w:r>
          </w:p>
        </w:tc>
        <w:tc>
          <w:tcPr>
            <w:tcW w:type="dxa" w:w="2296"/>
          </w:tcPr>
          <w:p>
            <w:pPr>
              <w:spacing w:after="20" w:line="264" w:lineRule="auto"/>
            </w:pPr>
            <w:r/>
            <w:r>
              <w:rPr>
                <w:rFonts w:ascii="Segoe UI" w:hAnsi="Segoe UI" w:eastAsia="Segoe UI" w:cs="Segoe UI"/>
                <w:color w:val="1F1D1A"/>
                <w:sz w:val="18"/>
              </w:rPr>
              <w:t>7.2</w:t>
            </w:r>
          </w:p>
        </w:tc>
      </w:tr>
      <w:tr>
        <w:tc>
          <w:tcPr>
            <w:tcW w:type="dxa" w:w="2296"/>
          </w:tcPr>
          <w:p>
            <w:pPr>
              <w:spacing w:after="20" w:line="264" w:lineRule="auto"/>
            </w:pPr>
            <w:r/>
            <w:r>
              <w:rPr>
                <w:rFonts w:ascii="Segoe UI" w:hAnsi="Segoe UI" w:eastAsia="Segoe UI" w:cs="Segoe UI"/>
                <w:color w:val="1F1D1A"/>
                <w:sz w:val="18"/>
              </w:rPr>
              <w:t>Lo que sabe</w:t>
            </w:r>
          </w:p>
        </w:tc>
        <w:tc>
          <w:tcPr>
            <w:tcW w:type="dxa" w:w="2296"/>
          </w:tcPr>
          <w:p>
            <w:pPr>
              <w:spacing w:after="20" w:line="264" w:lineRule="auto"/>
            </w:pPr>
            <w:r/>
            <w:r>
              <w:rPr>
                <w:rFonts w:ascii="Segoe UI" w:hAnsi="Segoe UI" w:eastAsia="Segoe UI" w:cs="Segoe UI"/>
                <w:color w:val="1F1D1A"/>
                <w:sz w:val="18"/>
              </w:rPr>
              <w:t>Que hay transparencia.</w:t>
            </w:r>
          </w:p>
        </w:tc>
        <w:tc>
          <w:tcPr>
            <w:tcW w:type="dxa" w:w="2296"/>
          </w:tcPr>
          <w:p>
            <w:pPr>
              <w:spacing w:after="20" w:line="264" w:lineRule="auto"/>
            </w:pPr>
            <w:r/>
            <w:r>
              <w:rPr>
                <w:rFonts w:ascii="Segoe UI" w:hAnsi="Segoe UI" w:eastAsia="Segoe UI" w:cs="Segoe UI"/>
                <w:color w:val="1F1D1A"/>
                <w:sz w:val="18"/>
              </w:rPr>
              <w:t>Se publica cada dato suelto, nunca la suma; y hasta las palabras cambian de significado, como «inflación».</w:t>
            </w:r>
          </w:p>
        </w:tc>
        <w:tc>
          <w:tcPr>
            <w:tcW w:type="dxa" w:w="2296"/>
          </w:tcPr>
          <w:p>
            <w:pPr>
              <w:spacing w:after="20" w:line="264" w:lineRule="auto"/>
            </w:pPr>
            <w:r/>
            <w:r>
              <w:rPr>
                <w:rFonts w:ascii="Segoe UI" w:hAnsi="Segoe UI" w:eastAsia="Segoe UI" w:cs="Segoe UI"/>
                <w:color w:val="1F1D1A"/>
                <w:sz w:val="18"/>
              </w:rPr>
              <w:t>5.1</w:t>
            </w:r>
            <w:r>
              <w:rPr>
                <w:rFonts w:ascii="Segoe UI" w:hAnsi="Segoe UI" w:eastAsia="Segoe UI" w:cs="Segoe UI"/>
                <w:color w:val="1F1D1A"/>
                <w:sz w:val="18"/>
              </w:rPr>
              <w:t xml:space="preserve"> y </w:t>
            </w:r>
            <w:r>
              <w:rPr>
                <w:rFonts w:ascii="Segoe UI" w:hAnsi="Segoe UI" w:eastAsia="Segoe UI" w:cs="Segoe UI"/>
                <w:color w:val="1F1D1A"/>
                <w:sz w:val="18"/>
              </w:rPr>
              <w:t>8.6</w:t>
            </w:r>
          </w:p>
        </w:tc>
      </w:tr>
      <w:tr>
        <w:tc>
          <w:tcPr>
            <w:tcW w:type="dxa" w:w="2296"/>
          </w:tcPr>
          <w:p>
            <w:pPr>
              <w:spacing w:after="20" w:line="264" w:lineRule="auto"/>
            </w:pPr>
            <w:r/>
            <w:r>
              <w:rPr>
                <w:rFonts w:ascii="Segoe UI" w:hAnsi="Segoe UI" w:eastAsia="Segoe UI" w:cs="Segoe UI"/>
                <w:color w:val="1F1D1A"/>
                <w:sz w:val="18"/>
              </w:rPr>
              <w:t>Sus hijos y nietos</w:t>
            </w:r>
          </w:p>
        </w:tc>
        <w:tc>
          <w:tcPr>
            <w:tcW w:type="dxa" w:w="2296"/>
          </w:tcPr>
          <w:p>
            <w:pPr>
              <w:spacing w:after="20" w:line="264" w:lineRule="auto"/>
            </w:pPr>
            <w:r/>
            <w:r>
              <w:rPr>
                <w:rFonts w:ascii="Segoe UI" w:hAnsi="Segoe UI" w:eastAsia="Segoe UI" w:cs="Segoe UI"/>
                <w:color w:val="1F1D1A"/>
                <w:sz w:val="18"/>
              </w:rPr>
              <w:t>Que la deuda es del Estado.</w:t>
            </w:r>
          </w:p>
        </w:tc>
        <w:tc>
          <w:tcPr>
            <w:tcW w:type="dxa" w:w="2296"/>
          </w:tcPr>
          <w:p>
            <w:pPr>
              <w:spacing w:after="20" w:line="264" w:lineRule="auto"/>
            </w:pPr>
            <w:r/>
            <w:r>
              <w:rPr>
                <w:rFonts w:ascii="Segoe UI" w:hAnsi="Segoe UI" w:eastAsia="Segoe UI" w:cs="Segoe UI"/>
                <w:color w:val="1F1D1A"/>
                <w:sz w:val="18"/>
              </w:rPr>
              <w:t>La pagarán ellos: 1,7 billones de deuda, más 6,13 billones en pensiones ya prometidas.</w:t>
            </w:r>
          </w:p>
        </w:tc>
        <w:tc>
          <w:tcPr>
            <w:tcW w:type="dxa" w:w="2296"/>
          </w:tcPr>
          <w:p>
            <w:pPr>
              <w:spacing w:after="20" w:line="264" w:lineRule="auto"/>
            </w:pPr>
            <w:r/>
            <w:r>
              <w:rPr>
                <w:rFonts w:ascii="Segoe UI" w:hAnsi="Segoe UI" w:eastAsia="Segoe UI" w:cs="Segoe UI"/>
                <w:color w:val="1F1D1A"/>
                <w:sz w:val="18"/>
              </w:rPr>
              <w:t>9.1</w:t>
            </w:r>
          </w:p>
        </w:tc>
      </w:tr>
    </w:tbl>
    <w:p>
      <w:pPr>
        <w:spacing w:after="80"/>
      </w:pPr>
    </w:p>
    <w:p>
      <w:r>
        <w:t xml:space="preserve">En todos los ámbitos se repite el mismo patrón: el nombre o la creencia dicen una cosa y el dato dice otra, y el recurso va casi siempre en la misma dirección, del ciudadano al sistema. Lo probado es el mecanismo: mientras se cree lo que dice el nombre, no se mira lo que hace la cosa. </w:t>
      </w:r>
      <w:r>
        <w:t>[00.1-8.1 a 8.13]</w:t>
      </w:r>
    </w:p>
    <w:p>
      <w:r>
        <w:rPr>
          <w:b/>
        </w:rPr>
        <w:t>Conclusión, lo que arrojan los datos:</w:t>
      </w:r>
      <w:r>
        <w:t xml:space="preserve"> en las tres familias se repite el mismo patrón: un nombre o una cifra oficial sugieren una cosa, y la norma o el dato dicen otra. La «hucha» no guarda, la «cotización» no ahorra, la «transparencia» no suma, la «urgencia» se vuelve costumbre y el «derecho» a la vivienda no se puede reclamar. En tres casos, lo que no coincide es el propio significado de la palabra: la «inflación», que nombraba la emisión excesiva de moneda y hoy nombra la subida de los precios; el banco, del que se cree que presta el dinero de los ahorradores, cuando la mayor parte del dinero se crea al conceder el préstamo; y el «contrato» social, que nadie firmó. Ninguna de estas filas exige suponer nada: basta leer la norma y el dato. Y la Constitución, revisada artículo por artículo, suma 69 incumplimientos (</w:t>
      </w:r>
      <w:r>
        <w:t>7.1</w:t>
      </w:r>
      <w:r>
        <w:t xml:space="preserve">; </w:t>
      </w:r>
      <w:r>
        <w:t>anexo A</w:t>
      </w:r>
      <w:r>
        <w:t xml:space="preserve">). </w:t>
      </w:r>
      <w:r>
        <w:t>[00.1-27.1 y 0.0.4]</w:t>
      </w:r>
    </w:p>
    <w:p>
      <w:r>
        <w:rPr>
          <w:b/>
        </w:rPr>
        <w:t>Lectura del autor:</w:t>
      </w:r>
      <w:r>
        <w:t xml:space="preserve"> lo que este catálogo recoge no es un descuido: es una forma de hipnosis colectiva. Se repite un nombre hasta que sustituye a la cosa, y la población acaba defendiendo como propio lo que la norma nunca le prometió; es la repetición que forma (</w:t>
      </w:r>
      <w:r>
        <w:t>4.4</w:t>
      </w:r>
      <w:r>
        <w:t>). Quien dicta la norma conoce lo que dice: si aun así deja que el ciudadano crea otra cosa, ahí se ve mala fe. La salida no es la ira, sino despertar: leer la norma, pedir el dato y dejar constancia por escrito. Lo mismo pasa con las palabras. Como el pulpo que suelta su tinta para huir y desviar la atención, el sistema se reserva el poder de cambiar hasta el significado de las palabras, y sus tentáculos llegan a la información y a quien fija el significado oficial de lo que decimos. Este ente sin cuerpo (</w:t>
      </w:r>
      <w:r>
        <w:t>2.1</w:t>
      </w:r>
      <w:r>
        <w:t>) trabaja sin descanso y en todos los frentes, y su comportamiento delata su propósito: no busca el bien común, sino conservarse, tomando el tiempo de vida de quien trabaja (</w:t>
      </w:r>
      <w:r>
        <w:t>8.3</w:t>
      </w:r>
      <w:r>
        <w:t xml:space="preserve">) y cargando a los que vienen con deudas que les roban el futuro. Si Dios es lo natural, lo que tuerce lo natural para protegerse va contra Él: esto apunta hacia el padre de la mentira (Jn 8:44). «Por sus frutos los conoceréis» (Mt 7:16). </w:t>
      </w:r>
      <w:r>
        <w:t>[00.1-28.1, con la fórmula de la edición, glosario 9.1]</w:t>
      </w:r>
    </w:p>
    <w:p>
      <w:pPr>
        <w:pStyle w:val="Heading2"/>
      </w:pPr>
      <w:r>
        <w:t>5.2 El edificio de las presunciones</w:t>
      </w:r>
    </w:p>
    <w:p>
      <w:pPr>
        <w:pBdr>
          <w:left w:val="single" w:sz="24" w:space="6" w:color="E2DED6"/>
        </w:pBdr>
        <w:shd w:val="clear" w:color="auto" w:fill="F1EEE8"/>
        <w:spacing w:before="80" w:after="160"/>
        <w:ind w:left="142" w:right="142"/>
      </w:pPr>
      <w:r>
        <w:rPr>
          <w:b/>
        </w:rPr>
        <w:t>La idea: el Estado se sostiene en presunciones: da por cierto, sin haberlo probado, lo que más necesita. Ordenadas, forman un edificio de siete plantas, de los cimientos al tejado; y frente a cada una, la ley de Dios dice otra cosa.</w:t>
      </w:r>
    </w:p>
    <w:p>
      <w:r>
        <w:rPr>
          <w:b/>
        </w:rPr>
        <w:t>La presunción.</w:t>
      </w:r>
      <w:r>
        <w:t xml:space="preserve"> Ya se dijo qué es: dar algo por cierto sin haberlo probado (</w:t>
      </w:r>
      <w:r>
        <w:t>0.4</w:t>
      </w:r>
      <w:r>
        <w:t xml:space="preserve">). En el derecho es, además, una regla: la ley manda tener algo por cierto mientras no se pruebe lo contrario, y así decide quién tiene que probar. Por eso cada presunción reparte una carga: la de la prueba. </w:t>
      </w:r>
      <w:r>
        <w:t>[00.2-0.0.2; glosario 3.3]</w:t>
      </w:r>
    </w:p>
    <w:p>
      <w:r>
        <w:rPr>
          <w:b/>
        </w:rPr>
        <w:t>Contra natura.</w:t>
      </w:r>
      <w:r>
        <w:t xml:space="preserve"> Desde aquí, la edición llama «contra natura» a lo que va contra la ley natural (</w:t>
      </w:r>
      <w:r>
        <w:t>1.4</w:t>
      </w:r>
      <w:r>
        <w:t xml:space="preserve">). Se dice solo de normas e instituciones, nunca de personas ni de la conducta de ningún colectivo. </w:t>
      </w:r>
      <w:r>
        <w:t>[glosario 3.4, cautela]</w:t>
      </w:r>
    </w:p>
    <w:p>
      <w:r>
        <w:rPr>
          <w:b/>
        </w:rPr>
        <w:t>Cómo se lee cada planta.</w:t>
      </w:r>
      <w:r>
        <w:t xml:space="preserve"> Primero, cada presunción con lo que dicen la norma o el dato; las que ya se vieron en </w:t>
      </w:r>
      <w:r>
        <w:t>5.1</w:t>
      </w:r>
      <w:r>
        <w:t xml:space="preserve"> solo se nombran. Después, lo que dicen frente a ellas los textos sagrados. La vara es la de siempre: ¿sirve al orden natural y a Dios, o a intereses egoístas? Cada presunción es, además, un cargo del juicio (</w:t>
      </w:r>
      <w:r>
        <w:t>11.3</w:t>
      </w:r>
      <w:r>
        <w:t xml:space="preserve">). </w:t>
      </w:r>
      <w:r>
        <w:t>[00.2-0.0.3]</w:t>
      </w:r>
    </w:p>
    <w:p>
      <w:pPr>
        <w:pStyle w:val="Heading3"/>
      </w:pPr>
      <w:r>
        <w:t>Planta 1. Los cimientos: el orden de las leyes</w:t>
      </w:r>
    </w:p>
    <w:p>
      <w:r>
        <w:t xml:space="preserve">La presunción más grave, porque sobre ella descansan todas las demás. Ya se vio en el </w:t>
      </w:r>
      <w:r>
        <w:t>capítulo 1</w:t>
      </w:r>
      <w:r>
        <w:t>: el orden que guardaron las tradiciones es la ley de Dios, la ley natural, la costumbre y, por último, la ley humana; el oficial es el inverso (</w:t>
      </w:r>
      <w:r>
        <w:t>1.1</w:t>
      </w:r>
      <w:r>
        <w:t xml:space="preserve"> y </w:t>
      </w:r>
      <w:r>
        <w:t>1.7</w:t>
      </w:r>
      <w:r>
        <w:t>).</w:t>
      </w:r>
    </w:p>
    <w:p>
      <w:pPr>
        <w:pStyle w:val="ListBullet"/>
      </w:pPr>
      <w:r>
        <w:rPr>
          <w:b/>
        </w:rPr>
        <w:t>La ley humana, primera fuente.</w:t>
      </w:r>
      <w:r>
        <w:t xml:space="preserve"> Se presume que la ley escrita por el Estado es la primera fuente del derecho. Es el art. 1 del Código Civil (</w:t>
      </w:r>
      <w:r>
        <w:t>1.1</w:t>
      </w:r>
      <w:r>
        <w:t xml:space="preserve">). </w:t>
      </w:r>
      <w:r>
        <w:t>[00.2-1.3]</w:t>
      </w:r>
    </w:p>
    <w:p>
      <w:pPr>
        <w:pStyle w:val="ListBullet"/>
      </w:pPr>
      <w:r>
        <w:rPr>
          <w:b/>
        </w:rPr>
        <w:t>Nada por encima de la Constitución.</w:t>
      </w:r>
      <w:r>
        <w:t xml:space="preserve"> Se presume que no hay ley superior a la que el Estado se dio a sí mismo. «Los ciudadanos y los poderes públicos están sujetos a la Constitución y al resto del ordenamiento jurídico»</w:t>
      </w:r>
      <w:r>
        <w:t xml:space="preserve"> (Constitución, art. 9.1)</w:t>
      </w:r>
      <w:r>
        <w:br/>
      </w:r>
      <w:r>
        <w:rPr>
          <w:b/>
        </w:rPr>
        <w:t>leída en su fuente · Constitución, art. 9.1</w:t>
      </w:r>
      <w:r>
        <w:br/>
      </w:r>
      <w:r>
        <w:rPr>
          <w:b/>
        </w:rPr>
        <w:t>Archivo leído:</w:t>
      </w:r>
      <w:r>
        <w:t xml:space="preserve"> constitucion_1978.html (c5\constitucion_1978.html) · contraste del archivo de pasajes: ✔</w:t>
      </w:r>
      <w:r>
        <w:br/>
      </w:r>
      <w:r>
        <w:rPr>
          <w:b/>
        </w:rPr>
        <w:t>Lugar:</w:t>
      </w:r>
      <w:r>
        <w:t xml:space="preserve"> Art. 9.1 (#a9)</w:t>
      </w:r>
      <w:r>
        <w:br/>
      </w:r>
      <w:r>
        <w:rPr>
          <w:b/>
        </w:rPr>
        <w:t>Dirección:</w:t>
      </w:r>
      <w:r>
        <w:t xml:space="preserve"> </w:t>
      </w:r>
      <w:r>
        <w:t>https://www.boe.es/buscar/act.php?id=BOE-A-1978-31229</w:t>
      </w:r>
      <w:r>
        <w:br/>
      </w:r>
      <w:r>
        <w:rPr>
          <w:b/>
        </w:rPr>
        <w:t>Tal como está en la fuente:</w:t>
      </w:r>
      <w:r>
        <w:t xml:space="preserve"> 1. Los ciudadanos y los poderes públicos están sujetos a la Constitución y al resto del ordenamiento jurídico.</w:t>
      </w:r>
      <w:r>
        <w:t>, y «Carecerán de validez las disposiciones que contradigan otra de rango superior»</w:t>
      </w:r>
      <w:r>
        <w:t xml:space="preserve"> (Código Civil, art. 1.2)</w:t>
      </w:r>
      <w:r>
        <w:br/>
      </w:r>
      <w:r>
        <w:rPr>
          <w:b/>
        </w:rPr>
        <w:t>leída en su fuente · Código Civil, art. 1.2</w:t>
      </w:r>
      <w:r>
        <w:br/>
      </w:r>
      <w:r>
        <w:rPr>
          <w:b/>
        </w:rPr>
        <w:t>Archivo leído:</w:t>
      </w:r>
      <w:r>
        <w:t xml:space="preserve"> codigo_civil_1889.html (c5\codigo_civil_1889.html) · contraste del archivo de pasajes: ✔</w:t>
      </w:r>
      <w:r>
        <w:br/>
      </w:r>
      <w:r>
        <w:rPr>
          <w:b/>
        </w:rPr>
        <w:t>Lugar:</w:t>
      </w:r>
      <w:r>
        <w:t xml:space="preserve"> Art. 1.2</w:t>
      </w:r>
      <w:r>
        <w:br/>
      </w:r>
      <w:r>
        <w:rPr>
          <w:b/>
        </w:rPr>
        <w:t>Dirección:</w:t>
      </w:r>
      <w:r>
        <w:t xml:space="preserve"> </w:t>
      </w:r>
      <w:r>
        <w:t>https://www.boe.es/buscar/act.php?id=BOE-A-1889-4763</w:t>
      </w:r>
      <w:r>
        <w:br/>
      </w:r>
      <w:r>
        <w:rPr>
          <w:b/>
        </w:rPr>
        <w:t>Tal como está en la fuente:</w:t>
      </w:r>
      <w:r>
        <w:t xml:space="preserve"> 2. Carecerán de validez las disposiciones que contradigan otra de rango superior.</w:t>
      </w:r>
      <w:r>
        <w:t>: la jerarquía termina en la Constitución. «Ninguna confesión tendrá carácter estatal»</w:t>
      </w:r>
      <w:r>
        <w:t xml:space="preserve"> (Constitución, art. 16.3)</w:t>
      </w:r>
      <w:r>
        <w:br/>
      </w:r>
      <w:r>
        <w:rPr>
          <w:b/>
        </w:rPr>
        <w:t>leída en su fuente · art. 16.3</w:t>
      </w:r>
      <w:r>
        <w:br/>
      </w:r>
      <w:r>
        <w:rPr>
          <w:b/>
        </w:rPr>
        <w:t>Archivo leído:</w:t>
      </w:r>
      <w:r>
        <w:t xml:space="preserve"> constitucion_1978.html (c5\constitucion_1978.html) · contraste del archivo de pasajes: ✔</w:t>
      </w:r>
      <w:r>
        <w:br/>
      </w:r>
      <w:r>
        <w:rPr>
          <w:b/>
        </w:rPr>
        <w:t>Lugar:</w:t>
      </w:r>
      <w:r>
        <w:t xml:space="preserve"> Art. 16.3 (#a16)</w:t>
      </w:r>
      <w:r>
        <w:br/>
      </w:r>
      <w:r>
        <w:rPr>
          <w:b/>
        </w:rPr>
        <w:t>Dirección:</w:t>
      </w:r>
      <w:r>
        <w:t xml:space="preserve"> </w:t>
      </w:r>
      <w:r>
        <w:t>https://www.boe.es/buscar/act.php?id=BOE-A-1978-31229</w:t>
      </w:r>
      <w:r>
        <w:br/>
      </w:r>
      <w:r>
        <w:rPr>
          <w:b/>
        </w:rPr>
        <w:t>Tal como está en la fuente:</w:t>
      </w:r>
      <w:r>
        <w:t xml:space="preserve"> 3. Ninguna confesión tendrá carácter estatal.</w:t>
      </w:r>
      <w:r>
        <w:t xml:space="preserve">: protege la libertad de creencias, pero también deja fuera del ordenamiento cualquier ley de Dios. </w:t>
      </w:r>
      <w:r>
        <w:rPr>
          <w:b/>
        </w:rPr>
        <w:t>Matiz:</w:t>
      </w:r>
      <w:r>
        <w:t xml:space="preserve"> la propia Constitución reconoce derechos «inherentes» a la persona (art. 10.1; </w:t>
      </w:r>
      <w:r>
        <w:t>2.2</w:t>
      </w:r>
      <w:r>
        <w:t xml:space="preserve">), es decir, anteriores a ella; pero los somete a su propia interpretación. </w:t>
      </w:r>
      <w:r>
        <w:t>[00.2-1.4]</w:t>
      </w:r>
    </w:p>
    <w:p>
      <w:pPr>
        <w:pStyle w:val="ListBullet"/>
      </w:pPr>
      <w:r>
        <w:rPr>
          <w:b/>
        </w:rPr>
        <w:t>Lo legal es lo justo.</w:t>
      </w:r>
      <w:r>
        <w:t xml:space="preserve"> Se presume que lo que dice la ley es justo por el hecho de ser ley. Normas legales resultaron durante años contrarias a la propia Constitución: la amnistía fiscal y la plusvalía se anularon sin devolver lo cobrado (</w:t>
      </w:r>
      <w:r>
        <w:t>5.1</w:t>
      </w:r>
      <w:r>
        <w:t>), y un artículo sancionador se aplicó cuarenta y cuatro años sin la ley que exige el art. 25.1 (</w:t>
      </w:r>
      <w:r>
        <w:t>5.1</w:t>
      </w:r>
      <w:r>
        <w:t xml:space="preserve">). La tradición ya distinguía: la ley que se aparta de la natural es «corrupción de la ley» (Aquino; </w:t>
      </w:r>
      <w:r>
        <w:t>1.1</w:t>
      </w:r>
      <w:r>
        <w:t xml:space="preserve">). </w:t>
      </w:r>
      <w:r>
        <w:t>[00.2-1.5]</w:t>
      </w:r>
    </w:p>
    <w:p>
      <w:r>
        <w:rPr>
          <w:b/>
        </w:rPr>
        <w:t>Frente a ellas, la ley de Dios:</w:t>
      </w:r>
    </w:p>
    <w:p>
      <w:pPr>
        <w:pStyle w:val="ListBullet"/>
      </w:pPr>
      <w:r>
        <w:t xml:space="preserve">A la primera: «Es menester obedecer á Dios antes que á los hombres» (Hch 5:29; </w:t>
      </w:r>
      <w:r>
        <w:t>1.2</w:t>
      </w:r>
      <w:r>
        <w:t>).</w:t>
      </w:r>
    </w:p>
    <w:p>
      <w:pPr>
        <w:pStyle w:val="ListBullet"/>
      </w:pPr>
      <w:r>
        <w:t>A la segunda: «Pagad pues á César lo que es de César, y á Dios lo que es de Dios»</w:t>
      </w:r>
      <w:r>
        <w:t xml:space="preserve"> (Mt 22:21)</w:t>
      </w:r>
      <w:r>
        <w:br/>
      </w:r>
      <w:r>
        <w:rPr>
          <w:b/>
        </w:rPr>
        <w:t>leída en su fuente · Mt 22:21</w:t>
      </w:r>
      <w:r>
        <w:br/>
      </w:r>
      <w:r>
        <w:rPr>
          <w:b/>
        </w:rPr>
        <w:t>Archivo leído:</w:t>
      </w:r>
      <w:r>
        <w:t xml:space="preserve"> rom_13_4-6_rva.html; mt_22_21_rva.html; hch_5_29_rva.html (c9g\mt_22_21_rva.html) · contraste del archivo de pasajes: ✔</w:t>
      </w:r>
      <w:r>
        <w:br/>
      </w:r>
      <w:r>
        <w:rPr>
          <w:b/>
        </w:rPr>
        <w:t>Lugar:</w:t>
      </w:r>
      <w:r>
        <w:t xml:space="preserve"> Rom 13:4</w:t>
      </w:r>
      <w:r>
        <w:br/>
      </w:r>
      <w:r>
        <w:rPr>
          <w:b/>
        </w:rPr>
        <w:t>Dirección:</w:t>
      </w:r>
      <w:r>
        <w:t xml:space="preserve"> </w:t>
      </w:r>
      <w:r>
        <w:t>https://www.biblegateway.com/passage/?search=Romans+13%3A4-6&amp;version=RVA</w:t>
      </w:r>
      <w:r>
        <w:br/>
      </w:r>
      <w:r>
        <w:rPr>
          <w:b/>
        </w:rPr>
        <w:t>Tal como está en la fuente:</w:t>
      </w:r>
      <w:r>
        <w:t xml:space="preserve"> Pagad pues á César lo que es de César, y á Dios lo que es de Dios.</w:t>
      </w:r>
      <w:r>
        <w:t xml:space="preserve">. Hay cosas que no son del César. Y el rey que no protege a su pueblo es «un rey muerto» (Leyes de Manu; </w:t>
      </w:r>
      <w:r>
        <w:t>3.2</w:t>
      </w:r>
      <w:r>
        <w:t>, P1).</w:t>
      </w:r>
    </w:p>
    <w:p>
      <w:pPr>
        <w:pStyle w:val="ListBullet"/>
      </w:pPr>
      <w:r>
        <w:t xml:space="preserve">A la tercera: «¡Ay de los que establecen leyes injustas» (Is 10:1; </w:t>
      </w:r>
      <w:r>
        <w:t>1.1</w:t>
      </w:r>
      <w:r>
        <w:t>); y a los que diezmaban la menta y el comino: «dejasteis lo que es lo más grave de la ley, es á saber, el juicio y la misericordia y la fe»</w:t>
      </w:r>
      <w:r>
        <w:t xml:space="preserve"> (Mt 23:23)</w:t>
      </w:r>
      <w:r>
        <w:br/>
      </w:r>
      <w:r>
        <w:rPr>
          <w:b/>
        </w:rPr>
        <w:t>leída en su fuente · Mt 23:23</w:t>
      </w:r>
      <w:r>
        <w:br/>
      </w:r>
      <w:r>
        <w:rPr>
          <w:b/>
        </w:rPr>
        <w:t>Archivo leído:</w:t>
      </w:r>
      <w:r>
        <w:t xml:space="preserve"> mt_23_23_rva.html; rvr1960_mt_23_23.html (c9g\mt_23_23_rva.html) · contraste del archivo de pasajes: ✔</w:t>
      </w:r>
      <w:r>
        <w:br/>
      </w:r>
      <w:r>
        <w:rPr>
          <w:b/>
        </w:rPr>
        <w:t>Lugar:</w:t>
      </w:r>
      <w:r>
        <w:t xml:space="preserve"> RVA</w:t>
      </w:r>
      <w:r>
        <w:br/>
      </w:r>
      <w:r>
        <w:rPr>
          <w:b/>
        </w:rPr>
        <w:t>Dirección:</w:t>
      </w:r>
      <w:r>
        <w:t xml:space="preserve"> </w:t>
      </w:r>
      <w:r>
        <w:t>https://www.biblegateway.com/passage/?search=Matthew+23%3A23&amp;version=RVA</w:t>
      </w:r>
      <w:r>
        <w:br/>
      </w:r>
      <w:r>
        <w:rPr>
          <w:b/>
        </w:rPr>
        <w:t>Tal como está en la fuente:</w:t>
      </w:r>
      <w:r>
        <w:t xml:space="preserve"> …y dejasteis lo que es lo más grave de la ley, es á saber, el juicio y la misericordia y la fe: esto era menester hacer, y no dejar lo otro.</w:t>
      </w:r>
      <w:r>
        <w:t>. La letra sin justicia deja fuera lo más importante.</w:t>
      </w:r>
    </w:p>
    <w:p>
      <w:r>
        <w:t>[00.2-2.1 a 2.5; Reina-Valera Antigua]</w:t>
      </w:r>
    </w:p>
    <w:p>
      <w:pPr>
        <w:pStyle w:val="Heading3"/>
      </w:pPr>
      <w:r>
        <w:t>Planta 2. La autoridad</w:t>
      </w:r>
    </w:p>
    <w:p>
      <w:r>
        <w:t>De dónde dice el Estado que le viene el poder.</w:t>
      </w:r>
    </w:p>
    <w:p>
      <w:pPr>
        <w:pStyle w:val="ListBullet"/>
      </w:pPr>
      <w:r>
        <w:rPr>
          <w:b/>
        </w:rPr>
        <w:t>La soberanía del pueblo.</w:t>
      </w:r>
      <w:r>
        <w:t xml:space="preserve"> Se presume que todos los poderes del Estado emanan del pueblo y que el pueblo los consintió. «La soberanía nacional reside en el pueblo español, del que emanan los poderes del Estado»</w:t>
      </w:r>
      <w:r>
        <w:t xml:space="preserve"> (Constitución, art. 1.2)</w:t>
      </w:r>
      <w:r>
        <w:br/>
      </w:r>
      <w:r>
        <w:rPr>
          <w:b/>
        </w:rPr>
        <w:t>leída en su fuente · Constitución, art. 1.2</w:t>
      </w:r>
      <w:r>
        <w:br/>
      </w:r>
      <w:r>
        <w:rPr>
          <w:b/>
        </w:rPr>
        <w:t>Archivo leído:</w:t>
      </w:r>
      <w:r>
        <w:t xml:space="preserve"> constitucion_1978.html (c5\constitucion_1978.html) · contraste del archivo de pasajes: ✔</w:t>
      </w:r>
      <w:r>
        <w:br/>
      </w:r>
      <w:r>
        <w:rPr>
          <w:b/>
        </w:rPr>
        <w:t>Lugar:</w:t>
      </w:r>
      <w:r>
        <w:t xml:space="preserve"> Art. 1.2</w:t>
      </w:r>
      <w:r>
        <w:br/>
      </w:r>
      <w:r>
        <w:rPr>
          <w:b/>
        </w:rPr>
        <w:t>Dirección:</w:t>
      </w:r>
      <w:r>
        <w:t xml:space="preserve"> </w:t>
      </w:r>
      <w:r>
        <w:t>https://www.boe.es/buscar/act.php?id=BOE-A-1978-31229</w:t>
      </w:r>
      <w:r>
        <w:br/>
      </w:r>
      <w:r>
        <w:rPr>
          <w:b/>
        </w:rPr>
        <w:t>Tal como está en la fuente:</w:t>
      </w:r>
      <w:r>
        <w:t xml:space="preserve"> 2. La soberanía nacional reside en el pueblo español, del que emanan los poderes del Estado.</w:t>
      </w:r>
      <w:r>
        <w:t>. La Constitución se ratificó en referéndum en 1978: lo dice su propia promulgación, «LAS CORTES HAN APROBADO Y EL PUEBLO ESPAÑOL RATIFICADO LA SIGUIENTE CONSTITUCIÓN». Quienes no tenían edad de votar entonces, y todos los nacidos después, nunca la votaron. Y no hay forma de retirar ese consentimiento salvo la reforma, que, para la revisión total o la de sus partes esenciales, exige dos tercios de cada Cámara, disolverlas, que las nuevas lo ratifiquen por dos tercios y un referéndum</w:t>
      </w:r>
      <w:r>
        <w:t xml:space="preserve"> (Constitución, art. 168)</w:t>
      </w:r>
      <w:r>
        <w:t xml:space="preserve">. </w:t>
      </w:r>
      <w:r>
        <w:t>[00.2-4.3]</w:t>
      </w:r>
    </w:p>
    <w:p>
      <w:pPr>
        <w:pStyle w:val="ListBullet"/>
      </w:pPr>
      <w:r>
        <w:rPr>
          <w:b/>
        </w:rPr>
        <w:t>El contrato social.</w:t>
      </w:r>
      <w:r>
        <w:t xml:space="preserve"> Se presume que existe un pacto que todos aceptamos. Ya se vio: nadie lo firmó (</w:t>
      </w:r>
      <w:r>
        <w:t>5.1</w:t>
      </w:r>
      <w:r>
        <w:t xml:space="preserve">, n.º 13). </w:t>
      </w:r>
      <w:r>
        <w:t>[00.2-4.4]</w:t>
      </w:r>
    </w:p>
    <w:p>
      <w:pPr>
        <w:pStyle w:val="ListBullet"/>
      </w:pPr>
      <w:r>
        <w:rPr>
          <w:b/>
        </w:rPr>
        <w:t>La representación.</w:t>
      </w:r>
      <w:r>
        <w:t xml:space="preserve"> Se presume que el representante obedece a quien le vota. Ya se vio: no está ligado por mandato imperativo, y se vota una lista cerrada (</w:t>
      </w:r>
      <w:r>
        <w:t>5.1</w:t>
      </w:r>
      <w:r>
        <w:t xml:space="preserve">, n.º 17 y 18). </w:t>
      </w:r>
      <w:r>
        <w:t>[00.2-4.5]</w:t>
      </w:r>
    </w:p>
    <w:p>
      <w:r>
        <w:rPr>
          <w:b/>
        </w:rPr>
        <w:t>Frente a ellas, la ley de Dios:</w:t>
      </w:r>
    </w:p>
    <w:p>
      <w:pPr>
        <w:pStyle w:val="ListBullet"/>
      </w:pPr>
      <w:r>
        <w:t>A la primera: antes de darle rey, Dios hizo advertir al pueblo lo que ese rey le tomaría: «El diezmará vuestras simientes y vuestras viñas, para dar á sus eunucos y á sus siervos […] Y clamaréis aquel día á causa de vuestro rey que os habréis elegido»</w:t>
      </w:r>
      <w:r>
        <w:t xml:space="preserve"> (1 Sam 8:15 y 18)</w:t>
      </w:r>
      <w:r>
        <w:br/>
      </w:r>
      <w:r>
        <w:rPr>
          <w:b/>
        </w:rPr>
        <w:t>leída en su fuente · 1 Sam 8:15 y 18</w:t>
      </w:r>
      <w:r>
        <w:br/>
      </w:r>
      <w:r>
        <w:rPr>
          <w:b/>
        </w:rPr>
        <w:t>Archivo leído:</w:t>
      </w:r>
      <w:r>
        <w:t xml:space="preserve"> 1s_8_15-18_rva.html; 1s_8_15-18_rvr1960.html (c9h\1s_8_15-18_rva.html) · contraste del archivo de pasajes: ✔</w:t>
      </w:r>
      <w:r>
        <w:br/>
      </w:r>
      <w:r>
        <w:rPr>
          <w:b/>
        </w:rPr>
        <w:t>Lugar:</w:t>
      </w:r>
      <w:r>
        <w:t xml:space="preserve"> RVA, v. 15</w:t>
      </w:r>
      <w:r>
        <w:br/>
      </w:r>
      <w:r>
        <w:rPr>
          <w:b/>
        </w:rPr>
        <w:t>Dirección:</w:t>
      </w:r>
      <w:r>
        <w:t xml:space="preserve"> </w:t>
      </w:r>
      <w:r>
        <w:t>https://www.biblegateway.com/passage/?search=1+Samuel+8%3A15-18&amp;version=RVA</w:t>
      </w:r>
      <w:r>
        <w:t xml:space="preserve"> ; </w:t>
      </w:r>
      <w:r>
        <w:t>…&amp;version=RVR1960</w:t>
      </w:r>
      <w:r>
        <w:br/>
      </w:r>
      <w:r>
        <w:rPr>
          <w:b/>
        </w:rPr>
        <w:t>Tal como está en la fuente:</w:t>
      </w:r>
      <w:r>
        <w:t xml:space="preserve"> El diezmará vuestras simientes y vuestras viñas, para dar á sus eunucos y á sus siervos.</w:t>
      </w:r>
      <w:r>
        <w:t>. Y Mencio: el pueblo es lo más valioso; el gobernante, lo de menos (</w:t>
      </w:r>
      <w:r>
        <w:t>3.2</w:t>
      </w:r>
      <w:r>
        <w:t>, P1).</w:t>
      </w:r>
    </w:p>
    <w:p>
      <w:pPr>
        <w:pStyle w:val="ListBullet"/>
      </w:pPr>
      <w:r>
        <w:t>A la segunda: «Mas sea vuestro hablar: Sí, sí; No, no; porque lo que es más de esto, de mal procede»</w:t>
      </w:r>
      <w:r>
        <w:t xml:space="preserve"> (Mt 5:37)</w:t>
      </w:r>
      <w:r>
        <w:br/>
      </w:r>
      <w:r>
        <w:rPr>
          <w:b/>
        </w:rPr>
        <w:t>leída en su fuente · Mt 5:37</w:t>
      </w:r>
      <w:r>
        <w:br/>
      </w:r>
      <w:r>
        <w:rPr>
          <w:b/>
        </w:rPr>
        <w:t>Archivo leído:</w:t>
      </w:r>
      <w:r>
        <w:t xml:space="preserve"> mt_5_37_rva.html; rvr1960_mt_5_37.html (c9g\mt_5_37_rva.html) · contraste del archivo de pasajes: ✔</w:t>
      </w:r>
      <w:r>
        <w:br/>
      </w:r>
      <w:r>
        <w:rPr>
          <w:b/>
        </w:rPr>
        <w:t>Lugar:</w:t>
      </w:r>
      <w:r>
        <w:t xml:space="preserve"> RVA</w:t>
      </w:r>
      <w:r>
        <w:br/>
      </w:r>
      <w:r>
        <w:rPr>
          <w:b/>
        </w:rPr>
        <w:t>Dirección:</w:t>
      </w:r>
      <w:r>
        <w:t xml:space="preserve"> </w:t>
      </w:r>
      <w:r>
        <w:t>https://www.biblegateway.com/passage/?search=Matthew+5%3A37&amp;version=RVA</w:t>
      </w:r>
      <w:r>
        <w:br/>
      </w:r>
      <w:r>
        <w:rPr>
          <w:b/>
        </w:rPr>
        <w:t>Tal como está en la fuente:</w:t>
      </w:r>
      <w:r>
        <w:t xml:space="preserve"> Mas sea vuestro hablar: Sí, sí; No, no; porque lo que es más de esto, de mal procede.</w:t>
      </w:r>
      <w:r>
        <w:t>. La presunción da por dado un sí que nadie pronunció; la ley de Dios exige que el sí se diga.</w:t>
      </w:r>
    </w:p>
    <w:p>
      <w:pPr>
        <w:pStyle w:val="ListBullet"/>
      </w:pPr>
      <w:r>
        <w:t xml:space="preserve">A la tercera: el que quiera hacerse grande «será vuestro servidor» (Mt 20:26; </w:t>
      </w:r>
      <w:r>
        <w:t>3.2</w:t>
      </w:r>
      <w:r>
        <w:t xml:space="preserve"> y </w:t>
      </w:r>
      <w:r>
        <w:t>3.6</w:t>
      </w:r>
      <w:r>
        <w:t>). La presunción deja al representante libre de quien le vota; la ley de Dios hace del que manda un servidor.</w:t>
      </w:r>
    </w:p>
    <w:p>
      <w:r>
        <w:t>[00.2-5.1 a 5.5; Constitución leída en el BOE; Reina-Valera Antigua]</w:t>
      </w:r>
    </w:p>
    <w:p>
      <w:pPr>
        <w:pStyle w:val="Heading3"/>
      </w:pPr>
      <w:r>
        <w:t>Planta 3. La persona</w:t>
      </w:r>
    </w:p>
    <w:p>
      <w:r>
        <w:t>Lo que se presume de cada ser humano desde que nace.</w:t>
      </w:r>
    </w:p>
    <w:p>
      <w:pPr>
        <w:pStyle w:val="ListBullet"/>
      </w:pPr>
      <w:r>
        <w:rPr>
          <w:b/>
        </w:rPr>
        <w:t>La obligación heredada.</w:t>
      </w:r>
      <w:r>
        <w:t xml:space="preserve"> Se presume que la persona acepta sus obligaciones con el Estado al nacer. Es la raíz de todo el edificio, y tiene su apartado: 5.4. </w:t>
      </w:r>
      <w:r>
        <w:t>[00.2-7.3]</w:t>
      </w:r>
    </w:p>
    <w:p>
      <w:pPr>
        <w:pStyle w:val="ListBullet"/>
      </w:pPr>
      <w:r>
        <w:rPr>
          <w:b/>
        </w:rPr>
        <w:t>Todos conocen todas las leyes.</w:t>
      </w:r>
      <w:r>
        <w:t xml:space="preserve"> Se presume que cada persona conoce el ordenamiento entero. «La ignorancia de las leyes no excusa de su cumplimiento»</w:t>
      </w:r>
      <w:r>
        <w:t xml:space="preserve"> (Código Civil, art. 6.1)</w:t>
      </w:r>
      <w:r>
        <w:br/>
      </w:r>
      <w:r>
        <w:rPr>
          <w:b/>
        </w:rPr>
        <w:t>leída en su fuente · Código Civil, art. 6.1</w:t>
      </w:r>
      <w:r>
        <w:br/>
      </w:r>
      <w:r>
        <w:rPr>
          <w:b/>
        </w:rPr>
        <w:t>Archivo leído:</w:t>
      </w:r>
      <w:r>
        <w:t xml:space="preserve"> codigo_civil_1889.html (c5\codigo_civil_1889.html) · contraste del archivo de pasajes: ✔</w:t>
      </w:r>
      <w:r>
        <w:br/>
      </w:r>
      <w:r>
        <w:rPr>
          <w:b/>
        </w:rPr>
        <w:t>Lugar:</w:t>
      </w:r>
      <w:r>
        <w:t xml:space="preserve"> Art. 6.1 (#art6)</w:t>
      </w:r>
      <w:r>
        <w:br/>
      </w:r>
      <w:r>
        <w:rPr>
          <w:b/>
        </w:rPr>
        <w:t>Dirección:</w:t>
      </w:r>
      <w:r>
        <w:t xml:space="preserve"> </w:t>
      </w:r>
      <w:r>
        <w:t>https://www.boe.es/buscar/act.php?id=BOE-A-1889-4763</w:t>
      </w:r>
      <w:r>
        <w:br/>
      </w:r>
      <w:r>
        <w:rPr>
          <w:b/>
        </w:rPr>
        <w:t>Tal como está en la fuente:</w:t>
      </w:r>
      <w:r>
        <w:t xml:space="preserve"> 1. La ignorancia de las leyes no excusa de su cumplimiento. El error de derecho producirá únicamente</w:t>
      </w:r>
      <w:r>
        <w:t xml:space="preserve">. Solo en 2024 se publicaron 1.298.086 páginas entre el BOE y los boletines de las comunidades autónomas, unas 3.547 cada día. Cuántas normas se dictan, y cuánto ocupa lo vigente, se ve en el </w:t>
      </w:r>
      <w:r>
        <w:t>cargo 8</w:t>
      </w:r>
      <w:r>
        <w:t xml:space="preserve"> (</w:t>
      </w:r>
      <w:r>
        <w:t>11.3</w:t>
      </w:r>
      <w:r>
        <w:t xml:space="preserve">). </w:t>
      </w:r>
      <w:r>
        <w:t>[00.2-7.4]</w:t>
      </w:r>
    </w:p>
    <w:p>
      <w:r>
        <w:rPr>
          <w:b/>
        </w:rPr>
        <w:t>Frente a ellas, la ley de Dios:</w:t>
      </w:r>
    </w:p>
    <w:p>
      <w:pPr>
        <w:pStyle w:val="ListBullet"/>
      </w:pPr>
      <w:r>
        <w:t xml:space="preserve">A la primera: «el hijo no llevará por el pecado del padre, ni el padre llevará por el pecado del hijo» (Ez 18:20; </w:t>
      </w:r>
      <w:r>
        <w:t>2.3</w:t>
      </w:r>
      <w:r>
        <w:t>). Cada uno responde de lo suyo (</w:t>
      </w:r>
      <w:r>
        <w:t>3.2</w:t>
      </w:r>
      <w:r>
        <w:t>, P7).</w:t>
      </w:r>
    </w:p>
    <w:p>
      <w:pPr>
        <w:pStyle w:val="ListBullet"/>
      </w:pPr>
      <w:r>
        <w:t>A la segunda: «¡Ay de vosotros también, doctores de la ley! que cargáis á los hombres con cargas que no pueden llevar; mas vosotros ni aun con un dedo tocáis las cargas»</w:t>
      </w:r>
      <w:r>
        <w:t xml:space="preserve"> (Lc 11:46)</w:t>
      </w:r>
      <w:r>
        <w:br/>
      </w:r>
      <w:r>
        <w:rPr>
          <w:b/>
        </w:rPr>
        <w:t>leída en su fuente · Lc 11:46</w:t>
      </w:r>
      <w:r>
        <w:br/>
      </w:r>
      <w:r>
        <w:rPr>
          <w:b/>
        </w:rPr>
        <w:t>Archivo leído:</w:t>
      </w:r>
      <w:r>
        <w:t xml:space="preserve"> lc_11_46_rva.html; rvr1960_lc_11_46.html (c9g\lc_11_46_rva.html) · contraste del archivo de pasajes: ✔</w:t>
      </w:r>
      <w:r>
        <w:br/>
      </w:r>
      <w:r>
        <w:rPr>
          <w:b/>
        </w:rPr>
        <w:t>Lugar:</w:t>
      </w:r>
      <w:r>
        <w:t xml:space="preserve"> RVA</w:t>
      </w:r>
      <w:r>
        <w:br/>
      </w:r>
      <w:r>
        <w:rPr>
          <w:b/>
        </w:rPr>
        <w:t>Dirección:</w:t>
      </w:r>
      <w:r>
        <w:t xml:space="preserve"> </w:t>
      </w:r>
      <w:r>
        <w:t>https://www.biblegateway.com/passage/?search=Luke+11%3A46&amp;version=RVA</w:t>
      </w:r>
      <w:r>
        <w:br/>
      </w:r>
      <w:r>
        <w:rPr>
          <w:b/>
        </w:rPr>
        <w:t>Tal como está en la fuente:</w:t>
      </w:r>
      <w:r>
        <w:t xml:space="preserve"> Y él dijo: ¡Ay de vosotros también, doctores de la ley! que cargáis á los hombres con cargas que no pueden llevar; mas vosotros ni aun con un dedo tocáis las cargas.</w:t>
      </w:r>
      <w:r>
        <w:br/>
      </w:r>
      <w:r>
        <w:rPr>
          <w:b/>
        </w:rPr>
        <w:t>Traducción guardada:</w:t>
      </w:r>
      <w:r>
        <w:t xml:space="preserve"> En el HTML, en lugar de «¡» hay un guion invisible, U+00AD.</w:t>
      </w:r>
      <w:r>
        <w:t>. Y en China y en Roma, más leyes, más pobreza y más corrupción (</w:t>
      </w:r>
      <w:r>
        <w:t>3.2</w:t>
      </w:r>
      <w:r>
        <w:t>, P9).</w:t>
      </w:r>
    </w:p>
    <w:p>
      <w:r>
        <w:t>[00.2-8.1 a 8.4; Reina-Valera Antigua]</w:t>
      </w:r>
    </w:p>
    <w:p>
      <w:pPr>
        <w:pStyle w:val="Heading3"/>
      </w:pPr>
      <w:r>
        <w:t>Planta 4. El poder sobre el ciudadano</w:t>
      </w:r>
    </w:p>
    <w:p>
      <w:r>
        <w:t>Cómo se reparte la carga de la prueba entre el Estado y la persona.</w:t>
      </w:r>
    </w:p>
    <w:p>
      <w:pPr>
        <w:pStyle w:val="ListBullet"/>
      </w:pPr>
      <w:r>
        <w:rPr>
          <w:b/>
        </w:rPr>
        <w:t>Los actos del Estado son válidos.</w:t>
      </w:r>
      <w:r>
        <w:t xml:space="preserve"> Se presume que todo lo que hace la Administración es válido mientras no se demuestre lo contrario. Sus actos «se presumirán válidos y producirán efectos desde la fecha en que se dicten»</w:t>
      </w:r>
      <w:r>
        <w:t xml:space="preserve"> (Ley 39/2015, art. 39.1)</w:t>
      </w:r>
      <w:r>
        <w:br/>
      </w:r>
      <w:r>
        <w:rPr>
          <w:b/>
        </w:rPr>
        <w:t>leída en su fuente · Ley 39/2015, art. 39.1</w:t>
      </w:r>
      <w:r>
        <w:br/>
      </w:r>
      <w:r>
        <w:rPr>
          <w:b/>
        </w:rPr>
        <w:t>Archivo leído:</w:t>
      </w:r>
      <w:r>
        <w:t xml:space="preserve"> c5 (ídem) (ant\c1\l39.html) · contraste del archivo de pasajes: ✔</w:t>
      </w:r>
      <w:r>
        <w:br/>
      </w:r>
      <w:r>
        <w:rPr>
          <w:b/>
        </w:rPr>
        <w:t>Lugar:</w:t>
      </w:r>
      <w:r>
        <w:t xml:space="preserve"> Art. 39.1</w:t>
      </w:r>
      <w:r>
        <w:br/>
      </w:r>
      <w:r>
        <w:rPr>
          <w:b/>
        </w:rPr>
        <w:t>Tal como está en la fuente:</w:t>
      </w:r>
      <w:r>
        <w:t xml:space="preserve"> se presumirán válidos y producirán efectos desde la fecha en que se dicten</w:t>
      </w:r>
      <w:r>
        <w:t xml:space="preserve">. </w:t>
      </w:r>
      <w:r>
        <w:t>[00.2-10.3]</w:t>
      </w:r>
    </w:p>
    <w:p>
      <w:pPr>
        <w:pStyle w:val="ListBullet"/>
      </w:pPr>
      <w:r>
        <w:rPr>
          <w:b/>
        </w:rPr>
        <w:t>La palabra de la autoridad hace prueba.</w:t>
      </w:r>
      <w:r>
        <w:t xml:space="preserve"> Se presume que lo que anota un agente con condición de autoridad es cierto. Sus documentos «harán prueba de éstos salvo que se acredite lo contrario»</w:t>
      </w:r>
      <w:r>
        <w:t xml:space="preserve"> (Ley 39/2015, art. 77.5)</w:t>
      </w:r>
      <w:r>
        <w:br/>
      </w:r>
      <w:r>
        <w:rPr>
          <w:b/>
        </w:rPr>
        <w:t>leída en su fuente · Ley 39/2015, art. 77.5</w:t>
      </w:r>
      <w:r>
        <w:br/>
      </w:r>
      <w:r>
        <w:rPr>
          <w:b/>
        </w:rPr>
        <w:t>Archivo leído:</w:t>
      </w:r>
      <w:r>
        <w:t xml:space="preserve"> l39.html (ant\c1\l39.html) · contraste del archivo de pasajes: ✔</w:t>
      </w:r>
      <w:r>
        <w:br/>
      </w:r>
      <w:r>
        <w:rPr>
          <w:b/>
        </w:rPr>
        <w:t>Lugar:</w:t>
      </w:r>
      <w:r>
        <w:t xml:space="preserve"> Ley 39/2015, art. 77.5</w:t>
      </w:r>
      <w:r>
        <w:br/>
      </w:r>
      <w:r>
        <w:rPr>
          <w:b/>
        </w:rPr>
        <w:t>Tal como está en la fuente:</w:t>
      </w:r>
      <w:r>
        <w:t xml:space="preserve"> harán prueba de éstos salvo que se acredite lo contrario</w:t>
      </w:r>
      <w:r>
        <w:t xml:space="preserve">: es el ciudadano quien tiene que demostrar que no es así. </w:t>
      </w:r>
      <w:r>
        <w:t>[00.2-10.4]</w:t>
      </w:r>
    </w:p>
    <w:p>
      <w:pPr>
        <w:pStyle w:val="ListBullet"/>
      </w:pPr>
      <w:r>
        <w:rPr>
          <w:b/>
        </w:rPr>
        <w:t>El cobro sin juez.</w:t>
      </w:r>
      <w:r>
        <w:t xml:space="preserve"> Se presume que el Estado puede ejecutar por sí mismo lo que reclama. Ya se vio (</w:t>
      </w:r>
      <w:r>
        <w:t>5.1</w:t>
      </w:r>
      <w:r>
        <w:t xml:space="preserve">, n.º 15). </w:t>
      </w:r>
      <w:r>
        <w:t>[00.2-10.5]</w:t>
      </w:r>
    </w:p>
    <w:p>
      <w:pPr>
        <w:pStyle w:val="ListBullet"/>
      </w:pPr>
      <w:r>
        <w:rPr>
          <w:b/>
        </w:rPr>
        <w:t>La urgencia.</w:t>
      </w:r>
      <w:r>
        <w:t xml:space="preserve"> Se presume que el Gobierno legisla por decreto solo cuando hay urgencia. Ya se vio (</w:t>
      </w:r>
      <w:r>
        <w:t>5.1</w:t>
      </w:r>
      <w:r>
        <w:t xml:space="preserve">, n.º 14). </w:t>
      </w:r>
      <w:r>
        <w:t>[00.2-10.6]</w:t>
      </w:r>
    </w:p>
    <w:p>
      <w:r>
        <w:rPr>
          <w:b/>
        </w:rPr>
        <w:t>Frente a ellas, la ley de Dios:</w:t>
      </w:r>
    </w:p>
    <w:p>
      <w:pPr>
        <w:pStyle w:val="ListBullet"/>
      </w:pPr>
      <w:r>
        <w:t xml:space="preserve">A la primera: «No juzguéis según lo que parece, mas juzgad justo juicio» (Jn 7:24; </w:t>
      </w:r>
      <w:r>
        <w:t>0.5</w:t>
      </w:r>
      <w:r>
        <w:t>). La presunción da por válido lo que hace el poder por venir de él.</w:t>
      </w:r>
    </w:p>
    <w:p>
      <w:pPr>
        <w:pStyle w:val="ListBullet"/>
      </w:pPr>
      <w:r>
        <w:t>A la segunda: «No valdrá un testigo contra ninguno en cualquier delito […] En el dicho de dos testigos, ó en el dicho de tres testigos consistirá el negocio»</w:t>
      </w:r>
      <w:r>
        <w:t xml:space="preserve"> (Dt 19:15)</w:t>
      </w:r>
      <w:r>
        <w:br/>
      </w:r>
      <w:r>
        <w:rPr>
          <w:b/>
        </w:rPr>
        <w:t>leída en su fuente · Dt 19:15</w:t>
      </w:r>
      <w:r>
        <w:br/>
      </w:r>
      <w:r>
        <w:rPr>
          <w:b/>
        </w:rPr>
        <w:t>Archivo leído:</w:t>
      </w:r>
      <w:r>
        <w:t xml:space="preserve"> dt_19_15_rva.html (c9g\dt_19_15_rva.html) · contraste del archivo de pasajes: ✔</w:t>
      </w:r>
      <w:r>
        <w:br/>
      </w:r>
      <w:r>
        <w:rPr>
          <w:b/>
        </w:rPr>
        <w:t>Lugar:</w:t>
      </w:r>
      <w:r>
        <w:t xml:space="preserve"> Decreto de Graciano, en Friedberg, t. 1 (l. 86894)</w:t>
      </w:r>
      <w:r>
        <w:br/>
      </w:r>
      <w:r>
        <w:rPr>
          <w:b/>
        </w:rPr>
        <w:t>Tal como está en la fuente:</w:t>
      </w:r>
      <w:r>
        <w:t xml:space="preserve"> un testigo contra ninguno en cualquier delito, ó en cualquier pecado, en cualquier pecado que se cometiere. En el dicho de dos testigos, ó en el dicho de tres testigos consistirá el negocio</w:t>
      </w:r>
      <w:r>
        <w:t>. Y Mencio: aunque todo el pueblo pida un castigo, primero hay que examinar (</w:t>
      </w:r>
      <w:r>
        <w:t>3.2</w:t>
      </w:r>
      <w:r>
        <w:t>, P7).</w:t>
      </w:r>
    </w:p>
    <w:p>
      <w:pPr>
        <w:pStyle w:val="ListBullet"/>
      </w:pPr>
      <w:r>
        <w:t>A la tercera: «Cuando dieres á tu prójimo alguna cosa emprestada, no entrarás en su casa para tomarle prenda: Fuera estarás»</w:t>
      </w:r>
      <w:r>
        <w:t xml:space="preserve"> (Dt 24:10-11)</w:t>
      </w:r>
      <w:r>
        <w:br/>
      </w:r>
      <w:r>
        <w:rPr>
          <w:b/>
        </w:rPr>
        <w:t>leída en su fuente · Dt 24:10-11</w:t>
      </w:r>
      <w:r>
        <w:br/>
      </w:r>
      <w:r>
        <w:rPr>
          <w:b/>
        </w:rPr>
        <w:t>Archivo leído:</w:t>
      </w:r>
      <w:r>
        <w:t xml:space="preserve"> dt_24_10-11_rva.html (c9g\dt_24_10-11_rva.html) · contraste del archivo de pasajes: ✔</w:t>
      </w:r>
      <w:r>
        <w:br/>
      </w:r>
      <w:r>
        <w:rPr>
          <w:b/>
        </w:rPr>
        <w:t>Lugar:</w:t>
      </w:r>
      <w:r>
        <w:t xml:space="preserve"> Dt 24:10-11 (RVA)</w:t>
      </w:r>
      <w:r>
        <w:br/>
      </w:r>
      <w:r>
        <w:rPr>
          <w:b/>
        </w:rPr>
        <w:t>Tal como está en la fuente:</w:t>
      </w:r>
      <w:r>
        <w:t xml:space="preserve"> Cuando dieres á tu prójimo alguna cosa emprestada, no entrarás en su casa para tomarle prenda: 11 Fuera estarás, y el hombre á quien prestaste, te sacará afuera la prenda</w:t>
      </w:r>
      <w:r>
        <w:t>. La ley de Dios no deja ni al acreedor entrar en casa del deudor a tomar la prenda.</w:t>
      </w:r>
    </w:p>
    <w:p>
      <w:pPr>
        <w:pStyle w:val="ListBullet"/>
      </w:pPr>
      <w:r>
        <w:t>A la cuarta: «todo presuroso, indefectiblemente á pobreza»</w:t>
      </w:r>
      <w:r>
        <w:t xml:space="preserve"> (Pr 21:5)</w:t>
      </w:r>
      <w:r>
        <w:br/>
      </w:r>
      <w:r>
        <w:rPr>
          <w:b/>
        </w:rPr>
        <w:t>leída en su fuente · Pr 21:5</w:t>
      </w:r>
      <w:r>
        <w:br/>
      </w:r>
      <w:r>
        <w:rPr>
          <w:b/>
        </w:rPr>
        <w:t>Archivo leído:</w:t>
      </w:r>
      <w:r>
        <w:t xml:space="preserve"> pr_21_5_rva.html; rvr1960_pr_21_5.html (c9g\pr_21_5_rva.html) · contraste del archivo de pasajes: ✔</w:t>
      </w:r>
      <w:r>
        <w:br/>
      </w:r>
      <w:r>
        <w:rPr>
          <w:b/>
        </w:rPr>
        <w:t>Lugar:</w:t>
      </w:r>
      <w:r>
        <w:t xml:space="preserve"> RVA</w:t>
      </w:r>
      <w:r>
        <w:br/>
      </w:r>
      <w:r>
        <w:rPr>
          <w:b/>
        </w:rPr>
        <w:t>Dirección:</w:t>
      </w:r>
      <w:r>
        <w:t xml:space="preserve"> </w:t>
      </w:r>
      <w:r>
        <w:t>https://www.biblegateway.com/passage/?search=Proverbs+21%3A5&amp;version=RVA</w:t>
      </w:r>
      <w:r>
        <w:br/>
      </w:r>
      <w:r>
        <w:rPr>
          <w:b/>
        </w:rPr>
        <w:t>Tal como está en la fuente:</w:t>
      </w:r>
      <w:r>
        <w:t xml:space="preserve"> Los pensamientos del solícito ciertamente van á abundancia; Mas todo presuroso, indefectiblemente á pobreza.</w:t>
      </w:r>
      <w:r>
        <w:t>.</w:t>
      </w:r>
    </w:p>
    <w:p>
      <w:r>
        <w:t>[00.2-11.1 a 11.6; leyes leídas en el BOE; Reina-Valera Antigua]</w:t>
      </w:r>
    </w:p>
    <w:p>
      <w:pPr>
        <w:pStyle w:val="Heading3"/>
      </w:pPr>
      <w:r>
        <w:t>Planta 5. El dinero</w:t>
      </w:r>
    </w:p>
    <w:p>
      <w:r>
        <w:t>La presunción que toca cada día el bolsillo de todos.</w:t>
      </w:r>
    </w:p>
    <w:p>
      <w:pPr>
        <w:pStyle w:val="ListBullet"/>
      </w:pPr>
      <w:r>
        <w:rPr>
          <w:b/>
        </w:rPr>
        <w:t>La moneda, la creación del dinero y la inflación.</w:t>
      </w:r>
      <w:r>
        <w:t xml:space="preserve"> Se presume que el dinero vale porque está respaldado, que el banco presta los ahorros de otros y que la inflación es una subida de precios de la que tiene la culpa el mercado. Ya se vio (</w:t>
      </w:r>
      <w:r>
        <w:t>5.1</w:t>
      </w:r>
      <w:r>
        <w:t xml:space="preserve">, n.º 10, 11 y 22). </w:t>
      </w:r>
      <w:r>
        <w:t>[00.2-13.3 a 13.5]</w:t>
      </w:r>
    </w:p>
    <w:p>
      <w:pPr>
        <w:pStyle w:val="ListBullet"/>
      </w:pPr>
      <w:r>
        <w:rPr>
          <w:b/>
        </w:rPr>
        <w:t>El ahorro.</w:t>
      </w:r>
      <w:r>
        <w:t xml:space="preserve"> Se presume que lo guardado se conserva. Pierde valor sin que nadie lo vote (</w:t>
      </w:r>
      <w:r>
        <w:t>5.1</w:t>
      </w:r>
      <w:r>
        <w:t>, n.º 11). Y la palabra «ahorro» no aparece en la Constitución, que sí obliga a que las pensiones sean «adecuadas y periódicamente actualizadas»</w:t>
      </w:r>
      <w:r>
        <w:t xml:space="preserve"> (Constitución, art. 50)</w:t>
      </w:r>
      <w:r>
        <w:br/>
      </w:r>
      <w:r>
        <w:rPr>
          <w:b/>
        </w:rPr>
        <w:t>leída en su fuente · Constitución, art. 50</w:t>
      </w:r>
      <w:r>
        <w:br/>
      </w:r>
      <w:r>
        <w:rPr>
          <w:b/>
        </w:rPr>
        <w:t>Archivo leído:</w:t>
      </w:r>
      <w:r>
        <w:t xml:space="preserve"> constitucion_1978.html (c5\constitucion_1978.html) · contraste del archivo de pasajes: ✔</w:t>
      </w:r>
      <w:r>
        <w:br/>
      </w:r>
      <w:r>
        <w:rPr>
          <w:b/>
        </w:rPr>
        <w:t>Lugar:</w:t>
      </w:r>
      <w:r>
        <w:t xml:space="preserve"> Art. 50 (#a50)</w:t>
      </w:r>
      <w:r>
        <w:br/>
      </w:r>
      <w:r>
        <w:rPr>
          <w:b/>
        </w:rPr>
        <w:t>Dirección:</w:t>
      </w:r>
      <w:r>
        <w:t xml:space="preserve"> </w:t>
      </w:r>
      <w:r>
        <w:t>https://www.boe.es/buscar/act.php?id=BOE-A-1978-31229</w:t>
      </w:r>
      <w:r>
        <w:br/>
      </w:r>
      <w:r>
        <w:rPr>
          <w:b/>
        </w:rPr>
        <w:t>Tal como está en la fuente:</w:t>
      </w:r>
      <w:r>
        <w:t xml:space="preserve"> Los poderes públicos garantizarán, mediante pensiones adecuadas y periódicamente actualizadas, la suficiencia</w:t>
      </w:r>
      <w:r>
        <w:t xml:space="preserve">. </w:t>
      </w:r>
      <w:r>
        <w:t>[00.2-13.6]</w:t>
      </w:r>
    </w:p>
    <w:p>
      <w:pPr>
        <w:pStyle w:val="ListBullet"/>
      </w:pPr>
      <w:r>
        <w:rPr>
          <w:b/>
        </w:rPr>
        <w:t>La hucha y la deuda.</w:t>
      </w:r>
      <w:r>
        <w:t xml:space="preserve"> Se presume que se cotiza para la propia jubilación, que la hucha la guarda y que la deuda del Estado es un gasto más. Ya se vio (</w:t>
      </w:r>
      <w:r>
        <w:t>5.1</w:t>
      </w:r>
      <w:r>
        <w:t xml:space="preserve">, n.º 1, 2, 6 y 8). </w:t>
      </w:r>
      <w:r>
        <w:t>[00.2-13.7 y 13.8]</w:t>
      </w:r>
    </w:p>
    <w:p>
      <w:r>
        <w:rPr>
          <w:b/>
        </w:rPr>
        <w:t>Frente a ellas, la ley de Dios:</w:t>
      </w:r>
    </w:p>
    <w:p>
      <w:pPr>
        <w:pStyle w:val="ListBullet"/>
      </w:pPr>
      <w:r>
        <w:t>A la moneda: «El peso falso abominación es á Jehová: Mas la pesa cabal le agrada» (Pr 11:1); y ante Maat se juraba no haber falseado la balanza (</w:t>
      </w:r>
      <w:r>
        <w:t>3.2</w:t>
      </w:r>
      <w:r>
        <w:t>, P4). La presunción deja que la medida del valor cambie sin que nadie lo consienta.</w:t>
      </w:r>
    </w:p>
    <w:p>
      <w:pPr>
        <w:pStyle w:val="ListBullet"/>
      </w:pPr>
      <w:r>
        <w:t>A la creación del dinero: «Doble pesa y doble medida, Abominación son á Jehová ambas cosas»</w:t>
      </w:r>
      <w:r>
        <w:t xml:space="preserve"> (Pr 20:10)</w:t>
      </w:r>
      <w:r>
        <w:br/>
      </w:r>
      <w:r>
        <w:rPr>
          <w:b/>
        </w:rPr>
        <w:t>leída en su fuente · Pr 20:10</w:t>
      </w:r>
      <w:r>
        <w:br/>
      </w:r>
      <w:r>
        <w:rPr>
          <w:b/>
        </w:rPr>
        <w:t>Archivo leído:</w:t>
      </w:r>
      <w:r>
        <w:t xml:space="preserve"> pr_20_10_rva.html; rvr1960_pr_20_10.html (c9g\pr_20_10_rva.html) · contraste del archivo de pasajes: ✔</w:t>
      </w:r>
      <w:r>
        <w:br/>
      </w:r>
      <w:r>
        <w:rPr>
          <w:b/>
        </w:rPr>
        <w:t>Lugar:</w:t>
      </w:r>
      <w:r>
        <w:t xml:space="preserve"> RVA</w:t>
      </w:r>
      <w:r>
        <w:br/>
      </w:r>
      <w:r>
        <w:rPr>
          <w:b/>
        </w:rPr>
        <w:t>Dirección:</w:t>
      </w:r>
      <w:r>
        <w:t xml:space="preserve"> </w:t>
      </w:r>
      <w:r>
        <w:t>https://www.biblegateway.com/passage/?search=Proverbs+20%3A10&amp;version=RVA</w:t>
      </w:r>
      <w:r>
        <w:br/>
      </w:r>
      <w:r>
        <w:rPr>
          <w:b/>
        </w:rPr>
        <w:t>Tal como está en la fuente:</w:t>
      </w:r>
      <w:r>
        <w:t xml:space="preserve"> Doble pesa y doble medida, Abominación son á Jehová ambas cosas.</w:t>
      </w:r>
      <w:r>
        <w:t>. Y Confucio pone el cuidado de las pesas y medidas como primera tarea del buen gobierno (</w:t>
      </w:r>
      <w:r>
        <w:t>3.2</w:t>
      </w:r>
      <w:r>
        <w:t>, P4).</w:t>
      </w:r>
    </w:p>
    <w:p>
      <w:pPr>
        <w:pStyle w:val="ListBullet"/>
      </w:pPr>
      <w:r>
        <w:t>A la inflación: «Tu plata se ha tornado escorias, tu vino mezclado está con agua»</w:t>
      </w:r>
      <w:r>
        <w:t xml:space="preserve"> (Is 1:22)</w:t>
      </w:r>
      <w:r>
        <w:br/>
      </w:r>
      <w:r>
        <w:rPr>
          <w:b/>
        </w:rPr>
        <w:t>leída en su fuente · Is 1:22</w:t>
      </w:r>
      <w:r>
        <w:br/>
      </w:r>
      <w:r>
        <w:rPr>
          <w:b/>
        </w:rPr>
        <w:t>Archivo leído:</w:t>
      </w:r>
      <w:r>
        <w:t xml:space="preserve"> is_1_22_rva.html; rvr1960_is_1_22.html (c9g\is_1_22_rva.html) · contraste del archivo de pasajes: ✔</w:t>
      </w:r>
      <w:r>
        <w:br/>
      </w:r>
      <w:r>
        <w:rPr>
          <w:b/>
        </w:rPr>
        <w:t>Lugar:</w:t>
      </w:r>
      <w:r>
        <w:t xml:space="preserve"> RVA</w:t>
      </w:r>
      <w:r>
        <w:br/>
      </w:r>
      <w:r>
        <w:rPr>
          <w:b/>
        </w:rPr>
        <w:t>Dirección:</w:t>
      </w:r>
      <w:r>
        <w:t xml:space="preserve"> </w:t>
      </w:r>
      <w:r>
        <w:t>https://www.biblegateway.com/passage/?search=Isaiah+1%3A22&amp;version=RVA</w:t>
      </w:r>
      <w:r>
        <w:br/>
      </w:r>
      <w:r>
        <w:rPr>
          <w:b/>
        </w:rPr>
        <w:t>Tal como está en la fuente:</w:t>
      </w:r>
      <w:r>
        <w:t xml:space="preserve"> Tu plata se ha tornado escorias, tu vino mezclado está con agua.</w:t>
      </w:r>
      <w:r>
        <w:t>; y los que dicen: «achicaremos la medida, y engrandeceremos el precio, y falsearemos el peso engañoso; Para comprar los pobres por dinero»</w:t>
      </w:r>
      <w:r>
        <w:t xml:space="preserve"> (Am 8:5-6)</w:t>
      </w:r>
      <w:r>
        <w:br/>
      </w:r>
      <w:r>
        <w:rPr>
          <w:b/>
        </w:rPr>
        <w:t>leída en su fuente · Am 8:5-6</w:t>
      </w:r>
      <w:r>
        <w:br/>
      </w:r>
      <w:r>
        <w:rPr>
          <w:b/>
        </w:rPr>
        <w:t>Archivo leído:</w:t>
      </w:r>
      <w:r>
        <w:t xml:space="preserve"> am_8_5-6_rva.html; rvr1960_am_8_5-6.html (biblia_rv1909\spaRV1909_texto_corrido.txt; c9g\am_8_5-6_rva.html) · contraste del archivo de pasajes: ✔</w:t>
      </w:r>
      <w:r>
        <w:br/>
      </w:r>
      <w:r>
        <w:rPr>
          <w:b/>
        </w:rPr>
        <w:t>Lugar:</w:t>
      </w:r>
      <w:r>
        <w:t xml:space="preserve"> RVA</w:t>
      </w:r>
      <w:r>
        <w:br/>
      </w:r>
      <w:r>
        <w:rPr>
          <w:b/>
        </w:rPr>
        <w:t>Dirección:</w:t>
      </w:r>
      <w:r>
        <w:t xml:space="preserve"> </w:t>
      </w:r>
      <w:r>
        <w:t>https://www.biblegateway.com/passage/?search=Amos+8%3A5-6&amp;version=RVA</w:t>
      </w:r>
      <w:r>
        <w:br/>
      </w:r>
      <w:r>
        <w:rPr>
          <w:b/>
        </w:rPr>
        <w:t>Tal como está en la fuente:</w:t>
      </w:r>
      <w:r>
        <w:t xml:space="preserve"> …y achicaremos la medida, y engrandeceremos el precio, y falsearemos el peso engañoso; Para comprar los pobres por dinero, y los necesitados por un par de zapatos…</w:t>
      </w:r>
      <w:r>
        <w:t>. El Corán maldice a los defraudadores de la medida (</w:t>
      </w:r>
      <w:r>
        <w:t>3.2</w:t>
      </w:r>
      <w:r>
        <w:t>, P4). La presunción llama inflación a la subida de los precios; la ley de Dios denuncia la causa: la plata degradada y la medida achicada.</w:t>
      </w:r>
    </w:p>
    <w:p>
      <w:pPr>
        <w:pStyle w:val="ListBullet"/>
      </w:pPr>
      <w:r>
        <w:t>Al ahorro: «No os hagáis tesoros en la tierra, donde la polilla y el orín corrompe»</w:t>
      </w:r>
      <w:r>
        <w:t xml:space="preserve"> (Mt 6:19)</w:t>
      </w:r>
      <w:r>
        <w:br/>
      </w:r>
      <w:r>
        <w:rPr>
          <w:b/>
        </w:rPr>
        <w:t>leída en su fuente · Mt 6:19</w:t>
      </w:r>
      <w:r>
        <w:br/>
      </w:r>
      <w:r>
        <w:rPr>
          <w:b/>
        </w:rPr>
        <w:t>Archivo leído:</w:t>
      </w:r>
      <w:r>
        <w:t xml:space="preserve"> spaRV1909_texto_corrido.txt (biblia_rv1909\spaRV1909_texto_corrido.txt) · contraste del archivo de pasajes: ✔</w:t>
      </w:r>
      <w:r>
        <w:br/>
      </w:r>
      <w:r>
        <w:rPr>
          <w:b/>
        </w:rPr>
        <w:t>Lugar:</w:t>
      </w:r>
      <w:r>
        <w:t xml:space="preserve"> Mt 6:19</w:t>
      </w:r>
      <w:r>
        <w:br/>
      </w:r>
      <w:r>
        <w:rPr>
          <w:b/>
        </w:rPr>
        <w:t>Tal como está en la fuente:</w:t>
      </w:r>
      <w:r>
        <w:t xml:space="preserve"> No os hagáis tesoros en la tierra, donde la polilla y el orín corrompe</w:t>
      </w:r>
      <w:r>
        <w:t>. La enseñanza es espiritual, pero describe el mecanismo: el tesoro de la tierra se corrompe. Y Mencio: quitar al pueblo su tiempo es dejarlo sin poder alimentar a sus padres (</w:t>
      </w:r>
      <w:r>
        <w:t>3.2</w:t>
      </w:r>
      <w:r>
        <w:t>, P3).</w:t>
      </w:r>
    </w:p>
    <w:p>
      <w:pPr>
        <w:pStyle w:val="ListBullet"/>
      </w:pPr>
      <w:r>
        <w:t>A la hucha: quien retuvo «el depósito que se le encomendó […] lo restituirá, pues, por entero, y añadirá á ello la quinta parte»</w:t>
      </w:r>
      <w:r>
        <w:t xml:space="preserve"> (Lv 6:4-5)</w:t>
      </w:r>
      <w:r>
        <w:br/>
      </w:r>
      <w:r>
        <w:rPr>
          <w:b/>
        </w:rPr>
        <w:t>leída en su fuente · Lv 6:4-5</w:t>
      </w:r>
      <w:r>
        <w:br/>
      </w:r>
      <w:r>
        <w:rPr>
          <w:b/>
        </w:rPr>
        <w:t>Archivo leído:</w:t>
      </w:r>
      <w:r>
        <w:t xml:space="preserve"> lv_6_4-5_rva.html; rvr1960_lv_6_4-5.html (c9g\lv_6_4-5_rva.html) · contraste del archivo de pasajes: ✔</w:t>
      </w:r>
      <w:r>
        <w:br/>
      </w:r>
      <w:r>
        <w:rPr>
          <w:b/>
        </w:rPr>
        <w:t>Lugar:</w:t>
      </w:r>
      <w:r>
        <w:t xml:space="preserve"> RVA v. 4-5</w:t>
      </w:r>
      <w:r>
        <w:br/>
      </w:r>
      <w:r>
        <w:rPr>
          <w:b/>
        </w:rPr>
        <w:t>Dirección:</w:t>
      </w:r>
      <w:r>
        <w:t xml:space="preserve"> </w:t>
      </w:r>
      <w:r>
        <w:t>https://www.biblegateway.com/passage/?search=Leviticus+6%3A4-5&amp;version=RVA</w:t>
      </w:r>
      <w:r>
        <w:br/>
      </w:r>
      <w:r>
        <w:rPr>
          <w:b/>
        </w:rPr>
        <w:t>Tal como está en la fuente:</w:t>
      </w:r>
      <w:r>
        <w:t xml:space="preserve"> …restituirá aquello que robó, ó por el daño de la calumnia, ó el depósito que se le encomendó, ó lo perdido que halló, O todo aquello sobre que hubiere jurado falsamente; lo restituirá, pues, por entero, y añadirá á ello la quinta parte, que ha de pagar á aquel á quien pertenece en el día de su expiación.</w:t>
      </w:r>
      <w:r>
        <w:t>; el Corán y las Leyes de Manu mandan lo mismo (</w:t>
      </w:r>
      <w:r>
        <w:t>3.2</w:t>
      </w:r>
      <w:r>
        <w:t>, P5).</w:t>
      </w:r>
    </w:p>
    <w:p>
      <w:pPr>
        <w:pStyle w:val="ListBullet"/>
      </w:pPr>
      <w:r>
        <w:t xml:space="preserve">A la deuda: la remisión cada siete años (Dt 15:1-2; </w:t>
      </w:r>
      <w:r>
        <w:t>3.3</w:t>
      </w:r>
      <w:r>
        <w:t>); y «el que toma prestado, siervo es del que empresta»</w:t>
      </w:r>
      <w:r>
        <w:t xml:space="preserve"> (Pr 22:7)</w:t>
      </w:r>
      <w:r>
        <w:br/>
      </w:r>
      <w:r>
        <w:rPr>
          <w:b/>
        </w:rPr>
        <w:t>leída en su fuente · Pr 22:7</w:t>
      </w:r>
      <w:r>
        <w:br/>
      </w:r>
      <w:r>
        <w:rPr>
          <w:b/>
        </w:rPr>
        <w:t>Archivo leído:</w:t>
      </w:r>
      <w:r>
        <w:t xml:space="preserve"> pr_22_7_rva.html (c9a\pr_22_7_rva.html) · contraste del archivo de pasajes: ✔</w:t>
      </w:r>
      <w:r>
        <w:br/>
      </w:r>
      <w:r>
        <w:rPr>
          <w:b/>
        </w:rPr>
        <w:t>Lugar:</w:t>
      </w:r>
      <w:r>
        <w:t xml:space="preserve"> passage-text, v. 7</w:t>
      </w:r>
      <w:r>
        <w:br/>
      </w:r>
      <w:r>
        <w:rPr>
          <w:b/>
        </w:rPr>
        <w:t>Dirección:</w:t>
      </w:r>
      <w:r>
        <w:t xml:space="preserve"> </w:t>
      </w:r>
      <w:r>
        <w:t>https://www.biblegateway.com/passage/?search=Proverbs+22%3A7&amp;version=RVA</w:t>
      </w:r>
      <w:r>
        <w:br/>
      </w:r>
      <w:r>
        <w:rPr>
          <w:b/>
        </w:rPr>
        <w:t>Tal como está en la fuente:</w:t>
      </w:r>
      <w:r>
        <w:t xml:space="preserve"> El rico se enseñoreará de los pobres; Y el que toma prestado, siervo es del que empresta.</w:t>
      </w:r>
      <w:r>
        <w:t>. La presunción da a la deuda prioridad absoluta y sin final; la ley de Dios le pone un límite.</w:t>
      </w:r>
    </w:p>
    <w:p>
      <w:r>
        <w:t>[00.2-14.1 a 14.8; Constitución leída en el BOE; Reina-Valera Antigua]</w:t>
      </w:r>
    </w:p>
    <w:p>
      <w:pPr>
        <w:pStyle w:val="Heading3"/>
      </w:pPr>
      <w:r>
        <w:t>Planta 6. El tiempo y las generaciones</w:t>
      </w:r>
    </w:p>
    <w:p>
      <w:r>
        <w:t>Lo que se presume de quienes todavía no han nacido.</w:t>
      </w:r>
    </w:p>
    <w:p>
      <w:pPr>
        <w:pStyle w:val="ListBullet"/>
      </w:pPr>
      <w:r>
        <w:rPr>
          <w:b/>
        </w:rPr>
        <w:t>El consentimiento de los que vienen.</w:t>
      </w:r>
      <w:r>
        <w:t xml:space="preserve"> Se presume que las generaciones futuras aceptan pagar lo que hoy se debe. La deuda pública llega a 1,7 billones, y las pensiones ya prometidas suman 6,13 billones más, que no figuran en ella (</w:t>
      </w:r>
      <w:r>
        <w:t>5.1</w:t>
      </w:r>
      <w:r>
        <w:t xml:space="preserve">, n.º 24). Quienes las pagarán no han votado nada. </w:t>
      </w:r>
      <w:r>
        <w:t>[00.2-16.3]</w:t>
      </w:r>
    </w:p>
    <w:p>
      <w:pPr>
        <w:pStyle w:val="ListBullet"/>
      </w:pPr>
      <w:r>
        <w:rPr>
          <w:b/>
        </w:rPr>
        <w:t>El Estado no quiebra.</w:t>
      </w:r>
      <w:r>
        <w:t xml:space="preserve"> Se presume que el Estado siempre podrá pagar. La ley que el propio Estado escribe lo excluye del concurso que aplica a todos los demás (</w:t>
      </w:r>
      <w:r>
        <w:t>5.1</w:t>
      </w:r>
      <w:r>
        <w:t xml:space="preserve">, n.º 7). </w:t>
      </w:r>
      <w:r>
        <w:t>[00.2-16.4]</w:t>
      </w:r>
    </w:p>
    <w:p>
      <w:r>
        <w:rPr>
          <w:b/>
        </w:rPr>
        <w:t>Frente a ellas, la ley de Dios:</w:t>
      </w:r>
    </w:p>
    <w:p>
      <w:pPr>
        <w:pStyle w:val="ListBullet"/>
      </w:pPr>
      <w:r>
        <w:t>A la primera: «En aquellos días no dirán más: Los padres comieron las uvas agraces, y los dientes de los hijos tienen la dentera. Sino que cada cual morirá por su maldad»</w:t>
      </w:r>
      <w:r>
        <w:t xml:space="preserve"> (Jer 31:29-30)</w:t>
      </w:r>
      <w:r>
        <w:br/>
      </w:r>
      <w:r>
        <w:rPr>
          <w:b/>
        </w:rPr>
        <w:t>leída en su fuente · Jer 31:29-30</w:t>
      </w:r>
      <w:r>
        <w:br/>
      </w:r>
      <w:r>
        <w:rPr>
          <w:b/>
        </w:rPr>
        <w:t>Archivo leído:</w:t>
      </w:r>
      <w:r>
        <w:t xml:space="preserve"> jer_31_29-30_rva.html; jer_31_29-30_rvr1960.html (c9h\jer_31_29-30_rva.html; c9h\jer_31_29-30_rvr1960.html) · contraste del archivo de pasajes: ✔</w:t>
      </w:r>
      <w:r>
        <w:br/>
      </w:r>
      <w:r>
        <w:rPr>
          <w:b/>
        </w:rPr>
        <w:t>Lugar:</w:t>
      </w:r>
      <w:r>
        <w:t xml:space="preserve"> RVA, v. 29</w:t>
      </w:r>
      <w:r>
        <w:br/>
      </w:r>
      <w:r>
        <w:rPr>
          <w:b/>
        </w:rPr>
        <w:t>Dirección:</w:t>
      </w:r>
      <w:r>
        <w:t xml:space="preserve"> </w:t>
      </w:r>
      <w:r>
        <w:t>https://www.biblegateway.com/passage/?search=Jeremiah+31%3A29-30&amp;version=RVA</w:t>
      </w:r>
      <w:r>
        <w:t xml:space="preserve"> ; </w:t>
      </w:r>
      <w:r>
        <w:t>…&amp;version=RVR1960</w:t>
      </w:r>
      <w:r>
        <w:br/>
      </w:r>
      <w:r>
        <w:rPr>
          <w:b/>
        </w:rPr>
        <w:t>Tal como está en la fuente:</w:t>
      </w:r>
      <w:r>
        <w:t xml:space="preserve"> En aquellos días no dirán más: Los padres comieron las uvas agraces, y los dientes de los hijos tienen la dentera.</w:t>
      </w:r>
      <w:r>
        <w:t>. La ley de Dios no hace pagar a los hijos lo que comieron los padres.</w:t>
      </w:r>
    </w:p>
    <w:p>
      <w:pPr>
        <w:pStyle w:val="ListBullet"/>
      </w:pPr>
      <w:r>
        <w:t>A la segunda: «Da cuenta de tu mayordomía, porque ya no podrás más ser mayordomo»</w:t>
      </w:r>
      <w:r>
        <w:t xml:space="preserve"> (Lc 16:2)</w:t>
      </w:r>
      <w:r>
        <w:br/>
      </w:r>
      <w:r>
        <w:rPr>
          <w:b/>
        </w:rPr>
        <w:t>leída en su fuente · Lc 16:2</w:t>
      </w:r>
      <w:r>
        <w:br/>
      </w:r>
      <w:r>
        <w:rPr>
          <w:b/>
        </w:rPr>
        <w:t>Archivo leído:</w:t>
      </w:r>
      <w:r>
        <w:t xml:space="preserve"> spaRV1909_texto_corrido.txt (biblia_rv1909\spaRV1909_texto_corrido.txt) · contraste del archivo de pasajes: ✔</w:t>
      </w:r>
      <w:r>
        <w:br/>
      </w:r>
      <w:r>
        <w:rPr>
          <w:b/>
        </w:rPr>
        <w:t>Lugar:</w:t>
      </w:r>
      <w:r>
        <w:t xml:space="preserve"> Lc 16:2</w:t>
      </w:r>
      <w:r>
        <w:br/>
      </w:r>
      <w:r>
        <w:rPr>
          <w:b/>
        </w:rPr>
        <w:t>Tal como está en la fuente:</w:t>
      </w:r>
      <w:r>
        <w:t xml:space="preserve"> Da cuenta de tu mayordomía, porque ya no podrás más ser mayordomo</w:t>
      </w:r>
      <w:r>
        <w:t>. La ley de Dios pide cuentas al administrador, y lo aparta si no las da.</w:t>
      </w:r>
    </w:p>
    <w:p>
      <w:r>
        <w:t>[00.2-17.1 a 17.4; Reina-Valera Antigua]</w:t>
      </w:r>
    </w:p>
    <w:p>
      <w:pPr>
        <w:pStyle w:val="Heading3"/>
      </w:pPr>
      <w:r>
        <w:t>Planta 7. La información y la legitimidad</w:t>
      </w:r>
    </w:p>
    <w:p>
      <w:r>
        <w:t>Lo que se presume que se sabe, y lo que se presume que se cumple.</w:t>
      </w:r>
    </w:p>
    <w:p>
      <w:pPr>
        <w:pStyle w:val="ListBullet"/>
      </w:pPr>
      <w:r>
        <w:rPr>
          <w:b/>
        </w:rPr>
        <w:t>La transparencia, la «vejez» y el Estado social.</w:t>
      </w:r>
      <w:r>
        <w:t xml:space="preserve"> Se presume que todo se publica, que la partida de vejez son los jubilados que cotizaron y que el Estado cumple lo que la Constitución promete. Ya se vio (</w:t>
      </w:r>
      <w:r>
        <w:t>5.1</w:t>
      </w:r>
      <w:r>
        <w:t xml:space="preserve">, n.º 20, 21 y 23). </w:t>
      </w:r>
      <w:r>
        <w:t>[00.2-19.3 a 19.5]</w:t>
      </w:r>
    </w:p>
    <w:p>
      <w:r>
        <w:rPr>
          <w:b/>
        </w:rPr>
        <w:t>Frente a ellas, la ley de Dios:</w:t>
      </w:r>
    </w:p>
    <w:p>
      <w:pPr>
        <w:pStyle w:val="ListBullet"/>
      </w:pPr>
      <w:r>
        <w:t>A la primera: «Porque nada hay encubierto, que no haya de ser descubierto; ni oculto, que no haya de ser sabido»</w:t>
      </w:r>
      <w:r>
        <w:t xml:space="preserve"> (Lc 12:2)</w:t>
      </w:r>
      <w:r>
        <w:br/>
      </w:r>
      <w:r>
        <w:rPr>
          <w:b/>
        </w:rPr>
        <w:t>leída en su fuente · Lc 12:2</w:t>
      </w:r>
      <w:r>
        <w:br/>
      </w:r>
      <w:r>
        <w:rPr>
          <w:b/>
        </w:rPr>
        <w:t>Archivo leído:</w:t>
      </w:r>
      <w:r>
        <w:t xml:space="preserve"> lc_12_2_rva.html; rvr1960_lc_12_2.html (c9g\lc_12_2_rva.html; c9g\rvr1960_lc_12_2.html) · contraste del archivo de pasajes: ✔</w:t>
      </w:r>
      <w:r>
        <w:br/>
      </w:r>
      <w:r>
        <w:rPr>
          <w:b/>
        </w:rPr>
        <w:t>Lugar:</w:t>
      </w:r>
      <w:r>
        <w:t xml:space="preserve"> RVA</w:t>
      </w:r>
      <w:r>
        <w:br/>
      </w:r>
      <w:r>
        <w:rPr>
          <w:b/>
        </w:rPr>
        <w:t>Dirección:</w:t>
      </w:r>
      <w:r>
        <w:t xml:space="preserve"> </w:t>
      </w:r>
      <w:r>
        <w:t>https://www.biblegateway.com/passage/?search=Luke+12%3A2&amp;version=RVA</w:t>
      </w:r>
      <w:r>
        <w:br/>
      </w:r>
      <w:r>
        <w:rPr>
          <w:b/>
        </w:rPr>
        <w:t>Tal como está en la fuente:</w:t>
      </w:r>
      <w:r>
        <w:t xml:space="preserve"> Porque nada hay encubierto, que no haya de ser descubierto; ni oculto, que no haya de ser sabido.</w:t>
      </w:r>
      <w:r>
        <w:t>.</w:t>
      </w:r>
    </w:p>
    <w:p>
      <w:pPr>
        <w:pStyle w:val="ListBullet"/>
      </w:pPr>
      <w:r>
        <w:t>A la segunda: «Delante de las canas te levantarás, y honrarás el rostro del anciano»</w:t>
      </w:r>
      <w:r>
        <w:t xml:space="preserve"> (Lv 19:32)</w:t>
      </w:r>
      <w:r>
        <w:br/>
      </w:r>
      <w:r>
        <w:rPr>
          <w:b/>
        </w:rPr>
        <w:t>leída en su fuente · Lv 19:32</w:t>
      </w:r>
      <w:r>
        <w:br/>
      </w:r>
      <w:r>
        <w:rPr>
          <w:b/>
        </w:rPr>
        <w:t>Archivo leído:</w:t>
      </w:r>
      <w:r>
        <w:t xml:space="preserve"> spaRV1909_texto_corrido.txt (biblia_rv1909\spaRV1909_texto_corrido.txt) · contraste del archivo de pasajes: ✔</w:t>
      </w:r>
      <w:r>
        <w:br/>
      </w:r>
      <w:r>
        <w:rPr>
          <w:b/>
        </w:rPr>
        <w:t>Lugar:</w:t>
      </w:r>
      <w:r>
        <w:t xml:space="preserve"> Lv 19:32</w:t>
      </w:r>
      <w:r>
        <w:br/>
      </w:r>
      <w:r>
        <w:rPr>
          <w:b/>
        </w:rPr>
        <w:t>Tal como está en la fuente:</w:t>
      </w:r>
      <w:r>
        <w:t xml:space="preserve"> Delante de las canas te levantarás, y honrarás el rostro del anciano</w:t>
      </w:r>
      <w:r>
        <w:t>. La presunción mezcla en la «vejez» lo que pagaron unos y lo que pagan otros; la ley de Dios manda honrar al anciano.</w:t>
      </w:r>
    </w:p>
    <w:p>
      <w:pPr>
        <w:pStyle w:val="ListBullet"/>
      </w:pPr>
      <w:r>
        <w:t>A la tercera: «Así también la fe, si no tuviere obras, es muerta en sí misma»</w:t>
      </w:r>
      <w:r>
        <w:t xml:space="preserve"> (Stg 2:17)</w:t>
      </w:r>
      <w:r>
        <w:br/>
      </w:r>
      <w:r>
        <w:rPr>
          <w:b/>
        </w:rPr>
        <w:t>leída en su fuente · Stg 2:17</w:t>
      </w:r>
      <w:r>
        <w:br/>
      </w:r>
      <w:r>
        <w:rPr>
          <w:b/>
        </w:rPr>
        <w:t>Archivo leído:</w:t>
      </w:r>
      <w:r>
        <w:t xml:space="preserve"> stg_2_17_rva.html; rvr1960_stg_2_17.html (c9g\stg_2_17_rva.html) · contraste del archivo de pasajes: ✔</w:t>
      </w:r>
      <w:r>
        <w:br/>
      </w:r>
      <w:r>
        <w:rPr>
          <w:b/>
        </w:rPr>
        <w:t>Lugar:</w:t>
      </w:r>
      <w:r>
        <w:t xml:space="preserve"> RVA</w:t>
      </w:r>
      <w:r>
        <w:br/>
      </w:r>
      <w:r>
        <w:rPr>
          <w:b/>
        </w:rPr>
        <w:t>Dirección:</w:t>
      </w:r>
      <w:r>
        <w:t xml:space="preserve"> </w:t>
      </w:r>
      <w:r>
        <w:t>https://www.biblegateway.com/passage/?search=James+2%3A17&amp;version=RVA</w:t>
      </w:r>
      <w:r>
        <w:br/>
      </w:r>
      <w:r>
        <w:rPr>
          <w:b/>
        </w:rPr>
        <w:t>Tal como está en la fuente:</w:t>
      </w:r>
      <w:r>
        <w:t xml:space="preserve"> Así también la fe, si no tuviere obras, es muerta en sí misma.</w:t>
      </w:r>
      <w:r>
        <w:t xml:space="preserve">; y «Por sus frutos los conoceréis» (Mt 7:16; </w:t>
      </w:r>
      <w:r>
        <w:t>0.5</w:t>
      </w:r>
      <w:r>
        <w:t>). Y Laozi: el pueblo pasa hambre porque los de arriba se comen demasiados impuestos (</w:t>
      </w:r>
      <w:r>
        <w:t>3.2</w:t>
      </w:r>
      <w:r>
        <w:t>, P2). La presunción da por cumplido al Estado social porque se proclama; la ley de Dios juzga por las obras.</w:t>
      </w:r>
    </w:p>
    <w:p>
      <w:r>
        <w:t>[00.2-20.1 a 20.5; Reina-Valera Antigua]</w:t>
      </w:r>
    </w:p>
    <w:p>
      <w:r>
        <w:t xml:space="preserve">Las demás tradiciones que cita la Biblioteca en este edificio (Mencio, Confucio, Laozi, las Leyes de Manu, Maat, el Corán, la Gran Ley de la Paz iroquesa y Tácito) ya se leyeron en su original en el </w:t>
      </w:r>
      <w:r>
        <w:t>capítulo 3</w:t>
      </w:r>
      <w:r>
        <w:t xml:space="preserve">, y allí se remite. No es una religión frente al Estado: es la humanidad entera. </w:t>
      </w:r>
      <w:r>
        <w:t>[00.2-2.5, 5.5, 8.4, 11.6, 14.8, 17.4 y 20.5]</w:t>
      </w:r>
    </w:p>
    <w:p>
      <w:r>
        <w:rPr>
          <w:b/>
        </w:rPr>
        <w:t>Conclusión, lo que arrojan los datos:</w:t>
      </w:r>
      <w:r>
        <w:t xml:space="preserve"> cada presunción del edificio está escrita en una norma o medida en un dato, y todas reparten la carga de la prueba del mismo lado: el Estado se presume válido, cierto y solvente, y es el ciudadano quien tiene que probar lo contrario. Frente a cada una, los textos sagrados dicen otra cosa: el sí se dice, la medida es cabal, lo confiado se devuelve entero, nadie paga por lo que comieron sus padres y quien administra da cuenta.</w:t>
      </w:r>
    </w:p>
    <w:p>
      <w:r>
        <w:rPr>
          <w:b/>
        </w:rPr>
        <w:t>Lectura del autor:</w:t>
      </w:r>
      <w:r>
        <w:t xml:space="preserve"> cuestionarlo todo no es negarlo todo: una tortilla necesita dos caras, y una sociedad necesita un Estado que coordine lo que es de todos. Lo que este edificio muestra es otra cosa. Cuando se cambia el propósito del orden natural que la humanidad venía desarrollando, el sistema va contra natura, y para sostenerse necesita una articulación cada vez mayor basada en lo contrario de la verdad, que es la presunción. Presume el consentimiento que nadie dio, la validez de sus propios actos, el valor de su moneda y la conformidad de quienes aún no han nacido. Mecanismo tras mecanismo, se construyó algo ficticio sobre presunciones absolutas que la ley natural no respalda: esto apunta hacia el padre de la mentira (Jn 8:44). Quien lo levantó no tuvo por qué saberlo: pudo creer que era lícito (</w:t>
      </w:r>
      <w:r>
        <w:t>4.3</w:t>
      </w:r>
      <w:r>
        <w:t xml:space="preserve">, con sus dos cautelas). Por eso el primer paso es devolver las leyes a su orden: la ley de Dios, la ley natural, la costumbre y, por último, la ley humana. </w:t>
      </w:r>
      <w:r>
        <w:t>[00.2-23.1 y 23.2, con la fórmula de la edición, glosario 9.1]</w:t>
      </w:r>
    </w:p>
    <w:p>
      <w:pPr>
        <w:pStyle w:val="Heading2"/>
      </w:pPr>
      <w:r>
        <w:t>5.3 La ficción jurídica: cómo existen el Estado y el derecho</w:t>
      </w:r>
    </w:p>
    <w:p>
      <w:pPr>
        <w:pBdr>
          <w:left w:val="single" w:sz="24" w:space="6" w:color="E2DED6"/>
        </w:pBdr>
        <w:shd w:val="clear" w:color="auto" w:fill="F1EEE8"/>
        <w:spacing w:before="80" w:after="160"/>
        <w:ind w:left="142" w:right="142"/>
      </w:pPr>
      <w:r>
        <w:rPr>
          <w:b/>
        </w:rPr>
        <w:t>La idea: el Estado y el derecho existen porque se reconocen, no porque tengan cuerpo. Son ficciones jurídicas, y una ficción declarada no es un vicio: se vuelve engaño cuando se presenta como un hecho natural.</w:t>
      </w:r>
    </w:p>
    <w:p>
      <w:r>
        <w:rPr>
          <w:b/>
        </w:rPr>
        <w:t>Hechos que existen porque se reconocen.</w:t>
      </w:r>
      <w:r>
        <w:t xml:space="preserve"> Una piedra o una montaña existen aunque nadie las reconozca. El dinero, la propiedad, el matrimonio o el gobierno, no: existen porque un conjunto de reglas los sostiene y porque se reconocen colectivamente. El filósofo John Searle lo resumió en una fórmula: «X cuenta como Y en el contexto C»</w:t>
      </w:r>
      <w:r>
        <w:t xml:space="preserve"> [original: «X counts as Y in C»]</w:t>
      </w:r>
      <w:r>
        <w:t>. Su ejemplo: un trozo de papel cuenta como dinero. Del mismo modo, un territorio y una población cuentan como Estado</w:t>
      </w:r>
      <w:r>
        <w:t xml:space="preserve"> (John Searle, The Construction of Social Reality (La construcción de la realidad social), 1995; fuente secundaria: Stanford Encyclopedia of Philosophy (Enciclopedia de Filosofía de Stanford), «Social Ontology» (Ontología social))</w:t>
      </w:r>
      <w:r>
        <w:t xml:space="preserve">. </w:t>
      </w:r>
      <w:r>
        <w:t>[10.00-10.1 y 10.2]</w:t>
      </w:r>
    </w:p>
    <w:p>
      <w:r>
        <w:rPr>
          <w:b/>
        </w:rPr>
        <w:t>La ficción jurídica.</w:t>
      </w:r>
      <w:r>
        <w:t xml:space="preserve"> Desde aquí, la edición llama así a lo que el derecho trata como si fuera real sabiendo que no es un hecho literal: la persona jurídica, que la ley hace (</w:t>
      </w:r>
      <w:r>
        <w:t>2.1</w:t>
      </w:r>
      <w:r>
        <w:t>), o la personalidad del propio Estado, cuya Administración «actúa […] con personalidad jurídica única» (</w:t>
      </w:r>
      <w:r>
        <w:t>2.1</w:t>
      </w:r>
      <w:r>
        <w:t xml:space="preserve">). Es lo que 2.1 anunciaba: cómo llega el derecho a tratar como persona a lo que no tiene cuerpo. </w:t>
      </w:r>
      <w:r>
        <w:t>[glosario 3.6; 10.00-10.3]</w:t>
      </w:r>
    </w:p>
    <w:p>
      <w:r>
        <w:rPr>
          <w:b/>
        </w:rPr>
        <w:t>La máscara.</w:t>
      </w:r>
      <w:r>
        <w:t xml:space="preserve"> En latín, </w:t>
      </w:r>
      <w:r>
        <w:rPr>
          <w:i/>
        </w:rPr>
        <w:t>persona</w:t>
      </w:r>
      <w:r>
        <w:t xml:space="preserve"> era ante todo la máscara del actor</w:t>
      </w:r>
      <w:r>
        <w:t xml:space="preserve"> [original: «A mask, esp. that used by players»]</w:t>
      </w:r>
      <w:r>
        <w:t xml:space="preserve"> (Lewis y Short, A Latin Dictionary (Diccionario latino), s. v. «persona»)</w:t>
      </w:r>
      <w:r>
        <w:t>. El derecho tomó la palabra para el sujeto de derechos y obligaciones: la personalidad que la ley reconoce al nacer (</w:t>
      </w:r>
      <w:r>
        <w:t>2.1</w:t>
      </w:r>
      <w:r>
        <w:t>). A través de ella se relaciona el Estado con el ser humano de carne y hueso, y sobre ella se construyen el contrato, el tributo y la sanción. No es otra persona escondida bajo el nombre propio (</w:t>
      </w:r>
      <w:r>
        <w:t>anexo E</w:t>
      </w:r>
      <w:r>
        <w:t xml:space="preserve">): es el mismo ser humano, visto por el derecho. Tiene una función legítima, porque permite actuar en derecho, heredar, contratar y ser protegido por la ley. Pero, como toda herramienta, tiene dos filos. </w:t>
      </w:r>
      <w:r>
        <w:t>[20.00-33.1; Lewis y Short leído en Perseus]</w:t>
      </w:r>
    </w:p>
    <w:p>
      <w:r>
        <w:rPr>
          <w:b/>
        </w:rPr>
        <w:t>Cómo se funda.</w:t>
      </w:r>
      <w:r>
        <w:t xml:space="preserve"> Un orden jurídico no puede fundarse en un derecho que todavía no existe. Montaigne lo vio en el siglo XVI: «las leyes se mantienen en crédito no porque sean justas, sino porque son leyes. Ese es el fundamento místico de su autoridad; no tienen otro»</w:t>
      </w:r>
      <w:r>
        <w:t xml:space="preserve"> [original: «Or les loix se maintiennent en credit, non par ce qu’elles sont justes, mais par ce qu’elles sont loix. C’est le fondement mystique de leur authorité ; elles n’en ont poinct d’autre»]</w:t>
      </w:r>
      <w:r>
        <w:t xml:space="preserve"> (Montaigne, Ensayos III, 13)</w:t>
      </w:r>
      <w:r>
        <w:br/>
      </w:r>
      <w:r>
        <w:rPr>
          <w:b/>
        </w:rPr>
        <w:t>leída en su fuente · Montaigne, Ensayos III, 13</w:t>
      </w:r>
      <w:r>
        <w:br/>
      </w:r>
      <w:r>
        <w:rPr>
          <w:b/>
        </w:rPr>
        <w:t>Archivo leído:</w:t>
      </w:r>
      <w:r>
        <w:t xml:space="preserve"> montaigne_III_13_burdeos.txt (copia del texto de wiki bajado para el capítulo 5) (c6\10.00_Montaigne_Essais_III-13_frwikisource.html) · contraste del archivo de pasajes: ✔</w:t>
      </w:r>
      <w:r>
        <w:br/>
      </w:r>
      <w:r>
        <w:rPr>
          <w:b/>
        </w:rPr>
        <w:t>Dirección:</w:t>
      </w:r>
      <w:r>
        <w:t xml:space="preserve"> </w:t>
      </w:r>
      <w:r>
        <w:t>https://fr.wikisource.org/wiki/Essais/Livre_III/Chapitre_13</w:t>
      </w:r>
      <w:r>
        <w:br/>
      </w:r>
      <w:r>
        <w:rPr>
          <w:b/>
        </w:rPr>
        <w:t>Tal como está en la fuente:</w:t>
      </w:r>
      <w:r>
        <w:t xml:space="preserve"> Or les loix se maintiennent en credit, non par ce qu’elles sont justes, mais par ce qu’elles sont loix. C’est le fondement mystique de leur authorité ; elles n’en ont poinct d’autre ! . Qui bien leur sert.</w:t>
      </w:r>
      <w:r>
        <w:t>. Pascal lo dijo de la costumbre: «La costumbre hace toda la equidad, por la sola razón de que es recibida: es el fundamento místico de su autoridad. Quien la lleva a su principio, la aniquila»</w:t>
      </w:r>
      <w:r>
        <w:t xml:space="preserve"> [original: «La coutume fait toute l’équité, par cette seule raison qu’elle est reçue ; c’est le fondement mystique de son autorité. Qui la ramène à son principe, l’anéantit.»]</w:t>
      </w:r>
      <w:r>
        <w:t xml:space="preserve"> (Pascal, Pensamientos, fr. 294, edición de Brunschvicg)</w:t>
      </w:r>
      <w:r>
        <w:br/>
      </w:r>
      <w:r>
        <w:rPr>
          <w:b/>
        </w:rPr>
        <w:t>leída en su fuente · Pascal, Pensamientos, fr. 294, edición de Brunschvicg</w:t>
      </w:r>
      <w:r>
        <w:br/>
      </w:r>
      <w:r>
        <w:rPr>
          <w:b/>
        </w:rPr>
        <w:t>Archivo leído:</w:t>
      </w:r>
      <w:r>
        <w:t xml:space="preserve"> 10.00_Pascal_Pensees_ed_Brunschvicg_seccion_V_frwikisource_wikitexto.txt; 10.00_Pascal_Pensees_ed_Havet_Hachette_1871_art_III_frwikisource_wikitexto.txt (copias del capítulo 5) (c6\10.00_Pascal_Pensees_ed_Brunschvicg_seccion_V_frwikisource_wikitexto.txt) · contraste del archivo de pasajes: ✔</w:t>
      </w:r>
      <w:r>
        <w:br/>
      </w:r>
      <w:r>
        <w:rPr>
          <w:b/>
        </w:rPr>
        <w:t>Lugar:</w:t>
      </w:r>
      <w:r>
        <w:t xml:space="preserve"> Fr. 294</w:t>
      </w:r>
      <w:r>
        <w:br/>
      </w:r>
      <w:r>
        <w:rPr>
          <w:b/>
        </w:rPr>
        <w:t>Dirección:</w:t>
      </w:r>
      <w:r>
        <w:t xml:space="preserve"> </w:t>
      </w:r>
      <w:r>
        <w:t>https://fr.wikisource.org/wiki/Pensées_(Pascal,_éd._Brunschvicg)/Pensées/Section_V</w:t>
      </w:r>
      <w:r>
        <w:br/>
      </w:r>
      <w:r>
        <w:rPr>
          <w:b/>
        </w:rPr>
        <w:t>Tal como está en la fuente:</w:t>
      </w:r>
      <w:r>
        <w:t xml:space="preserve"> La coutume fait toute l’équité, par cette seule raison qu’elle est reçue ; c’est le fondement mystique de son autorité. Qui la ramène à son principe, l’anéantit.</w:t>
      </w:r>
      <w:r>
        <w:t>.</w:t>
      </w:r>
    </w:p>
    <w:p>
      <w:r>
        <w:t>En 1989, el filósofo Jacques Derrida retomó esa expresión de Montaigne en una conferencia, «Force of Law» (Fuerza de ley). Sostiene que el acto que funda un orden jurídico no puede justificarse por el derecho, porque en ese momento el derecho aún no existe; y que, una vez fundado, se presenta como si siempre hubiera tenido derecho a serlo (fuente secundaria; el título y la fecha, en la Stanford Encyclopedia of Philosophy, «Jacques Derrida»).</w:t>
      </w:r>
    </w:p>
    <w:p>
      <w:r>
        <w:t>[10.00-10.4; Montaigne y Pascal leídos en francés]</w:t>
      </w:r>
    </w:p>
    <w:p>
      <w:r>
        <w:rPr>
          <w:b/>
        </w:rPr>
        <w:t>El matiz de la propia obra.</w:t>
      </w:r>
      <w:r>
        <w:t xml:space="preserve"> Esa forma de fundarse no es exclusiva de los Estados que se consideran ilegítimos: es la de cualquier orden jurídico nuevo, incluidos los que después protegieron mejor los derechos, como la revolución inglesa de 1688, la independencia de 1776 o la Declaración de 1789 (</w:t>
      </w:r>
      <w:r>
        <w:t>6.1</w:t>
      </w:r>
      <w:r>
        <w:t>). Que el Estado sea en su origen un ente sin cuerpo que se funda a sí mismo no distingue, por sí solo, a un gobierno que cumple su palabra de uno que no la cumple. Lo que los distingue es lo que hacen después: sus frutos (</w:t>
      </w:r>
      <w:r>
        <w:t>0.5</w:t>
      </w:r>
      <w:r>
        <w:t xml:space="preserve">). </w:t>
      </w:r>
      <w:r>
        <w:t>[10.00-10.5]</w:t>
      </w:r>
    </w:p>
    <w:p>
      <w:r>
        <w:rPr>
          <w:b/>
        </w:rPr>
        <w:t>Conclusión, lo que arrojan los datos:</w:t>
      </w:r>
      <w:r>
        <w:t xml:space="preserve"> el Estado y el derecho son hechos que existen porque se reconocen, y la ley trata como persona a lo que no tiene cuerpo: es una ficción jurídica, y la ley la declara. En su origen se funda a sí mismo, como todo orden nuevo, y eso no prueba fraude. La ficción se vuelve maniobra camuflada (</w:t>
      </w:r>
      <w:r>
        <w:t>5.1</w:t>
      </w:r>
      <w:r>
        <w:t>) cuando se presenta como un hecho natural; y lo que distingue a un gobierno de otro son sus frutos.</w:t>
      </w:r>
    </w:p>
    <w:p>
      <w:r>
        <w:rPr>
          <w:b/>
        </w:rPr>
        <w:t>Lectura del autor:</w:t>
      </w:r>
      <w:r>
        <w:t xml:space="preserve"> el poder presenta una doble cara. Proclama el bien común como bandera, pero por sus hechos se le conoce, y los hechos de esta obra —la carga sobre el trabajo (</w:t>
      </w:r>
      <w:r>
        <w:t>8.4</w:t>
      </w:r>
      <w:r>
        <w:t>), el dinero creado al prestar que pierde valor (</w:t>
      </w:r>
      <w:r>
        <w:t>8.1</w:t>
      </w:r>
      <w:r>
        <w:t>), la hucha vaciada (</w:t>
      </w:r>
      <w:r>
        <w:t>8.6</w:t>
      </w:r>
      <w:r>
        <w:t>) y los impuestos anulados que no se devuelven (</w:t>
      </w:r>
      <w:r>
        <w:t>5.1</w:t>
      </w:r>
      <w:r>
        <w:t>)— muestran una segunda función que no se proclama: mantener a la persona dentro de un vínculo del que extraer recursos de forma sostenida. No hace falta suponer una conspiración en la sombra: basta la estructura documentada, que se repite en democracia tras democracia. Como el mal sin cuerpo necesita a otros para obrar (</w:t>
      </w:r>
      <w:r>
        <w:t>4.1</w:t>
      </w:r>
      <w:r>
        <w:t>), el ente sin cuerpo necesita la ficción jurídica para manifestarse. Y queda una advertencia, no una acusación probada: la fuerza de la gente está en su unión, porque el tirano solo se sostiene mientras los muchos, divididos, lo sostienen sin saberlo (</w:t>
      </w:r>
      <w:r>
        <w:t>4.1</w:t>
      </w:r>
      <w:r>
        <w:t>). Todo lo que atomiza esa unión, como la precariedad que obliga a competir por sobrevivir o el desplome de la vida en común que describió la sociología</w:t>
      </w:r>
      <w:r>
        <w:t xml:space="preserve"> (Robert D. Putnam, Bowling Alone (Jugar a los bolos solo), 2000; fuente secundaria)</w:t>
      </w:r>
      <w:r>
        <w:t>, erosiona lo que haría innecesario al amo. No se afirma un plan para destruir la familia y la amistad. Se afirma que una población atomizada y en supervivencia permanente es más fácil de gobernar por la fuerza disfrazada de bien común. Y la defensa más antigua contra eso es el vínculo real entre personas que se reconocen iguales: una persona es persona a través de otras personas (</w:t>
      </w:r>
      <w:r>
        <w:t>2.2</w:t>
      </w:r>
      <w:r>
        <w:t xml:space="preserve">). Yo soy otro tú. </w:t>
      </w:r>
      <w:r>
        <w:t>[20.00-33.1 y 33.2; 10.00-10.3]</w:t>
      </w:r>
    </w:p>
    <w:p>
      <w:pPr>
        <w:pStyle w:val="Heading2"/>
      </w:pPr>
      <w:r>
        <w:t>5.4 La raíz: la presunción en lugar del consentimiento</w:t>
      </w:r>
    </w:p>
    <w:p>
      <w:pPr>
        <w:pBdr>
          <w:left w:val="single" w:sz="24" w:space="6" w:color="E2DED6"/>
        </w:pBdr>
        <w:shd w:val="clear" w:color="auto" w:fill="F1EEE8"/>
        <w:spacing w:before="80" w:after="160"/>
        <w:ind w:left="142" w:right="142"/>
      </w:pPr>
      <w:r>
        <w:rPr>
          <w:b/>
        </w:rPr>
        <w:t>La idea: todas estas maniobras tienen una raíz común: la presunción ocupa el lugar del consentimiento. Y empieza el día en que se nace. Esa es la piedra que sostiene toda la obra: el pueblo no consintió; nació dentro y lo aceptó sin saberlo.</w:t>
      </w:r>
    </w:p>
    <w:p>
      <w:r>
        <w:rPr>
          <w:b/>
        </w:rPr>
        <w:t>Donde se tocan las presunciones.</w:t>
      </w:r>
      <w:r>
        <w:t xml:space="preserve"> Siete de las ya vistas se tocan en un punto:</w:t>
      </w:r>
    </w:p>
    <w:p>
      <w:pPr>
        <w:pStyle w:val="ListBullet"/>
      </w:pPr>
      <w:r>
        <w:t>el contrato social: se presume que el pueblo consintió (</w:t>
      </w:r>
      <w:r>
        <w:t>5.1</w:t>
      </w:r>
      <w:r>
        <w:t>, n.º 13);</w:t>
      </w:r>
    </w:p>
    <w:p>
      <w:pPr>
        <w:pStyle w:val="ListBullet"/>
      </w:pPr>
      <w:r>
        <w:t>la legitimidad: se presume que el Estado cumple lo que promete (</w:t>
      </w:r>
      <w:r>
        <w:t>5.1</w:t>
      </w:r>
      <w:r>
        <w:t>, n.º 20);</w:t>
      </w:r>
    </w:p>
    <w:p>
      <w:pPr>
        <w:pStyle w:val="ListBullet"/>
      </w:pPr>
      <w:r>
        <w:t>la moneda: se presume que vale porque se confía en quien la emite (</w:t>
      </w:r>
      <w:r>
        <w:t>5.1</w:t>
      </w:r>
      <w:r>
        <w:t>, n.º 11);</w:t>
      </w:r>
    </w:p>
    <w:p>
      <w:pPr>
        <w:pStyle w:val="ListBullet"/>
      </w:pPr>
      <w:r>
        <w:t>la creación del dinero: se presume que el banco presta los ahorros de otros (</w:t>
      </w:r>
      <w:r>
        <w:t>5.1</w:t>
      </w:r>
      <w:r>
        <w:t>, n.º 10);</w:t>
      </w:r>
    </w:p>
    <w:p>
      <w:pPr>
        <w:pStyle w:val="ListBullet"/>
      </w:pPr>
      <w:r>
        <w:t>la inflación: se presume que es una subida de precios de la que tiene la culpa el mercado (</w:t>
      </w:r>
      <w:r>
        <w:t>5.1</w:t>
      </w:r>
      <w:r>
        <w:t>, n.º 22);</w:t>
      </w:r>
    </w:p>
    <w:p>
      <w:pPr>
        <w:pStyle w:val="ListBullet"/>
      </w:pPr>
      <w:r>
        <w:t>el ahorro: se presume que lo guardado se conserva (</w:t>
      </w:r>
      <w:r>
        <w:t>5.2</w:t>
      </w:r>
      <w:r>
        <w:t>, planta 5);</w:t>
      </w:r>
    </w:p>
    <w:p>
      <w:pPr>
        <w:pStyle w:val="ListBullet"/>
      </w:pPr>
      <w:r>
        <w:t>y los actos del Estado: se presume que son válidos, y es el ciudadano quien tiene que probar lo contrario y recurrir (</w:t>
      </w:r>
      <w:r>
        <w:t>5.2</w:t>
      </w:r>
      <w:r>
        <w:t>, planta 4).</w:t>
      </w:r>
    </w:p>
    <w:p>
      <w:r>
        <w:t>[00.1-9.1 a 9.9]</w:t>
      </w:r>
    </w:p>
    <w:p>
      <w:r>
        <w:rPr>
          <w:b/>
        </w:rPr>
        <w:t>Conclusión, lo que arrojan los datos:</w:t>
      </w:r>
      <w:r>
        <w:t xml:space="preserve"> cada presunción está escrita en una norma o medida en un dato, y todas juegan a favor del sistema. Alguna tiene justificación oficial: sin la presunción de validez ninguna administración podría funcionar, y se puede recurrir. Pero ninguna justifica la asimetría: el Estado se presume válido a sí mismo, mientras el consentimiento del ciudadano, que debería ser el punto de partida, se presume aunque nunca se dio. </w:t>
      </w:r>
      <w:r>
        <w:t>[00.1-9.10]</w:t>
      </w:r>
    </w:p>
    <w:p>
      <w:r>
        <w:rPr>
          <w:b/>
        </w:rPr>
        <w:t>La obligación heredada.</w:t>
      </w:r>
      <w:r>
        <w:t xml:space="preserve"> Antes, lo que no se sostiene. No se dice aquí que el Estado usurpe el estado civil, ni que haya una persona jurídica oculta bajo el nombre propio: la personalidad la da el nacimiento, no el papel (Código Civil, arts. 29 y 30; </w:t>
      </w:r>
      <w:r>
        <w:t>2.1</w:t>
      </w:r>
      <w:r>
        <w:t>), y la idea de una persona oculta bajo el nombre propio no tiene respaldo (</w:t>
      </w:r>
      <w:r>
        <w:t>anexo E</w:t>
      </w:r>
      <w:r>
        <w:t xml:space="preserve">). </w:t>
      </w:r>
      <w:r>
        <w:t>[20.00-32.1]</w:t>
      </w:r>
    </w:p>
    <w:p>
      <w:r>
        <w:t>Lo que sí es un hecho es otro: la obligación de inscribir nace antes de que el recién nacido pueda tener voluntad alguna sobre ella, y no se puede evitar.</w:t>
      </w:r>
    </w:p>
    <w:p>
      <w:pPr>
        <w:pStyle w:val="ListBullet"/>
      </w:pPr>
      <w:r>
        <w:rPr>
          <w:b/>
        </w:rPr>
        <w:t>Quién está obligado.</w:t>
      </w:r>
      <w:r>
        <w:t xml:space="preserve"> En primer lugar, «La dirección de hospitales, clínicas y establecimientos sanitarios»</w:t>
      </w:r>
      <w:r>
        <w:t xml:space="preserve"> (Ley 20/2011, del Registro Civil, art. 45)</w:t>
      </w:r>
      <w:r>
        <w:br/>
      </w:r>
      <w:r>
        <w:rPr>
          <w:b/>
        </w:rPr>
        <w:t>leída en su fuente · Ley 20/2011, del Registro Civil, art. 45</w:t>
      </w:r>
      <w:r>
        <w:br/>
      </w:r>
      <w:r>
        <w:rPr>
          <w:b/>
        </w:rPr>
        <w:t>Archivo leído:</w:t>
      </w:r>
      <w:r>
        <w:t xml:space="preserve"> ley20_2011_registro_civil.html (c5\ley20_2011_registro_civil.html) · contraste del archivo de pasajes: ✔</w:t>
      </w:r>
      <w:r>
        <w:br/>
      </w:r>
      <w:r>
        <w:rPr>
          <w:b/>
        </w:rPr>
        <w:t>Lugar:</w:t>
      </w:r>
      <w:r>
        <w:t xml:space="preserve"> Art. 45 (#a45)</w:t>
      </w:r>
      <w:r>
        <w:br/>
      </w:r>
      <w:r>
        <w:rPr>
          <w:b/>
        </w:rPr>
        <w:t>Dirección:</w:t>
      </w:r>
      <w:r>
        <w:t xml:space="preserve"> </w:t>
      </w:r>
      <w:r>
        <w:t>https://www.boe.es/buscar/act.php?id=BOE-A-2011-12628</w:t>
      </w:r>
      <w:r>
        <w:br/>
      </w:r>
      <w:r>
        <w:rPr>
          <w:b/>
        </w:rPr>
        <w:t>Tal como está en la fuente:</w:t>
      </w:r>
      <w:r>
        <w:t xml:space="preserve"> 1. La dirección de hospitales, clínicas y establecimientos sanitarios.</w:t>
      </w:r>
      <w:r>
        <w:t>.</w:t>
      </w:r>
    </w:p>
    <w:p>
      <w:pPr>
        <w:pStyle w:val="ListBullet"/>
      </w:pPr>
      <w:r>
        <w:rPr>
          <w:b/>
        </w:rPr>
        <w:t>En qué plazo.</w:t>
      </w:r>
      <w:r>
        <w:t xml:space="preserve"> Esa dirección «comunicará en el plazo de setenta y dos horas a la Oficina del Registro Civil» cada nacimiento</w:t>
      </w:r>
      <w:r>
        <w:t xml:space="preserve"> (art. 46, en la redacción de la Ley 19/2015)</w:t>
      </w:r>
      <w:r>
        <w:t>.</w:t>
      </w:r>
    </w:p>
    <w:p>
      <w:pPr>
        <w:pStyle w:val="ListBullet"/>
      </w:pPr>
      <w:r>
        <w:rPr>
          <w:b/>
        </w:rPr>
        <w:t>Qué se abre.</w:t>
      </w:r>
      <w:r>
        <w:t xml:space="preserve"> «El registro individual se abrirá con la inscripción de nacimiento»</w:t>
      </w:r>
      <w:r>
        <w:t xml:space="preserve"> (art. 5.2)</w:t>
      </w:r>
      <w:r>
        <w:br/>
      </w:r>
      <w:r>
        <w:rPr>
          <w:b/>
        </w:rPr>
        <w:t>leída en su fuente · art. 5.2</w:t>
      </w:r>
      <w:r>
        <w:br/>
      </w:r>
      <w:r>
        <w:rPr>
          <w:b/>
        </w:rPr>
        <w:t>Archivo leído:</w:t>
      </w:r>
      <w:r>
        <w:t xml:space="preserve"> ley20_2011_registro_civil.html (c5\ley20_2011_registro_civil.html) · contraste del archivo de pasajes: ✔</w:t>
      </w:r>
      <w:r>
        <w:br/>
      </w:r>
      <w:r>
        <w:rPr>
          <w:b/>
        </w:rPr>
        <w:t>Lugar:</w:t>
      </w:r>
      <w:r>
        <w:t xml:space="preserve"> Art. 5.2 (#a5)</w:t>
      </w:r>
      <w:r>
        <w:br/>
      </w:r>
      <w:r>
        <w:rPr>
          <w:b/>
        </w:rPr>
        <w:t>Dirección:</w:t>
      </w:r>
      <w:r>
        <w:t xml:space="preserve"> </w:t>
      </w:r>
      <w:r>
        <w:t>https://www.boe.es/buscar/act.php?id=BOE-A-2011-12628</w:t>
      </w:r>
      <w:r>
        <w:br/>
      </w:r>
      <w:r>
        <w:rPr>
          <w:b/>
        </w:rPr>
        <w:t>Tal como está en la fuente:</w:t>
      </w:r>
      <w:r>
        <w:t xml:space="preserve"> 2. El registro individual se abrirá con la inscripción de nacimiento o con el primer asiento</w:t>
      </w:r>
      <w:r>
        <w:t>, y a cada registro «se le asignará un código personal […] que será única e invariable en el tiempo»</w:t>
      </w:r>
      <w:r>
        <w:t xml:space="preserve"> (art. 6)</w:t>
      </w:r>
      <w:r>
        <w:br/>
      </w:r>
      <w:r>
        <w:rPr>
          <w:b/>
        </w:rPr>
        <w:t>leída en su fuente · art. 6</w:t>
      </w:r>
      <w:r>
        <w:br/>
      </w:r>
      <w:r>
        <w:rPr>
          <w:b/>
        </w:rPr>
        <w:t>Archivo leído:</w:t>
      </w:r>
      <w:r>
        <w:t xml:space="preserve"> ley20_2011_registro_civil.html (c5\ley20_2011_registro_civil.html) · contraste del archivo de pasajes: ✔</w:t>
      </w:r>
      <w:r>
        <w:br/>
      </w:r>
      <w:r>
        <w:rPr>
          <w:b/>
        </w:rPr>
        <w:t>Lugar:</w:t>
      </w:r>
      <w:r>
        <w:t xml:space="preserve"> art. 6</w:t>
      </w:r>
      <w:r>
        <w:br/>
      </w:r>
      <w:r>
        <w:rPr>
          <w:b/>
        </w:rPr>
        <w:t>Tal como está en la fuente:</w:t>
      </w:r>
      <w:r>
        <w:t xml:space="preserve"> se le asignará un código personal […] que será única e invariable en el tiempo</w:t>
      </w:r>
      <w:r>
        <w:t>.</w:t>
      </w:r>
    </w:p>
    <w:p>
      <w:pPr>
        <w:pStyle w:val="ListBullet"/>
      </w:pPr>
      <w:r>
        <w:rPr>
          <w:b/>
        </w:rPr>
        <w:t>Ni el abandonado queda fuera.</w:t>
      </w:r>
      <w:r>
        <w:t xml:space="preserve"> Las entidades públicas «deberán promover sin demora la inscripción de menores en situación de desamparo por abandono»</w:t>
      </w:r>
      <w:r>
        <w:t xml:space="preserve"> (art. 48.1)</w:t>
      </w:r>
      <w:r>
        <w:br/>
      </w:r>
      <w:r>
        <w:rPr>
          <w:b/>
        </w:rPr>
        <w:t>leída en su fuente · art. 48.1</w:t>
      </w:r>
      <w:r>
        <w:br/>
      </w:r>
      <w:r>
        <w:rPr>
          <w:b/>
        </w:rPr>
        <w:t>Archivo leído:</w:t>
      </w:r>
      <w:r>
        <w:t xml:space="preserve"> ley20_2011_registro_civil.html (c5\ley20_2011_registro_civil.html) · contraste del archivo de pasajes: ✔</w:t>
      </w:r>
      <w:r>
        <w:br/>
      </w:r>
      <w:r>
        <w:rPr>
          <w:b/>
        </w:rPr>
        <w:t>Lugar:</w:t>
      </w:r>
      <w:r>
        <w:t xml:space="preserve"> art. 48.1</w:t>
      </w:r>
      <w:r>
        <w:br/>
      </w:r>
      <w:r>
        <w:rPr>
          <w:b/>
        </w:rPr>
        <w:t>Tal como está en la fuente:</w:t>
      </w:r>
      <w:r>
        <w:t xml:space="preserve"> deberán promover sin demora la inscripción de menores en situación de desamparo por abandono</w:t>
      </w:r>
      <w:r>
        <w:t>.</w:t>
      </w:r>
    </w:p>
    <w:p>
      <w:r>
        <w:t>Nadie preguntó. Y nadie podía preguntar: el interesado tenía cero días.</w:t>
      </w:r>
    </w:p>
    <w:p>
      <w:r>
        <w:t>[20.00-32.1 y 32.2; Ley 20/2011 leída en el BOE]</w:t>
      </w:r>
    </w:p>
    <w:p>
      <w:r>
        <w:rPr>
          <w:b/>
        </w:rPr>
        <w:t>Lo que vio Rousseau.</w:t>
      </w:r>
      <w:r>
        <w:t xml:space="preserve"> Al fundar el contrato social en el consentimiento, Rousseau se detuvo en este punto: «Aunque cada uno pudiera enajenarse a sí mismo, no puede enajenar a sus hijos: nacen hombres y libres; su libertad les pertenece, y nadie más que ellos tiene derecho a disponer de ella. Antes de que lleguen a la edad de la razón, el padre puede estipular en su nombre condiciones para su conservación y su bienestar, pero no darlos de forma irrevocable y sin condición, porque tal don es contrario a los fines de la naturaleza y excede los derechos de la paternidad»</w:t>
      </w:r>
      <w:r>
        <w:t xml:space="preserve"> [original: «Quand chacun pourroit s’aliéner lui-même il ne peut aliéner ses enfans ; ils naissent hommes &amp; libres ; leur liberté leur appartient, nul n’a droit d’en disposer qu’eux. Avant qu’ils soient en âge de raison, le pere peut en leur nom stipuler des conditions pour leur conservation, pour leur bien être ; mais non les donner irrévocablement &amp; sans condition ; car un tel don est contraire aux fins de la nature, &amp; passe les droits de la paternité.»]</w:t>
      </w:r>
      <w:r>
        <w:t xml:space="preserve"> (Rousseau, Del contrato social I, 4, edición de 1762)</w:t>
      </w:r>
      <w:r>
        <w:br/>
      </w:r>
      <w:r>
        <w:rPr>
          <w:b/>
        </w:rPr>
        <w:t>leída en su fuente · Rousseau, Del contrato social I, 4, edición de 1762</w:t>
      </w:r>
      <w:r>
        <w:br/>
      </w:r>
      <w:r>
        <w:rPr>
          <w:b/>
        </w:rPr>
        <w:t>Original donde está:</w:t>
      </w:r>
      <w:r>
        <w:t xml:space="preserve"> 10.00_Rousseau_Du_contrat_social_1762_texte_entier_frwikisource.html.txt</w:t>
      </w:r>
      <w:r>
        <w:br/>
      </w:r>
      <w:r>
        <w:t>El pasaje literal no está en el archivo de pasajes con este comienzo; la auditoría lo halló en ese original.</w:t>
      </w:r>
      <w:r>
        <w:t>. Lo escribió en 1762, sin pensar en un registro electrónico con plazo de setenta y dos horas.</w:t>
      </w:r>
    </w:p>
    <w:p>
      <w:r>
        <w:rPr>
          <w:b/>
        </w:rPr>
        <w:t>Lo que vio La Boétie.</w:t>
      </w:r>
      <w:r>
        <w:t xml:space="preserve"> Dos siglos antes había explicado por qué esto no produce rebeldía, sino conformidad: los hombres que nacen bajo el yugo, y se crían y educan en la servidumbre, «se contentan con vivir como nacieron, y no piensan tener otro bien ni otro derecho que el que encontraron: toman por natural el estado en que nacieron»</w:t>
      </w:r>
      <w:r>
        <w:t xml:space="preserve"> [original: «se contentent de vivre comme ils sont nés, et ne pensent point avoir autre bien ni autre droit que ce qu’ils ont trouvé, ils prennent pour leur naturel l’état de leur naissance»]</w:t>
      </w:r>
      <w:r>
        <w:t>. Por eso, «la primera razón de la servidumbre voluntaria es la costumbre»</w:t>
      </w:r>
      <w:r>
        <w:t xml:space="preserve"> [original: «la première raison de la servitude volontaire, c’est la coutume»]</w:t>
      </w:r>
      <w:r>
        <w:t xml:space="preserve"> (La Boétie, Discurso de la servidumbre voluntaria, edición de 1922)</w:t>
      </w:r>
      <w:r>
        <w:br/>
      </w:r>
      <w:r>
        <w:rPr>
          <w:b/>
        </w:rPr>
        <w:t>leída en su fuente · La Boétie, Discurso de la servidumbre voluntaria, edición de 1922</w:t>
      </w:r>
      <w:r>
        <w:br/>
      </w:r>
      <w:r>
        <w:rPr>
          <w:b/>
        </w:rPr>
        <w:t>Archivo leído:</w:t>
      </w:r>
      <w:r>
        <w:t xml:space="preserve"> laboetie_servitude_1922_discours_wikisource.html (c4\laboetie_servitude_1922_discours_wikisource.html) · contraste del archivo de pasajes: ✔</w:t>
      </w:r>
      <w:r>
        <w:br/>
      </w:r>
      <w:r>
        <w:rPr>
          <w:b/>
        </w:rPr>
        <w:t>Lugar:</w:t>
      </w:r>
      <w:r>
        <w:t xml:space="preserve"> La Boétie, Discurso de la servidumbre voluntaria, edición de 1922</w:t>
      </w:r>
      <w:r>
        <w:br/>
      </w:r>
      <w:r>
        <w:rPr>
          <w:b/>
        </w:rPr>
        <w:t>Tal como está en la fuente:</w:t>
      </w:r>
      <w:r>
        <w:t xml:space="preserve"> la première raison de la servitude volontaire, c’est la coutume</w:t>
      </w:r>
      <w:r>
        <w:t>. No la fuerza, sino no haber conocido nunca otra cosa (</w:t>
      </w:r>
      <w:r>
        <w:t>4.1</w:t>
      </w:r>
      <w:r>
        <w:t>).</w:t>
      </w:r>
    </w:p>
    <w:p>
      <w:r>
        <w:t>[20.00-32.1 y 32.2; Rousseau y La Boétie leídos en francés]</w:t>
      </w:r>
    </w:p>
    <w:p>
      <w:r>
        <w:rPr>
          <w:b/>
        </w:rPr>
        <w:t>La pregunta que queda.</w:t>
      </w:r>
      <w:r>
        <w:t xml:space="preserve"> No es una acusación: es una pregunta que cualquiera puede hacerse sin necesidad de togas. ¿En qué otro vínculo de la vida se ata a una persona de por vida, en setenta y dos horas, sin que pueda estar presente el único interesado? </w:t>
      </w:r>
      <w:r>
        <w:t>[20.00-32.1]</w:t>
      </w:r>
    </w:p>
    <w:p>
      <w:r>
        <w:rPr>
          <w:b/>
        </w:rPr>
        <w:t>Conclusión, lo que arrojan los datos:</w:t>
      </w:r>
      <w:r>
        <w:t xml:space="preserve"> la ley obliga a comunicar cada nacimiento en setenta y dos horas, abre a cada nacido un registro y le asigna un código único e invariable en el tiempo. El interesado no puede consentir: las obligaciones llegan antes que la conciencia. Rousseau ya dijo que nadie puede dar a sus hijos de forma irrevocable; y La Boétie, que quien nace dentro lo toma por natural.</w:t>
      </w:r>
    </w:p>
    <w:p>
      <w:r>
        <w:rPr>
          <w:b/>
        </w:rPr>
        <w:t>Lectura del autor:</w:t>
      </w:r>
      <w:r>
        <w:t xml:space="preserve"> la presunción que ocupa el lugar del consentimiento hace pasar por verdad lo que nunca se dio, y obliga en nombre de un sí que nadie pronunció, cuando la ley de Dios pide que el sí se diga (Mt 5:37; </w:t>
      </w:r>
      <w:r>
        <w:t>5.2</w:t>
      </w:r>
      <w:r>
        <w:t xml:space="preserve">). Esto apunta hacia el padre de la mentira (Jn 8:44). «Por sus frutos los conoceréis» (Mt 7:16). </w:t>
      </w:r>
      <w:r>
        <w:t>[00.1-9.11, con la fórmula de la edición, glosario 9.1; 20.00-32.1]</w:t>
      </w:r>
    </w:p>
    <w:p>
      <w:r>
        <w:rPr>
          <w:b/>
        </w:rPr>
        <w:t>Lectura del autor: la piedra que sostiene toda la obra.</w:t>
      </w:r>
      <w:r>
        <w:t xml:space="preserve"> Todo lo que esta obra desmonta descansa en una sola piedra, y el autor quiere que quede dicho como lo más importante. El Estado actúa sobre un montón de presunciones (</w:t>
      </w:r>
      <w:r>
        <w:t>5.2</w:t>
      </w:r>
      <w:r>
        <w:t>), presentadas con un formato de cortina de humo, y nadie las había desvelado: la persona lo acepta porque nació dentro y da por supuesto que es así para siempre. El pueblo no consintió nada: nació en un sistema y lo aceptó por ignorancia. Nadie se lo cuestionó, como un pez no se cuestiona qué es el agua. Si tus padres pagan impuestos, aprendes por repetición, sin saberlo, que todo es así (</w:t>
      </w:r>
      <w:r>
        <w:t>4.4</w:t>
      </w:r>
      <w:r>
        <w:t xml:space="preserve">; </w:t>
      </w:r>
      <w:r>
        <w:t>5.5</w:t>
      </w:r>
      <w:r>
        <w:t>); y se ha levantado un laberinto de leyes en el que, para moverte, acabas loco. Por eso, cuando se dice que el poder se sostiene en el consentimiento, el autor responde: no es consentimiento, es ignorancia. La ley presume que todos la conocen, «La ignorancia de las leyes no excusa de su cumplimiento»</w:t>
      </w:r>
      <w:r>
        <w:t xml:space="preserve"> (Código Civil, art. 6.1)</w:t>
      </w:r>
      <w:r>
        <w:br/>
      </w:r>
      <w:r>
        <w:rPr>
          <w:b/>
        </w:rPr>
        <w:t>leída en su fuente · Código Civil, art. 6.1</w:t>
      </w:r>
      <w:r>
        <w:br/>
      </w:r>
      <w:r>
        <w:rPr>
          <w:b/>
        </w:rPr>
        <w:t>Archivo leído:</w:t>
      </w:r>
      <w:r>
        <w:t xml:space="preserve"> codigo_civil_1889.html (c5\codigo_civil_1889.html) · contraste del archivo de pasajes: ✔</w:t>
      </w:r>
      <w:r>
        <w:br/>
      </w:r>
      <w:r>
        <w:rPr>
          <w:b/>
        </w:rPr>
        <w:t>Lugar:</w:t>
      </w:r>
      <w:r>
        <w:t xml:space="preserve"> Art. 6.1 (#art6)</w:t>
      </w:r>
      <w:r>
        <w:br/>
      </w:r>
      <w:r>
        <w:rPr>
          <w:b/>
        </w:rPr>
        <w:t>Dirección:</w:t>
      </w:r>
      <w:r>
        <w:t xml:space="preserve"> </w:t>
      </w:r>
      <w:r>
        <w:t>https://www.boe.es/buscar/act.php?id=BOE-A-1889-4763</w:t>
      </w:r>
      <w:r>
        <w:br/>
      </w:r>
      <w:r>
        <w:rPr>
          <w:b/>
        </w:rPr>
        <w:t>Tal como está en la fuente:</w:t>
      </w:r>
      <w:r>
        <w:t xml:space="preserve"> 1. La ignorancia de las leyes no excusa de su cumplimiento. El error de derecho producirá únicamente</w:t>
      </w:r>
      <w:r>
        <w:t xml:space="preserve"> (</w:t>
      </w:r>
      <w:r>
        <w:t>5.2</w:t>
      </w:r>
      <w:r>
        <w:t>, planta 3), y a la vez se sostiene en que nadie la cuestione: la misma vara, mirada desde el otro lado.</w:t>
      </w:r>
    </w:p>
    <w:p>
      <w:r>
        <w:t>Y por eso tampoco basta con negar lo que no se sostiene, ni con salirse del sistema a golpe de afirmaciones sin documento (</w:t>
      </w:r>
      <w:r>
        <w:t>2.6</w:t>
      </w:r>
      <w:r>
        <w:t xml:space="preserve">; </w:t>
      </w:r>
      <w:r>
        <w:t>anexo E</w:t>
      </w:r>
      <w:r>
        <w:t>): hay que desmontarlo pieza a pieza, con su fuente, y pedir a cada presunción la piedra que la sostiene: una prueba, una ley superior o un consentimiento dado (</w:t>
      </w:r>
      <w:r>
        <w:t>11.2</w:t>
      </w:r>
      <w:r>
        <w:t>, n.º 19). Si algo es verdadero, se sostiene; si no tiene cimientos sólidos donde anclarse, se tambalea. Es la casa sobre la peña: «descendió lluvia, y vinieron ríos, y soplaron vientos, y combatieron aquella casa; y no cayó: porque estaba fundada sobre la peña»</w:t>
      </w:r>
      <w:r>
        <w:t xml:space="preserve"> (Mt 7:25)</w:t>
      </w:r>
      <w:r>
        <w:br/>
      </w:r>
      <w:r>
        <w:rPr>
          <w:b/>
        </w:rPr>
        <w:t>leída en su fuente · Mt 7:25</w:t>
      </w:r>
      <w:r>
        <w:br/>
      </w:r>
      <w:r>
        <w:rPr>
          <w:b/>
        </w:rPr>
        <w:t>Original donde está:</w:t>
      </w:r>
      <w:r>
        <w:t xml:space="preserve"> spaRV1909_vpl.txt</w:t>
      </w:r>
      <w:r>
        <w:br/>
      </w:r>
      <w:r>
        <w:t>El pasaje literal no está en el archivo de pasajes con este comienzo; la auditoría lo halló en ese original.</w:t>
      </w:r>
      <w:r>
        <w:t>; y la casa sobre la arena, que «cayó, y fué grande su ruina»</w:t>
      </w:r>
      <w:r>
        <w:t xml:space="preserve"> (Mt 7:27)</w:t>
      </w:r>
      <w:r>
        <w:br/>
      </w:r>
      <w:r>
        <w:rPr>
          <w:b/>
        </w:rPr>
        <w:t>pasaje guardado</w:t>
      </w:r>
      <w:r>
        <w:br/>
      </w:r>
      <w:r>
        <w:rPr>
          <w:b/>
        </w:rPr>
        <w:t>Archivo leído:</w:t>
      </w:r>
      <w:r>
        <w:t xml:space="preserve"> spaRV1909_texto_corrido.txt (biblia_rv1909\spaRV1909_texto_corrido.txt) · contraste del archivo de pasajes: ✔</w:t>
      </w:r>
      <w:r>
        <w:br/>
      </w:r>
      <w:r>
        <w:rPr>
          <w:b/>
        </w:rPr>
        <w:t>Lugar:</w:t>
      </w:r>
      <w:r>
        <w:t xml:space="preserve"> Mt 7:27</w:t>
      </w:r>
      <w:r>
        <w:br/>
      </w:r>
      <w:r>
        <w:rPr>
          <w:b/>
        </w:rPr>
        <w:t>Tal como está en la fuente:</w:t>
      </w:r>
      <w:r>
        <w:t xml:space="preserve"> cayó, y fué grande su ruina</w:t>
      </w:r>
      <w:r>
        <w:t xml:space="preserve">. Lo que se sostiene en roca sólida, la verdad, alinea por repetición con la ley de Dios; lo que se sigue por repetición sin cimiento, esto apunta hacia el padre de la mentira (Jn 8:44; </w:t>
      </w:r>
      <w:r>
        <w:t>4.4</w:t>
      </w:r>
      <w:r>
        <w:t>): nos envilece el alma y nos hace peores personas, porque cuando aceptamos lo inaceptable, nos degrada.</w:t>
      </w:r>
    </w:p>
    <w:p>
      <w:r>
        <w:t>Esa es la piedra. La obra no pide salir del sistema ni desobedecer (</w:t>
      </w:r>
      <w:r>
        <w:t>0.2</w:t>
      </w:r>
      <w:r>
        <w:t>): pide la prueba de cada presunción y deja constancia (</w:t>
      </w:r>
      <w:r>
        <w:t>10.4</w:t>
      </w:r>
      <w:r>
        <w:t>), porque lo que se sostiene solo en presunciones se disuelve cuando se pide la prueba (</w:t>
      </w:r>
      <w:r>
        <w:t>5.5</w:t>
      </w:r>
      <w:r>
        <w:t xml:space="preserve">). El </w:t>
      </w:r>
      <w:r>
        <w:t>cargo 3</w:t>
      </w:r>
      <w:r>
        <w:t xml:space="preserve"> lo pregunta con todas las letras (</w:t>
      </w:r>
      <w:r>
        <w:t>11.3</w:t>
      </w:r>
      <w:r>
        <w:t>), y la cuestión previa 19 dice qué pasa con quien calla (</w:t>
      </w:r>
      <w:r>
        <w:t>11.2</w:t>
      </w:r>
      <w:r>
        <w:t>).</w:t>
      </w:r>
    </w:p>
    <w:p>
      <w:r>
        <w:t>[palabras de Kiko, 6-oct-2026, por la noche, al parlamentar el capítulo 11 («tiene que quedar recogido como muy importante»); 04p, fila 38; 03b, A3; «nivel vibratorio» no entra; Mt 7:24-27 en la Reina-Valera 1909 de 06, leído hoy; Código Civil, art. 6.1, ya en 5.2; «no es consentimiento, es ignorancia» es lectura del autor: que quien no votó no consintió es la conclusión de 5.2 y 5.4]</w:t>
      </w:r>
    </w:p>
    <w:p>
      <w:pPr>
        <w:pStyle w:val="Heading2"/>
      </w:pPr>
      <w:r>
        <w:t>5.5 Por qué ha durado</w:t>
      </w:r>
    </w:p>
    <w:p>
      <w:pPr>
        <w:pBdr>
          <w:left w:val="single" w:sz="24" w:space="6" w:color="E2DED6"/>
        </w:pBdr>
        <w:shd w:val="clear" w:color="auto" w:fill="F1EEE8"/>
        <w:spacing w:before="80" w:after="160"/>
        <w:ind w:left="142" w:right="142"/>
      </w:pPr>
      <w:r>
        <w:rPr>
          <w:b/>
        </w:rPr>
        <w:t>La idea: ninguna pieza, por separado, hace caer el edificio; juntas, impiden ver que no se sostiene. Y la costumbre hace el resto.</w:t>
      </w:r>
    </w:p>
    <w:p>
      <w:r>
        <w:rPr>
          <w:b/>
        </w:rPr>
        <w:t>Hechos:</w:t>
      </w:r>
    </w:p>
    <w:p>
      <w:pPr>
        <w:pStyle w:val="ListBullet"/>
      </w:pPr>
      <w:r>
        <w:t>El sistema gasta más de lo que ingresa casi todos los años y paga lo que vence con deuda nueva (</w:t>
      </w:r>
      <w:r>
        <w:t>9.1</w:t>
      </w:r>
      <w:r>
        <w:t>).</w:t>
      </w:r>
    </w:p>
    <w:p>
      <w:pPr>
        <w:pStyle w:val="ListBullet"/>
      </w:pPr>
      <w:r>
        <w:t>Desde 1971 se sostiene con un dinero sin respaldo material, cuya pérdida de valor rebaja su propia deuda (</w:t>
      </w:r>
      <w:r>
        <w:t>5.1</w:t>
      </w:r>
      <w:r>
        <w:t>, n.º 6 y 11).</w:t>
      </w:r>
    </w:p>
    <w:p>
      <w:pPr>
        <w:pStyle w:val="ListBullet"/>
      </w:pPr>
      <w:r>
        <w:t>La ley lo excluye del concurso de acreedores (</w:t>
      </w:r>
      <w:r>
        <w:t>5.1</w:t>
      </w:r>
      <w:r>
        <w:t>, n.º 7).</w:t>
      </w:r>
    </w:p>
    <w:p>
      <w:pPr>
        <w:pStyle w:val="ListBullet"/>
      </w:pPr>
      <w:r>
        <w:t>Las presunciones de validez y de certeza ponen la carga de la prueba en el ciudadano (</w:t>
      </w:r>
      <w:r>
        <w:t>5.2</w:t>
      </w:r>
      <w:r>
        <w:t>, planta 4), y la ignorancia de la ley no excusa (</w:t>
      </w:r>
      <w:r>
        <w:t>5.2</w:t>
      </w:r>
      <w:r>
        <w:t>, planta 3).</w:t>
      </w:r>
    </w:p>
    <w:p>
      <w:pPr>
        <w:pStyle w:val="ListBullet"/>
      </w:pPr>
      <w:r>
        <w:t>Y de él dependen directamente más de tres millones de empleados públicos y más de once millones de pensiones (</w:t>
      </w:r>
      <w:r>
        <w:t>8.6</w:t>
      </w:r>
      <w:r>
        <w:t>).</w:t>
      </w:r>
    </w:p>
    <w:p>
      <w:r>
        <w:t>[00.2-22.1]</w:t>
      </w:r>
    </w:p>
    <w:p>
      <w:r>
        <w:rPr>
          <w:b/>
        </w:rPr>
        <w:t>Lo que dicen los textos: la costumbre forma.</w:t>
      </w:r>
      <w:r>
        <w:t xml:space="preserve"> Ya se vio que lo que se repite forma a quien lo hace (</w:t>
      </w:r>
      <w:r>
        <w:t>4.4</w:t>
      </w:r>
      <w:r>
        <w:t>), y que la primera razón de la servidumbre voluntaria es la costumbre (</w:t>
      </w:r>
      <w:r>
        <w:t>5.4</w:t>
      </w:r>
      <w:r>
        <w:t>). Aristóteles lo aplicó a las leyes: «los legisladores hacen buenos a los ciudadanos acostumbrándolos; esa es la voluntad de todo legislador, y los que no lo hacen bien yerran; y en eso se distingue un buen régimen de uno malo»</w:t>
      </w:r>
      <w:r>
        <w:t xml:space="preserve"> [original: «οἱ γὰρ νομοθέται τοὺς πολίτας ἐθίζοντες ποιοῦσιν ἀγαθούς, καὶ τὸ μὲν βούλημα παντὸς νομοθέτου τοῦτ᾽ ἐστίν, ὅσοι δὲ μὴ εὖ αὐτὸ ποιοῦσιν ἁμαρτάνουσιν, καὶ διαφέρει τούτῳ πολιτεία πολιτείας ἀγαθὴ φαύλης»]</w:t>
      </w:r>
      <w:r>
        <w:t xml:space="preserve"> (Aristóteles, Ética a Nicómaco II, 1, 1103b)</w:t>
      </w:r>
      <w:r>
        <w:br/>
      </w:r>
      <w:r>
        <w:rPr>
          <w:b/>
        </w:rPr>
        <w:t>leída en su fuente · Aristóteles, Ética a Nicómaco II, 1, 1103b</w:t>
      </w:r>
      <w:r>
        <w:br/>
      </w:r>
      <w:r>
        <w:rPr>
          <w:b/>
        </w:rPr>
        <w:t>Original donde está:</w:t>
      </w:r>
      <w:r>
        <w:t xml:space="preserve"> en_1103_gr.html</w:t>
      </w:r>
      <w:r>
        <w:br/>
      </w:r>
      <w:r>
        <w:t>El pasaje literal no está en el archivo de pasajes con este comienzo; la auditoría lo halló en ese original.</w:t>
      </w:r>
      <w:r>
        <w:t>. El verbo de «yerran» es el de errar el blanco (</w:t>
      </w:r>
      <w:r>
        <w:t>3.2</w:t>
      </w:r>
      <w:r>
        <w:t xml:space="preserve">). La costumbre que da la ley forma: para el bien, o para lo contrario. </w:t>
      </w:r>
      <w:r>
        <w:t>[Aristóteles leído en griego (Perseus); aprobado por Kiko el 5-oct]</w:t>
      </w:r>
    </w:p>
    <w:p>
      <w:r>
        <w:rPr>
          <w:b/>
        </w:rPr>
        <w:t>Conclusión, lo que arrojan los datos:</w:t>
      </w:r>
      <w:r>
        <w:t xml:space="preserve"> ninguna de estas piezas, por separado, hace caer el edificio; juntas, impiden que se vea que no se sostiene. La quiebra no se puede declarar, la deuda aplaza el vencimiento, la moneda que pierde valor paga parte de la cuenta, la carga de la prueba recae en quien reclama y las palabras miran al efecto y no a la causa. Por eso ha podido durar más de lo que permitiría la vara que se aplica a cualquier persona o empresa. Y la costumbre lo sostiene: quien nace dentro lo toma por natural. </w:t>
      </w:r>
      <w:r>
        <w:t>[00.2-22.2]</w:t>
      </w:r>
    </w:p>
    <w:p>
      <w:r>
        <w:rPr>
          <w:b/>
        </w:rPr>
        <w:t>Lectura del autor:</w:t>
      </w:r>
      <w:r>
        <w:t xml:space="preserve"> ha vivido más de lo que le tocaba porque toma prestado el tiempo de los que vienen, con la deuda, y el de los que ahorraron, con la moneda que pierde valor. Lo que se sostiene solo en presunciones se disuelve cuando se pide la prueba. «Por sus frutos los conoceréis» (Mt 7:16). </w:t>
      </w:r>
      <w:r>
        <w:t>[00.2-23.1 y 23.2]</w:t>
      </w:r>
    </w:p>
    <w:p>
      <w:pPr>
        <w:pStyle w:val="Heading2"/>
      </w:pPr>
      <w:r>
        <w:t>Límite honesto de la prueba</w:t>
      </w:r>
    </w:p>
    <w:p>
      <w:pPr>
        <w:pStyle w:val="ListBullet"/>
      </w:pPr>
      <w:r>
        <w:rPr>
          <w:b/>
        </w:rPr>
        <w:t>No todo lo que se da por supuesto es falso por igual.</w:t>
      </w:r>
      <w:r>
        <w:t xml:space="preserve"> Unas creencias las contradice la norma («cotizo para mi propia jubilación», frente al reparto). Otras parten de un indicador correcto para lo que mide: la presión fiscal sobre el PIB es el estándar de la OCDE y de Eurostat, y sirve para comparar países; lo engañoso es tomarla como la carga que soporta cada persona. </w:t>
      </w:r>
      <w:r>
        <w:t>[00.1-2.14]</w:t>
      </w:r>
    </w:p>
    <w:p>
      <w:pPr>
        <w:pStyle w:val="ListBullet"/>
      </w:pPr>
      <w:r>
        <w:rPr>
          <w:b/>
        </w:rPr>
        <w:t>Algunas presunciones tienen razón de ser.</w:t>
      </w:r>
      <w:r>
        <w:t xml:space="preserve"> Sin la presunción de validez ninguna administración podría funcionar, y todo acto se puede recurrir. La obra discute la asimetría, no que existan. </w:t>
      </w:r>
      <w:r>
        <w:t>[00.1-9.10]</w:t>
      </w:r>
    </w:p>
    <w:p>
      <w:pPr>
        <w:pStyle w:val="ListBullet"/>
      </w:pPr>
      <w:r>
        <w:rPr>
          <w:b/>
        </w:rPr>
        <w:t>Una sociedad necesita un Estado</w:t>
      </w:r>
      <w:r>
        <w:t xml:space="preserve"> que coordine lo que es de todos: cuestionarlo todo no es negarlo todo. </w:t>
      </w:r>
      <w:r>
        <w:t>[00.2-23.1]</w:t>
      </w:r>
    </w:p>
    <w:p>
      <w:pPr>
        <w:pStyle w:val="ListBullet"/>
      </w:pPr>
      <w:r>
        <w:rPr>
          <w:b/>
        </w:rPr>
        <w:t>La ficción jurídica es estructura, no prueba de fraude.</w:t>
      </w:r>
      <w:r>
        <w:t xml:space="preserve"> Todo orden nuevo, en ese sentido, se funda a sí mismo; y la persona jurídica también sirve a la vida (</w:t>
      </w:r>
      <w:r>
        <w:t>capítulo 4</w:t>
      </w:r>
      <w:r>
        <w:t xml:space="preserve">, «Límite honesto de la prueba»). </w:t>
      </w:r>
      <w:r>
        <w:t>[10.00-10.5]</w:t>
      </w:r>
    </w:p>
    <w:p>
      <w:pPr>
        <w:pStyle w:val="ListBullet"/>
      </w:pPr>
      <w:r>
        <w:rPr>
          <w:b/>
        </w:rPr>
        <w:t>Inscribir el nacimiento protege al niño:</w:t>
      </w:r>
      <w:r>
        <w:t xml:space="preserve"> le da identidad, nacionalidad y acceso a sus derechos desde el primer día. La obra no lo discute; señala que la obligación llega antes que el consentimiento. </w:t>
      </w:r>
      <w:r>
        <w:t>[00.2-9.1]</w:t>
      </w:r>
    </w:p>
    <w:p>
      <w:pPr>
        <w:pStyle w:val="ListBullet"/>
      </w:pPr>
      <w:r>
        <w:rPr>
          <w:b/>
        </w:rPr>
        <w:t>Las pensiones prometidas no son deuda que venza hoy:</w:t>
      </w:r>
      <w:r>
        <w:t xml:space="preserve"> el propio INE advierte que son el valor presente de pagos futuros. </w:t>
      </w:r>
      <w:r>
        <w:t>[00.1-5.6]</w:t>
      </w:r>
    </w:p>
    <w:p>
      <w:pPr>
        <w:pStyle w:val="ListBullet"/>
      </w:pPr>
      <w:r>
        <w:rPr>
          <w:b/>
        </w:rPr>
        <w:t>Fuentes secundarias:</w:t>
      </w:r>
      <w:r>
        <w:t xml:space="preserve"> Searle, Derrida y Putnam se citan por fuente secundaria, porque no hay texto abierto para leerlos.</w:t>
      </w:r>
    </w:p>
    <w:p>
      <w:pPr>
        <w:pStyle w:val="ListBullet"/>
      </w:pPr>
      <w:r>
        <w:rPr>
          <w:b/>
        </w:rPr>
        <w:t>Lo que no entra:</w:t>
      </w:r>
      <w:r>
        <w:t xml:space="preserve"> las ediciones de la Academia entre 1925 y 1992, porque no se han podido consultar; y que «ninguna ley» obligue a explicar las normas en lenguaje llano, que no se ha buscado en todo el ordenamiento (lo leído, arriba). </w:t>
      </w:r>
      <w:r>
        <w:t>[00.1-7.4]</w:t>
      </w:r>
    </w:p>
    <w:p>
      <w:pPr>
        <w:pStyle w:val="Heading2"/>
      </w:pPr>
      <w:r>
        <w:t>Dónde se oye la defensa del Estado</w:t>
      </w:r>
    </w:p>
    <w:p>
      <w:r>
        <w:t>La defensa del Estado frente a este capítulo, y lo que la obra le responde, se oyen en el juicio:</w:t>
      </w:r>
    </w:p>
    <w:p>
      <w:pPr>
        <w:pStyle w:val="ListBullet"/>
      </w:pPr>
      <w:r>
        <w:rPr>
          <w:b/>
        </w:rPr>
        <w:t>cada presunción del edificio es un cargo</w:t>
      </w:r>
      <w:r>
        <w:t xml:space="preserve"> (cargos 1 a 23, en </w:t>
      </w:r>
      <w:r>
        <w:t>11.3</w:t>
      </w:r>
      <w:r>
        <w:t>): allí se oyen la mejor defensa del Estado y los contrapuntos de la obra, presunción por presunción;</w:t>
      </w:r>
    </w:p>
    <w:p>
      <w:pPr>
        <w:pStyle w:val="ListBullet"/>
      </w:pPr>
      <w:r>
        <w:t xml:space="preserve">las de las creencias de </w:t>
      </w:r>
      <w:r>
        <w:t>5.1</w:t>
      </w:r>
      <w:r>
        <w:t xml:space="preserve"> van a esos mismos cargos; y, además, la de la presión fiscal y las cotizaciones, al </w:t>
      </w:r>
      <w:r>
        <w:t>cargo 25</w:t>
      </w:r>
      <w:r>
        <w:t xml:space="preserve"> (la carga), y la del amparo, al </w:t>
      </w:r>
      <w:r>
        <w:t>cargo 24</w:t>
      </w:r>
      <w:r>
        <w:t xml:space="preserve"> (la separación de poderes y los controles);</w:t>
      </w:r>
    </w:p>
    <w:p>
      <w:pPr>
        <w:pStyle w:val="ListBullet"/>
      </w:pPr>
      <w:r>
        <w:t>y, en las cuestiones previas (</w:t>
      </w:r>
      <w:r>
        <w:t>11.2</w:t>
      </w:r>
      <w:r>
        <w:t>), «la persona jurídica es una ficción necesaria» y «el Estado como construcción mental es una tesis ideológica».</w:t>
      </w:r>
    </w:p>
    <w:p>
      <w:r>
        <w:t>[clasificación de las defensas, aprobada; glosario 8.13]</w:t>
      </w:r>
    </w:p>
    <w:p>
      <w:pPr>
        <w:pStyle w:val="Heading2"/>
      </w:pPr>
      <w:r>
        <w:t>Para recordar</w:t>
      </w:r>
    </w:p>
    <w:p>
      <w:pPr>
        <w:pStyle w:val="ListBullet"/>
      </w:pPr>
      <w:r>
        <w:t>Muchas cosas que se dan por supuestas sobre el Estado no las dice ninguna ley: la hucha no guarda, la cotización no ahorra, la transparencia no suma y el derecho a la vivienda no se puede reclamar sin una ley que lo desarrolle.</w:t>
      </w:r>
    </w:p>
    <w:p>
      <w:pPr>
        <w:pStyle w:val="ListBullet"/>
      </w:pPr>
      <w:r>
        <w:t>Hasta las palabras cambian: «inflación» nombraba la emisión excesiva de moneda, y hoy nombra la subida de los precios.</w:t>
      </w:r>
    </w:p>
    <w:p>
      <w:pPr>
        <w:pStyle w:val="ListBullet"/>
      </w:pPr>
      <w:r>
        <w:t>El Estado se sostiene en presunciones que ponen la carga de la prueba en el ciudadano: sus actos se presumen válidos, la palabra de su agente hace prueba y la ignorancia de la ley no excusa.</w:t>
      </w:r>
    </w:p>
    <w:p>
      <w:pPr>
        <w:pStyle w:val="ListBullet"/>
      </w:pPr>
      <w:r>
        <w:t>Frente a cada presunción, la ley de Dios dice otra cosa: el sí se dice, la medida es cabal, lo confiado se devuelve entero y quien administra da cuenta.</w:t>
      </w:r>
    </w:p>
    <w:p>
      <w:pPr>
        <w:pStyle w:val="ListBullet"/>
      </w:pPr>
      <w:r>
        <w:t>El Estado y el derecho son ficciones jurídicas: existen porque se reconocen. No es un vicio mientras se declare; lo que los distingue son sus frutos.</w:t>
      </w:r>
    </w:p>
    <w:p>
      <w:pPr>
        <w:pStyle w:val="ListBullet"/>
      </w:pPr>
      <w:r>
        <w:t>La raíz es la presunción en lugar del consentimiento, y empieza al nacer: un registro y un código en setenta y dos horas, cuando el interesado tiene cero días. Esa es la piedra que sostiene toda la obra: el pueblo no consintió; nació dentro y lo aceptó sin saberlo.</w:t>
      </w:r>
    </w:p>
    <w:p>
      <w:pPr>
        <w:pStyle w:val="ListBullet"/>
      </w:pPr>
      <w:r>
        <w:t>Ha durado porque sus piezas se sostienen unas a otras, y porque quien nace dentro lo toma por natural. Lo que se sostiene solo en presunciones se disuelve cuando se pide la prueba.</w:t>
      </w:r>
    </w:p>
    <w:p>
      <w:pPr>
        <w:pStyle w:val="ListBullet"/>
      </w:pPr>
      <w:r>
        <w:rPr>
          <w:b/>
        </w:rPr>
        <w:t>Lo que aquí se expone que hay que podar (lectura del autor):</w:t>
      </w:r>
      <w:r>
        <w:t xml:space="preserve"> la presunción en el lugar del consentimiento: dar por consentido, desde el nacimiento, lo que el pueblo no consintió, y poner en el ciudadano la carga de la prueba.</w:t>
      </w:r>
    </w:p>
    <w:p>
      <w:pPr>
        <w:pStyle w:val="ListBullet"/>
      </w:pPr>
      <w:r>
        <w:rPr>
          <w:b/>
        </w:rPr>
        <w:t>Lo siguiente:</w:t>
      </w:r>
      <w:r>
        <w:t xml:space="preserve"> cómo se construyó el Estado: con qué ideas se justificó, cómo se proclama a sí mismo y qué frenos se pensaron para que no abuse (</w:t>
      </w:r>
      <w:r>
        <w:t>capítulo 6</w:t>
      </w:r>
      <w:r>
        <w:t>).</w:t>
      </w:r>
    </w:p>
    <w:p>
      <w:r>
        <w:br w:type="page"/>
      </w:r>
    </w:p>
    <w:p>
      <w:pPr>
        <w:pStyle w:val="Heading1"/>
      </w:pPr>
      <w:r>
        <w:t>6 Cómo se construyó el Estado</w:t>
      </w:r>
    </w:p>
    <w:p>
      <w:pPr>
        <w:spacing w:after="200"/>
      </w:pPr>
      <w:r>
        <w:rPr>
          <w:rFonts w:ascii="Segoe UI" w:hAnsi="Segoe UI" w:eastAsia="Segoe UI" w:cs="Segoe UI"/>
          <w:color w:val="6B665E"/>
          <w:sz w:val="17"/>
        </w:rPr>
        <w:t>Primera versión: 5 de octubre de 2026 · Última revisión: 12 de octubre de 2026 · Cambios anotados en el capítulo: 5 · Citas leídas en su fuente: 115</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7 (borrador B16). Ninguna otra palabra cambia. Cambio del 12-oct-2026 (B13, punto 7 en otra forma; decisión de 08.18 sobre la frase que Kiko aprobó en el chat de 08.18, 06:3x: «si»; la vio 10.29): en 6.4, «Cinco tradiciones que no se leyeron entre sí» eran cinco pensadores, y varios se leían (Michels, Pareto y Mosca): «La idea» dice ahora «Cinco pensadores, de Ibn Jaldún en el siglo XIV a Tilly en el XX», y «aparece en tradiciones que no se leyeron entre sí» pasa a «lo describen pensadores de épocas y lugares distintos». Ninguna otra palabra cambia. Cambio del 12-oct-2026 (Kiko, chat de 08.18, 06:3x, pasado por 08.18 tal cual, a «¿das el sí a los nueve cambios de 07.6?»: «si»; borrador B13, el barrido de los cuantificadores vagos en las frases con dato): en la nota de cabecera de 12.00, «gobbledygook» pasa a «gobbledygook» (galimatías), con su traducción: la web enseña esta nota en el nivel completo. Ninguna otra palabra cambia. Cambio del 9-oct-2026 (Kiko: «Sí, manda el agente»; la regla de la obra, 00b §6, no admite la prensa como fuente; fuentes leídas en 07/fuentes/cierre_prensa_cap6): las cuatro afirmaciones que se apoyaban en prensa pasan a fuentes leídas. ETA en 1980: la cifra «95 asesinatos» no sale de ninguna fuente leída; se pone el total del terrorismo del Centro Memorial (132) y los 97 muertos de ETA de la Cronología de la Guardia Civil (Buesa, 2022). Hutt River: la sentencia del Tribunal Supremo de Australia Occidental ([2017] WASC 161), con la cantidad exacta, los condenados y la frase del juez literal. Sanciones electorales: los listados oficiales del Tribunal de Cuentas (2015 y 2019). Derechos ante Europa: el boletín n.º 56 del CGPJ y los cuadros del Tribunal Europeo. Quitados de las fuentes secundarias: El Independiente, Sydney Criminal Lawyers, SBS, Maldita.es y Legal Today. Cambio del 9-oct-2026 (Kiko: «Sí, manda el agente»; la regla de la obra, 00b §6, no admite Wikipedia como fuente): los dos hechos que se apoyaban en Wikipedia pasan a fuentes leídas. La Operación Galaxia, a Muñoz Bolaños (2012), Zugasti (2008) y el Real Decreto 2560/1978 (nivel B: el sumario de la causa no está leído); con los matices de las fuentes: según las declaraciones del sumario, el plan se descubrió el 15 y no se ejecutó, y en la vista oral negaron que se conspirara. La Isla de las Rosas, a Calabrese (2024, una sola fuente académica, nivel C); «demolida» se quita: la Marina intentó derribarla con explosivos y la hundió un temporal. ESTADO: APROBADO por Kiko el 5-oct-2026 («SI A TODO»: el capítulo, las correcciones en la Biblioteca y las novedades). Su material está marcado en el inventario (04 CAPITULOS/marcas/marcas del capitulo 6.txt). Cualquier cambio posterior, con su aprobación. Escrito en tres niveles y con remisiones enlazables. Marcas: {fuente: …} niveles 2 y 3; {original: …} nivel 3; [trazabilidad] nivel 3; {completo} solo nivel 3; {breve} solo niveles 1 y 2. Trazabilidad: al final de cada párrafo o bloque, entre corchetes (se ve en el nivel completo). Reparto (Kiko, 5-oct): las fuentes las localizaron y descargaron dos agentes (140 archivos en c6 y 60 en c6b); Claude leyó cada original y extrajo las citas. Leído hoy en su original: - Pensadores: Hobbes, Leviatán (1651, Gutenberg) y la portada de 1651; De Cive (latín, ed. Molesworth, 1839); Locke, Dos tratados (primera edición, 1690, y Segundo tratado, Gutenberg); Hume, «Of the Original Contract» (davidhume.org); Kant, Gemeinspruch (Academia, VIII, 297); Rousseau, Del contrato social I, 1; I, 7; II, 3 (1762) y Discurso sobre la desigualdad, segunda parte (1755); Malebranche, Aclaración (1681); Montesquieu, Del espíritu de las leyes XI, 3, 4 y 6 (ed. de Nourse); El Federalista, n.º 47; Bodino, Los seis libros de la república (1576 y 1577); Weber, Economía y sociedad (1922); Oppenheimer, Der Staat (1907); Michels (1911); Pareto (1916); Mosca (1923); Ibn Jaldún, Muqaddima (árabe); North, Wallis y Weingast (documento de trabajo NBER, 2006); Murphy (2023, resumen). - Documentos: Bill of Rights (1689); Declaración de Independencia y borrador de Jefferson (1776); Declaración de Virginia (1776); Declaración de 1789, arts. 2, 16 y 17; Constitución francesa de 1793, art. 33; Archives parlementaires, sesión de 29-5-1793; Condorcet, «Aux citoyens français» (Œuvres, t. XII, p. 654, en la imagen); Saint-Just, informes de 8-7-1793 y 10-10-1793 (ed. Vellay); Robespierre, discurso de 2-1-1792; Declaración Universal, preámbulo; Ley Fundamental alemana, art. 20.4; Convención de Montevideo (facsímil de la OEA), arts. 1, 3, 6 y 11; laudo germano-polaco de 1929 (ZaöRV, 1931); Carta de las Naciones Unidas, art. 2.4; Decreto de las Cortes de Cádiz de 6-8-1811 (Gazeta de la Regencia; el art. 14, en la imagen); Diario de Sesiones del Congreso, 31-10-1978. - BOE y tribunales: Constitución, arts. 1.1, 76.1, 113.1, 122.3, 159 y 161.1; LOPJ, art. 567.1; LO 2/1979, art. 16.1; LO 2/1982, arts. 30.1 y 33.2; LO 3/1984, arts. 2 y 3; LO 5/1985 (LOREG), arts. 64, 127 bis, 163.1, 169.3 y 175; LO 6/2002, arts. 10.2 y 11.1; LO 8/2007, arts. 3, 5, 16, 17 y 18; RDL 20/1977, preámbulo; resumen de resultados de 2023 (BOE-A-2023-18907); STC 108/1986, FJ 13; STC 105/2000, voto particular; STC 163/2011; STC 5/2004; TEDH, Soberanía de la Razón c. España (2015, traducción del Ministerio de Justicia); Consejo de Estado, informe de 24-2-2009; Tribunal de Cuentas, partidos, ejercicio 2017 (BOE-A-2024-13379). - Diccionarios: RAE, «contrato»; DPEJ, «legitimidad», «deslegitimación» y «señorío»; Lewis y Short, «auctor» y «augeo». - Biblia: Reina-Valera Antigua; Vulgata, Job 41:24. Corán 18:110 (traducción de Cortés). - Casos de la 00.00, sección 5: Breasted (1906 y 1909); Res Gestae 34; Suetonio, Domiciano 13; rescripto imperial japonés de 1-1-1946 (japonés y FRUS); Valla (Coleman, 1922); Dictatus Papae (Caspar, 1920); Jacobo VI (McIlwain, 1918); Marco Aurelio I, 7 (griego); Sófocles, Edipo rey 873 (griego); Ashoka, edicto XIII (Hultzsch, 1925); Ciro (Finkel); Nidānakathā (Rhys Davids, 1880); Dalai Lama (2011). - Fuente secundaria (se marca en el texto): Straehle (2023); Berlin (1958, borrador E); Cordero y Aldunate (2008); Pita Broncano (2003); Muñoz Bolaños (2012), Zugasti (2008) y Calabrese (2024) para la Operación Galaxia y la Isla de las Rosas; Centro Memorial de las Víctimas del Terrorismo (2020) y Buesa (2022), para las muertes de 1980; Transparencia Internacional España (IPC 2025); Banco Mundial (WGI, edición de 2026). Tilly, solo por el título. Hallado al escribir (corregido en la Biblioteca el 5-oct, libreta 72, punto 139): - 10.00: «bellum omnium contra omnes» y «homo homini lupus» no están en el Leviatán inglés, sino en De Cive, y del lobo Hobbes dice las dos cosas («homo homini deus, et homo homini lupus»), citando un dicho; Locke publicó en 1690, no en 1689; «el mismo delito de gobernar sin ley…» no es literal (lo más cercano, § 201); «appeal to heaven» está en § 242, y el capítulo cierra con § 243; el «buen salvaje» no está en El contrato social; Hume no llama «ficción» al contrato (dice que casi todos los gobiernos se fundaron en la usurpación o la conquista); la Declaración de Independencia dice «just powers» (justos), no «legítimos»; Straehle (2023) rebate que Robespierre sea una mera aplicación de Rousseau (la pieza lo cita como si lo confirmara); la frase de Furet no se ha localizado; Berlin cita una imagen de Heine, y lo decapitado es la vieja tradición metafísica (por la Crítica de Kant), no Luis XVI; «forzado a ser libre» no está en el borrador leído de Berlin; el encargo del 29-5-1793 fue un plan «reducido a los solos artículos que importa hacer irrevocables», no «para organizar los poderes públicos»; el arresto de los diputados se decretó el 2 de junio, no el 1; la Constitución de 1793 se adoptó el 24 de junio y «nunca estuvo en vigor» (nota del editor de Condorcet, 1847); la muerte de Condorcet no se ha leído en fuente; el blog de la UNED sobre el «trágala» no se ha localizado; la composición de la ponencia por partidos y las concesiones de cada bando no constan en la fuente leída (solo «siete diputados»); el Diario de Sesiones da 326 a favor y 13 abstenciones en el cuerpo, y 325 y 14 en el sumario; «48 años» son casi 48. - 12.00: «desde la Paz de Westfalia» no tiene pasaje en el tratado; Hutt River: la condena fue del Tribunal Supremo de Australia Occidental (2017), 2.770.177,63 dólares australianos, no «1,8 millones de libras», ni el Tribunal Superior de Australia, ni «gobbledygook» (galimatías); Isola delle Rose: la frase de «Rosa contro Repubblica Italiana» no se ha localizado. - 13.00: Der Staat es de Oppenheimer solo, 1907 (Gumplowicz solo se cita; Wundt y Wagner no aparecen); el «sindicato del crimen» no está en el texto leído de North, Wallis y Weingast, que fechan el acceso abierto «en los últimos 300 años» y en «unas dos docenas de países»; Kling y Vírgala, sin acceso al texto; LOREG, art. 64: son 10, 15, 30 y 45 minutos, no 10, 20 y 30; STC 163/2011: «excesiva fragmentación» es del Fiscal (antecedentes); el Tribunal habla de «excesiva proliferación de candidaturas»; Maldita.es no nombra a Vox, Babord, Compromís ni Elkarrekin; las «siete de siete» condenas y Pindo Mulla, sin fuente leída; el percentil 71,7 del Banco Mundial no se ha localizado (la edición de 2026 da una puntuación de 63,1 sobre 100 para 2023 y de 61,2 para 2025); la serie histórica de Transparencia Internacional (máximo, mínimo, media) no se ha leído; la LO 3/1984 excluye también las materias tributarias. - 23.00: la frase de Bodino no es literal: dice que el príncipe «no podrá tomar el bien ajeno sin causa justa y razonable» (ed. de 1577); el decreto de 1811 dice «quedan desde ahora en la clase de los demás derechos de propiedad particular» y «nadie podrá llamarse señor de vasallos, exercer jurisdicción, nombrar jueces»; la frase de Weber no es literal (dice que cada dominación procura «despertar y cultivar la creencia en su legitimidad»); el DPEJ SÍ tiene «legitimidad»; la frase de Cordero y Aldunate está en una nota; Castaño, no localizado. Nuevo, aprobado por Kiko el 5-oct (leído en su original): en 6.1, el consentimiento tácito de Locke (§ 119) y la réplica de Hume (el campesino y el barco); Saint-Just, uno de los cinco del 29-5-1793, y su informe de 8-7-1793 contra el «gobierno provisional»; en 6.2, Montevideo, art. 6 (el reconocimiento acepta «la personalidad del otro»), y la palabra japonesa «ficticio» del rescripto de 1946; en 6.3, el decreto de 1811 indemnizó (arts. 8 y 11); en 6.4, la exclusión de las materias tributarias de la iniciativa popular (LO 3/1984, art. 2) y las puntuaciones del Banco Mundial en lugar del percentil. No entra: 00.00-6.8 (Espinosa y Kant, La paz perpetua: va al cargo 22, 11.3); las tres condiciones de la rebelión legítima (10.00-7.3), sin un texto que las fije; Sealand, Liberland y Minerva (solo enciclopedia); los nombres de partidos multados y de personas. Remisiones: Código Civil, art. 1261 (5.1); Kant, la Ilustración (2.4); la ficción declarada, Montaigne y Pascal (5.3); Código Civil de 1889, art. 5, y Alcalá (1.7); Jubileos 11 (4.3); el vasallaje de 1811 (2.2); las cifras del freno (7.4); el 62,1 % (7.4); los mitos del movimiento soberano (2.6; anexo E). Conceptos que ancla: el contrato social (6.1; lo trae el lector); la autoproclamación y la auctoritas (6.2); imperium y dominium (6.3); los órdenes de acceso limitado y abierto (6.4); la separación de poderes y el derecho de resistencia (6.5).</w:t>
      </w:r>
    </w:p>
    <w:p>
      <w:pPr>
        <w:pBdr>
          <w:left w:val="single" w:sz="24" w:space="6" w:color="E2DED6"/>
        </w:pBdr>
        <w:shd w:val="clear" w:color="auto" w:fill="F1EEE8"/>
        <w:spacing w:before="80" w:after="160"/>
        <w:ind w:left="142" w:right="142"/>
      </w:pPr>
      <w:r>
        <w:rPr>
          <w:b/>
        </w:rPr>
        <w:t>En pocas palabras:</w:t>
      </w:r>
    </w:p>
    <w:p>
      <w:pPr>
        <w:pStyle w:val="ListBullet"/>
      </w:pPr>
      <w:r>
        <w:t>El contrato social no es un documento: es una idea para explicar por qué se obedece. Sus propios autores lo dijeron. Kant lo llamó «una mera idea de la razón», y Hume escribió que casi todos los gobiernos nacieron de la usurpación o de la conquista.</w:t>
      </w:r>
    </w:p>
    <w:p>
      <w:pPr>
        <w:pStyle w:val="ListBullet"/>
      </w:pPr>
      <w:r>
        <w:t>Hobbes, Locke y Rousseau rellenaron esa idea de tres maneras que no casan entre sí. Y hay un caso documentado de un poder que tomó de ella lo que lo legitimaba y dejó lo que lo limitaba: Francia, en 1793.</w:t>
      </w:r>
    </w:p>
    <w:p>
      <w:pPr>
        <w:pStyle w:val="ListBullet"/>
      </w:pPr>
      <w:r>
        <w:t>Ningún Estado recibió su autoridad de nadie por encima, y el derecho internacional lo escribe así. Cuando además un poder se declara el único que conoce la voluntad de Dios o el bien común, y deja de admitir corrección, se autoproclama. Ha pasado en Egipto, en Roma, en Japón, en la cristiandad medieval y en la monarquía absoluta.</w:t>
      </w:r>
    </w:p>
    <w:p>
      <w:pPr>
        <w:pStyle w:val="ListBullet"/>
      </w:pPr>
      <w:r>
        <w:t>Gobernar y poseer se separaron por ley en España en 1811. Y desde el siglo XVI, ni el poder más absoluto podía tomar el bien ajeno sin causa justa.</w:t>
      </w:r>
    </w:p>
    <w:p>
      <w:pPr>
        <w:pStyle w:val="ListBullet"/>
      </w:pPr>
      <w:r>
        <w:t>En España, el acceso al poder es mixto: hay sanciones, tribunales y partidos nuevos; y los controladores los eligen los controlados, hay barreras de entrada, y la iniciativa popular no puede tocar la ley electoral ni los impuestos.</w:t>
      </w:r>
    </w:p>
    <w:p>
      <w:pPr>
        <w:pStyle w:val="ListBullet"/>
      </w:pPr>
      <w:r>
        <w:t>El freno que pensó Montesquieu es «que el poder frene al poder». El último recurso, la rebelión, lo nombra la Declaración Universal para que no haga falta. La obra no lo propone: su vía es la constancia escrita.</w:t>
      </w:r>
    </w:p>
    <w:p>
      <w:pPr>
        <w:pStyle w:val="Heading2"/>
      </w:pPr>
      <w:r>
        <w:t>6.0 Propósito</w:t>
      </w:r>
    </w:p>
    <w:p>
      <w:r>
        <w:t xml:space="preserve">El </w:t>
      </w:r>
      <w:r>
        <w:t>capítulo 5</w:t>
      </w:r>
      <w:r>
        <w:t xml:space="preserve"> mostró que el Estado es una ficción jurídica, que existe porque se reconoce, y que en su raíz la presunción ocupa el lugar del consentimiento (</w:t>
      </w:r>
      <w:r>
        <w:t>5.3</w:t>
      </w:r>
      <w:r>
        <w:t xml:space="preserve"> y </w:t>
      </w:r>
      <w:r>
        <w:t>5.4</w:t>
      </w:r>
      <w:r>
        <w:t>). Este capítulo mira cómo se construyó: con qué ideas se justificó, cómo se proclama a sí mismo, cómo se separaron gobernar y poseer, cómo se llega hoy al poder en España y qué frenos se pensaron para que no abuse.</w:t>
      </w:r>
    </w:p>
    <w:p>
      <w:r>
        <w:rPr>
          <w:b/>
        </w:rPr>
        <w:t>Cómo se lee.</w:t>
      </w:r>
      <w:r>
        <w:t xml:space="preserve"> Las ideas de los pensadores van con su texto original y su traducción; los hechos, con su documento. Donde solo hay fuente secundaria, se dice. Y se dicen también los hechos que no encajan con la dirección que marcan los demás.</w:t>
      </w:r>
    </w:p>
    <w:p>
      <w:r>
        <w:rPr>
          <w:b/>
        </w:rPr>
        <w:t>Lo que este capítulo no hace.</w:t>
      </w:r>
      <w:r>
        <w:t xml:space="preserve"> No dice que el Estado sea ilegítimo por haberse fundado a sí mismo: todo orden nuevo se funda así (</w:t>
      </w:r>
      <w:r>
        <w:t>5.3</w:t>
      </w:r>
      <w:r>
        <w:t>). Tampoco propone separarse del Estado ni desobedecer (</w:t>
      </w:r>
      <w:r>
        <w:t>0.2</w:t>
      </w:r>
      <w:r>
        <w:t xml:space="preserve">; </w:t>
      </w:r>
      <w:r>
        <w:t>2.6</w:t>
      </w:r>
      <w:r>
        <w:t>). Estudia el mecanismo para poder pedir la prueba.</w:t>
      </w:r>
    </w:p>
    <w:p>
      <w:r>
        <w:t>Este capítulo dice:</w:t>
      </w:r>
    </w:p>
    <w:p>
      <w:pPr>
        <w:pStyle w:val="ListBullet"/>
      </w:pPr>
      <w:r>
        <w:rPr>
          <w:b/>
        </w:rPr>
        <w:t>6.1</w:t>
      </w:r>
      <w:r>
        <w:t xml:space="preserve"> qué es el contrato social, quién lo pensó y qué se hizo con él;</w:t>
      </w:r>
    </w:p>
    <w:p>
      <w:pPr>
        <w:pStyle w:val="ListBullet"/>
      </w:pPr>
      <w:r>
        <w:rPr>
          <w:b/>
        </w:rPr>
        <w:t>6.2</w:t>
      </w:r>
      <w:r>
        <w:t xml:space="preserve"> cómo se autoproclama un Estado, y qué distingue al que gobierna como aprendiz;</w:t>
      </w:r>
    </w:p>
    <w:p>
      <w:pPr>
        <w:pStyle w:val="ListBullet"/>
      </w:pPr>
      <w:r>
        <w:rPr>
          <w:b/>
        </w:rPr>
        <w:t>6.3</w:t>
      </w:r>
      <w:r>
        <w:t xml:space="preserve"> cómo se separaron el poder de gobernar y el derecho a poseer;</w:t>
      </w:r>
    </w:p>
    <w:p>
      <w:pPr>
        <w:pStyle w:val="ListBullet"/>
      </w:pPr>
      <w:r>
        <w:rPr>
          <w:b/>
        </w:rPr>
        <w:t>6.4</w:t>
      </w:r>
      <w:r>
        <w:t xml:space="preserve"> cómo se llega al poder, según cinco pensadores y siete casos españoles;</w:t>
      </w:r>
    </w:p>
    <w:p>
      <w:pPr>
        <w:pStyle w:val="ListBullet"/>
      </w:pPr>
      <w:r>
        <w:rPr>
          <w:b/>
        </w:rPr>
        <w:t>6.5</w:t>
      </w:r>
      <w:r>
        <w:t xml:space="preserve"> y los frenos: la separación de poderes y el derecho de resistencia.</w:t>
      </w:r>
    </w:p>
    <w:p>
      <w:pPr>
        <w:pStyle w:val="Heading2"/>
      </w:pPr>
      <w:r>
        <w:t>6.1 El contrato que nadie firmó</w:t>
      </w:r>
    </w:p>
    <w:p>
      <w:pPr>
        <w:pBdr>
          <w:left w:val="single" w:sz="24" w:space="6" w:color="E2DED6"/>
        </w:pBdr>
        <w:shd w:val="clear" w:color="auto" w:fill="F1EEE8"/>
        <w:spacing w:before="80" w:after="160"/>
        <w:ind w:left="142" w:right="142"/>
      </w:pPr>
      <w:r>
        <w:rPr>
          <w:b/>
        </w:rPr>
        <w:t>La idea: el contrato social no es un documento, sino una idea para explicar por qué se obedece. Sus autores la presentaron así, y el poder tomó de ella lo que le servía.</w:t>
      </w:r>
    </w:p>
    <w:p>
      <w:r>
        <w:rPr>
          <w:b/>
        </w:rPr>
        <w:t>Qué es un contrato.</w:t>
      </w:r>
      <w:r>
        <w:t xml:space="preserve"> Un «pacto o convenio, oral o escrito, entre partes que se obligan sobre materia o cosa determinada, y a cuyo cumplimiento pueden ser compelidas»</w:t>
      </w:r>
      <w:r>
        <w:t xml:space="preserve"> (Real Academia Española, Diccionario de la lengua española, «contrato»)</w:t>
      </w:r>
      <w:r>
        <w:br/>
      </w:r>
      <w:r>
        <w:rPr>
          <w:b/>
        </w:rPr>
        <w:t>leída en su fuente · Real Academia Española, Diccionario de la lengua española, «contrato»</w:t>
      </w:r>
      <w:r>
        <w:br/>
      </w:r>
      <w:r>
        <w:rPr>
          <w:b/>
        </w:rPr>
        <w:t>Archivo leído:</w:t>
      </w:r>
      <w:r>
        <w:t xml:space="preserve"> 10.00_RAE_DLE_contrato.html (c6\10.00_RAE_DLE_contrato.html) · contraste del archivo de pasajes: ✔</w:t>
      </w:r>
      <w:r>
        <w:br/>
      </w:r>
      <w:r>
        <w:rPr>
          <w:b/>
        </w:rPr>
        <w:t>Lugar:</w:t>
      </w:r>
      <w:r>
        <w:t xml:space="preserve"> Etimología</w:t>
      </w:r>
      <w:r>
        <w:br/>
      </w:r>
      <w:r>
        <w:rPr>
          <w:b/>
        </w:rPr>
        <w:t>Dirección:</w:t>
      </w:r>
      <w:r>
        <w:t xml:space="preserve"> </w:t>
      </w:r>
      <w:r>
        <w:t>https://dle.rae.es/contrato</w:t>
      </w:r>
      <w:r>
        <w:br/>
      </w:r>
      <w:r>
        <w:rPr>
          <w:b/>
        </w:rPr>
        <w:t>Tal como está en la fuente:</w:t>
      </w:r>
      <w:r>
        <w:t xml:space="preserve"> Pacto o convenio, oral o escrito, entre partes que se obligan sobre materia o cosa determinada, y a cuyo cumplimiento pueden ser compelidas.</w:t>
      </w:r>
      <w:r>
        <w:t xml:space="preserve">. Y sin consentimiento, objeto y causa no hay contrato (Código Civil, art. 1261; </w:t>
      </w:r>
      <w:r>
        <w:t>5.1</w:t>
      </w:r>
      <w:r>
        <w:t xml:space="preserve">, n.º 13). </w:t>
      </w:r>
      <w:r>
        <w:t>[10.00-2.1, 2.2 y 2.4]</w:t>
      </w:r>
    </w:p>
    <w:p>
      <w:r>
        <w:rPr>
          <w:b/>
        </w:rPr>
        <w:t>El contrato social.</w:t>
      </w:r>
      <w:r>
        <w:t xml:space="preserve"> Desde aquí, la edición llama así a una idea, no a un documento: los seres humanos, en un estado anterior a la sociedad organizada (el «estado de naturaleza»), ceden parte de su libertad a una autoridad común, y esa autoridad, a cambio, protege su vida, su libertad y sus bienes. Es un pacto supuesto, no un hecho con fecha. Toma prestada la forma del contrato, consentimiento, objeto y causa, para explicar algo que, en sentido estricto, no es un contrato. </w:t>
      </w:r>
      <w:r>
        <w:t>[10.00-2.3 y 3.1]</w:t>
      </w:r>
    </w:p>
    <w:p>
      <w:r>
        <w:t xml:space="preserve">Sirvió para dos cosas. Justificó el poder sin apelar al derecho divino de los reyes. Y dejó una consecuencia: si el poder nace de un pacto, se puede retirar cuando el pacto se rompe. </w:t>
      </w:r>
      <w:r>
        <w:t>[10.00-3.2]</w:t>
      </w:r>
    </w:p>
    <w:p>
      <w:pPr>
        <w:pStyle w:val="Heading3"/>
      </w:pPr>
      <w:r>
        <w:t>Tres maneras de rellenar la misma idea</w:t>
      </w:r>
    </w:p>
    <w:p>
      <w:r>
        <w:t xml:space="preserve">Los tres autores parten del mismo problema, por qué obedecer, y llegan a soluciones que no casan entre sí, según cómo imaginaron el punto de partida. </w:t>
      </w:r>
      <w:r>
        <w:t>[10.00-3.1 y 13.5]</w:t>
      </w:r>
    </w:p>
    <w:p>
      <w:r>
        <w:rPr>
          <w:b/>
        </w:rPr>
        <w:t>Hobbes (1651): el miedo.</w:t>
      </w:r>
      <w:r>
        <w:t xml:space="preserve"> Sin un poder común que los mantenga a raya, los hombres están en guerra, «una guerra de cada hombre contra cada hombre»</w:t>
      </w:r>
      <w:r>
        <w:t xml:space="preserve"> [original: «such a warre, as is of every man, against every man»]</w:t>
      </w:r>
      <w:r>
        <w:t>, y la vida del hombre es «solitaria, pobre, desagradable, brutal y corta»</w:t>
      </w:r>
      <w:r>
        <w:t xml:space="preserve"> [original: «solitary, poore, nasty, brutish, and short»]</w:t>
      </w:r>
      <w:r>
        <w:t xml:space="preserve"> (Hobbes, Leviatán, cap. XIII)</w:t>
      </w:r>
      <w:r>
        <w:br/>
      </w:r>
      <w:r>
        <w:rPr>
          <w:b/>
        </w:rPr>
        <w:t>leída en su fuente · Hobbes, Leviatán, cap. XIII</w:t>
      </w:r>
      <w:r>
        <w:br/>
      </w:r>
      <w:r>
        <w:rPr>
          <w:b/>
        </w:rPr>
        <w:t>Archivo leído:</w:t>
      </w:r>
      <w:r>
        <w:t xml:space="preserve"> 10.00_Hobbes_Leviathan_1651_Gutenberg_3207.txt (c6\10.00_Hobbes_Leviathan_1651_Gutenberg_3207.txt) · contraste del archivo de pasajes: ✔</w:t>
      </w:r>
      <w:r>
        <w:br/>
      </w:r>
      <w:r>
        <w:rPr>
          <w:b/>
        </w:rPr>
        <w:t>Lugar:</w:t>
      </w:r>
      <w:r>
        <w:t xml:space="preserve"> Cap. XIII (l. 4040-4044)</w:t>
      </w:r>
      <w:r>
        <w:br/>
      </w:r>
      <w:r>
        <w:rPr>
          <w:b/>
        </w:rPr>
        <w:t>Dirección:</w:t>
      </w:r>
      <w:r>
        <w:t xml:space="preserve"> </w:t>
      </w:r>
      <w:r>
        <w:t>https://www.gutenberg.org/ebooks/3207</w:t>
      </w:r>
      <w:r>
        <w:br/>
      </w:r>
      <w:r>
        <w:rPr>
          <w:b/>
        </w:rPr>
        <w:t>Tal como está en la fuente:</w:t>
      </w:r>
      <w:r>
        <w:t xml:space="preserve"> no Arts; no Letters; no Society; and which is worst of all, continuall feare, and danger of violent death; And the life of man, solitary, poore, nasty, brutish, and short.</w:t>
      </w:r>
      <w:r>
        <w:t>.</w:t>
      </w:r>
    </w:p>
    <w:p>
      <w:pPr>
        <w:pStyle w:val="ListBullet"/>
      </w:pPr>
      <w:r>
        <w:rPr>
          <w:b/>
        </w:rPr>
        <w:t>El pacto.</w:t>
      </w:r>
      <w:r>
        <w:t xml:space="preserve"> Se hace «por pacto de cada hombre con cada hombre»</w:t>
      </w:r>
      <w:r>
        <w:t xml:space="preserve"> [original: «by Covenant of every man with every man»]</w:t>
      </w:r>
      <w:r>
        <w:t xml:space="preserve"> (cap. XVII)</w:t>
      </w:r>
      <w:r>
        <w:br/>
      </w:r>
      <w:r>
        <w:rPr>
          <w:b/>
        </w:rPr>
        <w:t>leída en su fuente · cap. XVII</w:t>
      </w:r>
      <w:r>
        <w:br/>
      </w:r>
      <w:r>
        <w:rPr>
          <w:b/>
        </w:rPr>
        <w:t>Archivo leído:</w:t>
      </w:r>
      <w:r>
        <w:t xml:space="preserve"> 10.00_Hobbes_Leviathan_1651_Gutenberg_3207.txt (c6\10.00_Hobbes_Leviathan_1651_Gutenberg_3207.txt) · contraste del archivo de pasajes: ✔</w:t>
      </w:r>
      <w:r>
        <w:br/>
      </w:r>
      <w:r>
        <w:rPr>
          <w:b/>
        </w:rPr>
        <w:t>Lugar:</w:t>
      </w:r>
      <w:r>
        <w:t xml:space="preserve"> Cap. XVII</w:t>
      </w:r>
      <w:r>
        <w:br/>
      </w:r>
      <w:r>
        <w:rPr>
          <w:b/>
        </w:rPr>
        <w:t>Dirección:</w:t>
      </w:r>
      <w:r>
        <w:t xml:space="preserve"> </w:t>
      </w:r>
      <w:r>
        <w:t>https://www.gutenberg.org/ebooks/3207</w:t>
      </w:r>
      <w:r>
        <w:br/>
      </w:r>
      <w:r>
        <w:rPr>
          <w:b/>
        </w:rPr>
        <w:t>Tal como está en la fuente:</w:t>
      </w:r>
      <w:r>
        <w:t xml:space="preserve"> made by Covenant of every man with every man, in such manner, as if every man should say to every man</w:t>
      </w:r>
      <w:r>
        <w:t>, y todos entregan su derecho a un tercero que no forma parte de él. Por eso el soberano no puede incumplirlo: el poder se le da «por pacto solo de unos con otros, y no de él con ninguno de ellos», y así «no puede haber incumplimiento del pacto por parte del soberano»</w:t>
      </w:r>
      <w:r>
        <w:t xml:space="preserve"> [original: «by Covenant onely of one to another, and not of him to any of them; there can happen no breach of Covenant on the part of the Soveraigne»]</w:t>
      </w:r>
      <w:r>
        <w:t xml:space="preserve"> (cap. XVIII)</w:t>
      </w:r>
      <w:r>
        <w:br/>
      </w:r>
      <w:r>
        <w:rPr>
          <w:b/>
        </w:rPr>
        <w:t>leída en su fuente · cap. XVIII</w:t>
      </w:r>
      <w:r>
        <w:br/>
      </w:r>
      <w:r>
        <w:rPr>
          <w:b/>
        </w:rPr>
        <w:t>Archivo leído:</w:t>
      </w:r>
      <w:r>
        <w:t xml:space="preserve"> 10.00_Hobbes_Leviathan_1651_Gutenberg_3207.txt (c6\10.00_Hobbes_Leviathan_1651_Gutenberg_3207.txt) · contraste del archivo de pasajes: ✔</w:t>
      </w:r>
      <w:r>
        <w:br/>
      </w:r>
      <w:r>
        <w:rPr>
          <w:b/>
        </w:rPr>
        <w:t>Lugar:</w:t>
      </w:r>
      <w:r>
        <w:t xml:space="preserve"> Cap. XVII</w:t>
      </w:r>
      <w:r>
        <w:br/>
      </w:r>
      <w:r>
        <w:rPr>
          <w:b/>
        </w:rPr>
        <w:t>Dirección:</w:t>
      </w:r>
      <w:r>
        <w:t xml:space="preserve"> </w:t>
      </w:r>
      <w:r>
        <w:t>https://www.gutenberg.org/ebooks/3207</w:t>
      </w:r>
      <w:r>
        <w:br/>
      </w:r>
      <w:r>
        <w:rPr>
          <w:b/>
        </w:rPr>
        <w:t>Tal como está en la fuente:</w:t>
      </w:r>
      <w:r>
        <w:t xml:space="preserve"> Secondly, Because the Right of bearing the Person of them all, is given to him they make Soveraigne, by Covenant onely of one to another, and not of him to any of them; there can happen no breach of Covenant on the part of the Soveraigne</w:t>
      </w:r>
      <w:r>
        <w:t>. Es lo que, en Hobbes, cierra la puerta al derecho de resistencia.</w:t>
      </w:r>
    </w:p>
    <w:p>
      <w:pPr>
        <w:pStyle w:val="ListBullet"/>
      </w:pPr>
      <w:r>
        <w:rPr>
          <w:b/>
        </w:rPr>
        <w:t>El resultado.</w:t>
      </w:r>
      <w:r>
        <w:t xml:space="preserve"> Lo llama «ese gran LEVIATÁN, o más bien (por hablar con más reverencia) ese Dios mortal, al que debemos, bajo el Dios inmortal, nuestra paz y nuestra defensa»</w:t>
      </w:r>
      <w:r>
        <w:t xml:space="preserve"> [original: «that great LEVIATHAN, or rather (to speake more reverently) of that Mortall God, to which wee owe under the Immortall God, our peace and defence»]</w:t>
      </w:r>
      <w:r>
        <w:t xml:space="preserve"> (cap. XVII)</w:t>
      </w:r>
      <w:r>
        <w:br/>
      </w:r>
      <w:r>
        <w:rPr>
          <w:b/>
        </w:rPr>
        <w:t>leída en su fuente · cap. XVII</w:t>
      </w:r>
      <w:r>
        <w:br/>
      </w:r>
      <w:r>
        <w:rPr>
          <w:b/>
        </w:rPr>
        <w:t>Archivo leído:</w:t>
      </w:r>
      <w:r>
        <w:t xml:space="preserve"> 10.00_Hobbes_Leviathan_1651_Gutenberg_3207.txt (c6\10.00_Hobbes_Leviathan_1651_Gutenberg_3207.txt) · contraste del archivo de pasajes: ✔</w:t>
      </w:r>
      <w:r>
        <w:br/>
      </w:r>
      <w:r>
        <w:rPr>
          <w:b/>
        </w:rPr>
        <w:t>Lugar:</w:t>
      </w:r>
      <w:r>
        <w:t xml:space="preserve"> Cap. XVII</w:t>
      </w:r>
      <w:r>
        <w:br/>
      </w:r>
      <w:r>
        <w:rPr>
          <w:b/>
        </w:rPr>
        <w:t>Dirección:</w:t>
      </w:r>
      <w:r>
        <w:t xml:space="preserve"> </w:t>
      </w:r>
      <w:r>
        <w:t>https://www.gutenberg.org/ebooks/3207</w:t>
      </w:r>
      <w:r>
        <w:br/>
      </w:r>
      <w:r>
        <w:rPr>
          <w:b/>
        </w:rPr>
        <w:t>Tal como está en la fuente:</w:t>
      </w:r>
      <w:r>
        <w:t xml:space="preserve"> This is the Generation of that great LEVIATHAN, or rather (to speake more reverently) of that Mortall God, to which wee owe under the Immortall God, our peace and defence.</w:t>
      </w:r>
      <w:r>
        <w:t>. Desde la primera página lo había definido como «un hombre artificial»</w:t>
      </w:r>
      <w:r>
        <w:t xml:space="preserve"> [original: «an Artificiall Man»]</w:t>
      </w:r>
      <w:r>
        <w:t xml:space="preserve"> (Introducción)</w:t>
      </w:r>
      <w:r>
        <w:t>.</w:t>
      </w:r>
    </w:p>
    <w:p>
      <w:pPr>
        <w:pStyle w:val="ListBullet"/>
      </w:pPr>
      <w:r>
        <w:rPr>
          <w:b/>
        </w:rPr>
        <w:t>El nombre.</w:t>
      </w:r>
      <w:r>
        <w:t xml:space="preserve"> Viene del monstruo del libro de Job. La portada de 1651 muestra un gigante coronado cuyo cuerpo está hecho con los cuerpos de sus súbditos, y encima, el versículo en latín: «no hay poder sobre la tierra que se le compare»</w:t>
      </w:r>
      <w:r>
        <w:t xml:space="preserve"> [original: «Non est potestas Super Terram quæ Comparetur ei. Iob. 41. 24»]</w:t>
      </w:r>
      <w:r>
        <w:t xml:space="preserve"> (portada de la primera edición, Londres, 1651)</w:t>
      </w:r>
      <w:r>
        <w:br/>
      </w:r>
      <w:r>
        <w:rPr>
          <w:b/>
        </w:rPr>
        <w:t>pasaje guardado · portada de la primera edición, Londres, 1651</w:t>
      </w:r>
      <w:r>
        <w:br/>
      </w:r>
      <w:r>
        <w:rPr>
          <w:b/>
        </w:rPr>
        <w:t>Archivo leído:</w:t>
      </w:r>
      <w:r>
        <w:t xml:space="preserve"> 10.00_Hobbes_Leviathan_1651_frontispicio_Wikimedia_Commons.jpg (flecos\01.00-6.4_Vazquez_Commentarii_in_I-II_1606_salamanca-school.txt) · contraste del archivo de pasajes: parcial</w:t>
      </w:r>
      <w:r>
        <w:br/>
      </w:r>
      <w:r>
        <w:rPr>
          <w:b/>
        </w:rPr>
        <w:t>Lugar:</w:t>
      </w:r>
      <w:r>
        <w:t xml:space="preserve"> Franja superior del grabado (leída en la imagen)</w:t>
      </w:r>
      <w:r>
        <w:br/>
      </w:r>
      <w:r>
        <w:rPr>
          <w:b/>
        </w:rPr>
        <w:t>Dirección:</w:t>
      </w:r>
      <w:r>
        <w:t xml:space="preserve"> </w:t>
      </w:r>
      <w:r>
        <w:t>https://commons.wikimedia.org/wiki/File:Leviathan_by_Thomas_Hobbes.jpg</w:t>
      </w:r>
      <w:r>
        <w:t xml:space="preserve"> (el archivo servido es Leviathan_frontispiece_cropped_British_Library.jpg)</w:t>
      </w:r>
      <w:r>
        <w:br/>
      </w:r>
      <w:r>
        <w:rPr>
          <w:b/>
        </w:rPr>
        <w:t>Tal como está en la fuente:</w:t>
      </w:r>
      <w:r>
        <w:t xml:space="preserve"> Non est potestas Super Terram quæ Comparetur ei Iob. 41. 24.</w:t>
      </w:r>
      <w:r>
        <w:t>. La Vulgata lo dice con otro orden: «non est super terram potestas quae conparetur ei» (Job 41:24).</w:t>
      </w:r>
    </w:p>
    <w:p>
      <w:pPr>
        <w:pStyle w:val="ListBullet"/>
      </w:pPr>
      <w:r>
        <w:rPr>
          <w:b/>
        </w:rPr>
        <w:t>El lobo.</w:t>
      </w:r>
      <w:r>
        <w:t xml:space="preserve"> Las dos fórmulas latinas que se le atribuyen no están en el Leviatán inglés, sino en De Cive. Allí escribe que la condición de los hombres fuera de la sociedad civil no es otra que «la guerra de todos contra todos»</w:t>
      </w:r>
      <w:r>
        <w:t xml:space="preserve"> [original: «bellum omnium contra omnes»]</w:t>
      </w:r>
      <w:r>
        <w:t xml:space="preserve"> (Hobbes, De Cive, prefacio)</w:t>
      </w:r>
      <w:r>
        <w:br/>
      </w:r>
      <w:r>
        <w:rPr>
          <w:b/>
        </w:rPr>
        <w:t>pasaje guardado · Hobbes, De Cive, prefacio</w:t>
      </w:r>
      <w:r>
        <w:br/>
      </w:r>
      <w:r>
        <w:rPr>
          <w:b/>
        </w:rPr>
        <w:t>Archivo leído:</w:t>
      </w:r>
      <w:r>
        <w:t xml:space="preserve"> 10.00_Hobbes_Opera_Latina_Molesworth_vol2_De_Cive_1839_djvu.txt (c6\10.00_Hobbes_Opera_Latina_Molesworth_vol2_De_Cive_1839_djvu.txt) · contraste del archivo de pasajes: ✔</w:t>
      </w:r>
      <w:r>
        <w:br/>
      </w:r>
      <w:r>
        <w:rPr>
          <w:b/>
        </w:rPr>
        <w:t>Lugar:</w:t>
      </w:r>
      <w:r>
        <w:t xml:space="preserve"> *Epistola dedicatoria* (p. 135-136), l. 6315</w:t>
      </w:r>
      <w:r>
        <w:br/>
      </w:r>
      <w:r>
        <w:rPr>
          <w:b/>
        </w:rPr>
        <w:t>Dirección:</w:t>
      </w:r>
      <w:r>
        <w:t xml:space="preserve"> </w:t>
      </w:r>
      <w:r>
        <w:t>https://archive.org/details/operaphilosophic02hobbuoft</w:t>
      </w:r>
      <w:r>
        <w:br/>
      </w:r>
      <w:r>
        <w:rPr>
          <w:b/>
        </w:rPr>
        <w:t>Tal como está en la fuente:</w:t>
      </w:r>
      <w:r>
        <w:t xml:space="preserve"> …statum naturse, aliam non esse quam bellum omnium contraomnes</w:t>
      </w:r>
      <w:r>
        <w:br/>
      </w:r>
      <w:r>
        <w:rPr>
          <w:b/>
        </w:rPr>
        <w:t>Traducción guardada:</w:t>
      </w:r>
      <w:r>
        <w:t xml:space="preserve"> OCR</w:t>
      </w:r>
      <w:r>
        <w:t>. Y del lobo dice algo distinto de lo que se cuenta: «en verdad se han dicho las dos cosas: el hombre es un dios para el hombre, y el hombre es un lobo para el hombre. Lo primero, si se compara a los conciudadanos entre sí; lo segundo, si se compara a las ciudades»</w:t>
      </w:r>
      <w:r>
        <w:t xml:space="preserve"> [original: «Profecto utrumque vere dictum est, homo homini deus, et homo homini lupus. Illud, si concives inter se; hoc, si civitates comparemus»]</w:t>
      </w:r>
      <w:r>
        <w:t xml:space="preserve"> (De Cive, epístola dedicatoria)</w:t>
      </w:r>
      <w:r>
        <w:br/>
      </w:r>
      <w:r>
        <w:rPr>
          <w:b/>
        </w:rPr>
        <w:t>pasaje guardado · De Cive, epístola dedicatoria</w:t>
      </w:r>
      <w:r>
        <w:br/>
      </w:r>
      <w:r>
        <w:rPr>
          <w:b/>
        </w:rPr>
        <w:t>Archivo leído:</w:t>
      </w:r>
      <w:r>
        <w:t xml:space="preserve"> 10.00_Hobbes_Opera_Latina_Molesworth_vol2_De_Cive_1839_djvu.txt (c6\10.00_Hobbes_Opera_Latina_Molesworth_vol2_De_Cive_1839_djvu.txt) · contraste del archivo de pasajes: parcial</w:t>
      </w:r>
      <w:r>
        <w:br/>
      </w:r>
      <w:r>
        <w:rPr>
          <w:b/>
        </w:rPr>
        <w:t>Lugar:</w:t>
      </w:r>
      <w:r>
        <w:t xml:space="preserve"> De Cive, epístola dedicatoria</w:t>
      </w:r>
      <w:r>
        <w:br/>
      </w:r>
      <w:r>
        <w:rPr>
          <w:b/>
        </w:rPr>
        <w:t>Tal como está en la fuente:</w:t>
      </w:r>
      <w:r>
        <w:t xml:space="preserve"> Profecto utrumque vere dictum est, homo homini deus, et homo homini lupus. Illud, si concives inter se; hoc, si civitates comparemus</w:t>
      </w:r>
      <w:r>
        <w:t>. No es una fórmula suya: cita un dicho, y lo empareja con su contrario.</w:t>
      </w:r>
    </w:p>
    <w:p>
      <w:r>
        <w:t>[10.00-4.1, 13.1 a 13.4 y 13.6; 04.00-4.2; Hobbes leído en inglés (Gutenberg) y en latín (ed. Molesworth, 1839); portada de 1651]</w:t>
      </w:r>
    </w:p>
    <w:p>
      <w:r>
        <w:rPr>
          <w:b/>
        </w:rPr>
        <w:t>Locke (1690): los derechos que ya existían.</w:t>
      </w:r>
      <w:r>
        <w:t xml:space="preserve"> Para Locke, el estado de naturaleza no es una guerra: en él ya hay derechos naturales, la vida, la libertad y la propiedad, pero falta un juez imparcial que los haga respetar. El pacto se hace para protegerlos, no para crearlos, y el gobierno queda limitado por esa misma finalidad: si los viola, el pueblo recobra el derecho a resistirle (</w:t>
      </w:r>
      <w:r>
        <w:t>6.5</w:t>
      </w:r>
      <w:r>
        <w:t xml:space="preserve">). Por qué la propiedad es para él un derecho natural se ve en </w:t>
      </w:r>
      <w:r>
        <w:t>6.3</w:t>
      </w:r>
      <w:r>
        <w:t xml:space="preserve">. </w:t>
      </w:r>
      <w:r>
        <w:t>[10.00-4.2 y 9.1]</w:t>
      </w:r>
    </w:p>
    <w:p>
      <w:r>
        <w:t>La primera edición es de 1690, y su prefacio dice para qué se publica: para asentar «el trono de nuestro gran Restaurador, nuestro actual rey Guillermo; para hacer bueno su título en el consentimiento del pueblo»</w:t>
      </w:r>
      <w:r>
        <w:t xml:space="preserve"> [original: «to establish the Throne of our great Restorer, Our present King William; to make good his Title, in the Consent of the People»]</w:t>
      </w:r>
      <w:r>
        <w:t xml:space="preserve"> (Locke, Two Treatises of Government (Dos tratados sobre el gobierno), Londres, 1690, prefacio)</w:t>
      </w:r>
      <w:r>
        <w:br/>
      </w:r>
      <w:r>
        <w:rPr>
          <w:b/>
        </w:rPr>
        <w:t>leída en su fuente · Locke, Two Treatises of Government (Dos tratados sobre el gobierno), Londres, 1690, prefac</w:t>
      </w:r>
      <w:r>
        <w:br/>
      </w:r>
      <w:r>
        <w:rPr>
          <w:b/>
        </w:rPr>
        <w:t>Archivo leído:</w:t>
      </w:r>
      <w:r>
        <w:t xml:space="preserve"> 10.00_Locke_Second_Treatise_Gutenberg_7370.txt (c6\10.00_Locke_Second_Treatise_Gutenberg_7370.txt) · contraste del archivo de pasajes: ✔</w:t>
      </w:r>
      <w:r>
        <w:br/>
      </w:r>
      <w:r>
        <w:rPr>
          <w:b/>
        </w:rPr>
        <w:t>Lugar:</w:t>
      </w:r>
      <w:r>
        <w:t xml:space="preserve"> Locke, Two Treatises of Government (Dos tratados sobre el gobierno), Londres, 1690, prefacio</w:t>
      </w:r>
      <w:r>
        <w:br/>
      </w:r>
      <w:r>
        <w:rPr>
          <w:b/>
        </w:rPr>
        <w:t>Tal como está en la fuente:</w:t>
      </w:r>
      <w:r>
        <w:t xml:space="preserve"> to establish the Throne of our great Restorer, Our present King William; to make good his Title, in the Consent of the People</w:t>
      </w:r>
      <w:r>
        <w:t xml:space="preserve">. </w:t>
      </w:r>
      <w:r>
        <w:t>[10.00-4.4 y 6.1; primera edición leída en Internet Archive]</w:t>
      </w:r>
    </w:p>
    <w:p>
      <w:r>
        <w:rPr>
          <w:b/>
        </w:rPr>
        <w:t>Rousseau (1762): la voluntad general.</w:t>
      </w:r>
      <w:r>
        <w:t xml:space="preserve"> «El hombre ha nacido libre, y en todas partes está encadenado»</w:t>
      </w:r>
      <w:r>
        <w:t xml:space="preserve"> [original: «L'homme est né libre, &amp; par-tout il est dans les fers»]</w:t>
      </w:r>
      <w:r>
        <w:t xml:space="preserve"> (Rousseau, Del contrato social I, 1)</w:t>
      </w:r>
      <w:r>
        <w:br/>
      </w:r>
      <w:r>
        <w:rPr>
          <w:b/>
        </w:rPr>
        <w:t>leída en su fuente · Rousseau, Del contrato social I, 1</w:t>
      </w:r>
      <w:r>
        <w:br/>
      </w:r>
      <w:r>
        <w:rPr>
          <w:b/>
        </w:rPr>
        <w:t>Archivo leído:</w:t>
      </w:r>
      <w:r>
        <w:t xml:space="preserve"> 10.00_Rousseau_Du_contrat_social_1762_texte_entier_frwikisource.html (c6\10.00_Rousseau_Du_contrat_social_1762_texte_entier_frwikisource.html) · contraste del archivo de pasajes: ✔</w:t>
      </w:r>
      <w:r>
        <w:br/>
      </w:r>
      <w:r>
        <w:rPr>
          <w:b/>
        </w:rPr>
        <w:t>Lugar:</w:t>
      </w:r>
      <w:r>
        <w:t xml:space="preserve"> Rousseau, Del contrato social I, 1</w:t>
      </w:r>
      <w:r>
        <w:br/>
      </w:r>
      <w:r>
        <w:rPr>
          <w:b/>
        </w:rPr>
        <w:t>Tal como está en la fuente:</w:t>
      </w:r>
      <w:r>
        <w:t xml:space="preserve"> L'homme est né libre, &amp; par-tout il est dans les fers</w:t>
      </w:r>
      <w:r>
        <w:t>. Siete años antes había puesto el origen del mal en la propiedad: «El primero que, habiendo cercado un terreno, se le ocurrió decir "esto es mío", y encontró gentes lo bastante simples para creerle, fue el verdadero fundador de la sociedad civil»</w:t>
      </w:r>
      <w:r>
        <w:t xml:space="preserve"> [original: «Le premier qui, ayant enclos un terrain, s'avisa de dire : Ceci est à moi, et trouva des gens assez simples pour le croire, fut le vrai fondateur de la société civile»]</w:t>
      </w:r>
      <w:r>
        <w:t xml:space="preserve"> (Discurso sobre el origen de la desigualdad, 1755, segunda parte)</w:t>
      </w:r>
      <w:r>
        <w:br/>
      </w:r>
      <w:r>
        <w:rPr>
          <w:b/>
        </w:rPr>
        <w:t>leída en su fuente · Discurso sobre el origen de la desigualdad, 1755, segunda parte</w:t>
      </w:r>
      <w:r>
        <w:br/>
      </w:r>
      <w:r>
        <w:rPr>
          <w:b/>
        </w:rPr>
        <w:t>Archivo leído:</w:t>
      </w:r>
      <w:r>
        <w:t xml:space="preserve"> 10.00_Rousseau_Discours_inegalite_1755_seconde_partie_frwikisource.html (c6\10.00_Rousseau_Discours_inegalite_1755_seconde_partie_frwikisource.html) · contraste del archivo de pasajes: ✔</w:t>
      </w:r>
      <w:r>
        <w:br/>
      </w:r>
      <w:r>
        <w:rPr>
          <w:b/>
        </w:rPr>
        <w:t>Lugar:</w:t>
      </w:r>
      <w:r>
        <w:t xml:space="preserve"> Comienzo de la segunda parte</w:t>
      </w:r>
      <w:r>
        <w:br/>
      </w:r>
      <w:r>
        <w:rPr>
          <w:b/>
        </w:rPr>
        <w:t>Dirección:</w:t>
      </w:r>
      <w:r>
        <w:t xml:space="preserve"> </w:t>
      </w:r>
      <w:r>
        <w:t>https://fr.wikisource.org/wiki/Discours_sur_l’origine_et_les_fondements_de_l’inégalité_parmi_les_hommes/Seconde_partie</w:t>
      </w:r>
      <w:r>
        <w:br/>
      </w:r>
      <w:r>
        <w:rPr>
          <w:b/>
        </w:rPr>
        <w:t>Tal como está en la fuente:</w:t>
      </w:r>
      <w:r>
        <w:t xml:space="preserve"> Le premier qui, ayant enclos un terrain, s’avisa de dire : Ceci est à moi, et trouva des gens assez simples pour le croire, fut le vrai fondateur de la société civile.</w:t>
      </w:r>
      <w:r>
        <w:t xml:space="preserve">. En su pacto, nadie cede la libertad a un tercero: cada uno se somete a la voluntad general, y en ella recupera, según él, una libertad más alta. La expresión «buen salvaje», que suele atribuírsele, no está en El contrato social. </w:t>
      </w:r>
      <w:r>
        <w:t>[10.00-4.3; Rousseau leído en francés, Wikisource]</w:t>
      </w:r>
    </w:p>
    <w:p>
      <w:r>
        <w:rPr>
          <w:b/>
        </w:rPr>
        <w:t>La condición que Rousseau ponía.</w:t>
      </w:r>
      <w:r>
        <w:t xml:space="preserve"> «Hay a menudo mucha diferencia entre la voluntad de todos y la voluntad general: esta solo mira al interés común; la otra mira al interés privado, y no es más que una suma de voluntades particulares. Pero quítense de esas mismas voluntades los más y los menos que se destruyen entre sí, y queda, como suma de las diferencias, la voluntad general»</w:t>
      </w:r>
      <w:r>
        <w:t xml:space="preserve"> [original: «Il y a souvent bien de la différence entre la volonté de tous &amp; la volonté générale ; celle-ci ne regarde qu'à l'intérêt commun, l'autre regarde à l'intérêt privé, &amp; n'est qu'une somme de volontés particulieres ; mais ôtez de ces mêmes volontés les plus &amp; les moins qui s'entredétruisent, reste pour somme des différences la volonté générale.»]</w:t>
      </w:r>
      <w:r>
        <w:t xml:space="preserve"> (Del contrato social II, 3)</w:t>
      </w:r>
      <w:r>
        <w:br/>
      </w:r>
      <w:r>
        <w:rPr>
          <w:b/>
        </w:rPr>
        <w:t>leída en su fuente · Del contrato social II, 3</w:t>
      </w:r>
      <w:r>
        <w:br/>
      </w:r>
      <w:r>
        <w:rPr>
          <w:b/>
        </w:rPr>
        <w:t>Archivo leído:</w:t>
      </w:r>
      <w:r>
        <w:t xml:space="preserve"> 10.00_Rousseau_Du_contrat_social_1762_II-3_frwikisource.html (c6\10.00_Rousseau_Du_contrat_social_1762_II-3_frwikisource.html) · contraste del archivo de pasajes: ✔</w:t>
      </w:r>
      <w:r>
        <w:br/>
      </w:r>
      <w:r>
        <w:rPr>
          <w:b/>
        </w:rPr>
        <w:t>Dirección:</w:t>
      </w:r>
      <w:r>
        <w:t xml:space="preserve"> </w:t>
      </w:r>
      <w:r>
        <w:t>https://fr.wikisource.org/wiki/Du_contrat_social/Édition_1762/Livre_II/Chapitre_3</w:t>
      </w:r>
      <w:r>
        <w:br/>
      </w:r>
      <w:r>
        <w:rPr>
          <w:b/>
        </w:rPr>
        <w:t>Tal como está en la fuente:</w:t>
      </w:r>
      <w:r>
        <w:t xml:space="preserve"> Il y a souvent bien de la différence entre la volonté de tous &amp; la volonté générale ; celle-ci ne regarde qu’à l’intérêt commun, l’autre regarde à l’intérêt privé, &amp; n’est qu’une somme de volontés particulieres ; mais ôtez de ces mêmes volontés les plus &amp; les moins qui s’entredétruisent, reste pour somme des différences la volonté générale.</w:t>
      </w:r>
      <w:r>
        <w:t xml:space="preserve">. No es una votación cualquiera: es lo que queda cuando los intereses particulares se anulan entre sí. Es una condición exigente. </w:t>
      </w:r>
      <w:r>
        <w:t>[10.00-11.1 y 11.2]</w:t>
      </w:r>
    </w:p>
    <w:p>
      <w:r>
        <w:rPr>
          <w:b/>
        </w:rPr>
        <w:t>La frase peligrosa.</w:t>
      </w:r>
      <w:r>
        <w:t xml:space="preserve"> Para que el pacto no sea «un formulario vano»</w:t>
      </w:r>
      <w:r>
        <w:t xml:space="preserve"> [original: «un vain formulaire»]</w:t>
      </w:r>
      <w:r>
        <w:t>, encierra un compromiso: «quien se niegue a obedecer a la voluntad general será obligado a ello por todo el cuerpo, lo cual no significa otra cosa sino que se le forzará a ser libre»</w:t>
      </w:r>
      <w:r>
        <w:t xml:space="preserve"> [original: «quiconque refusera d'obéir à la volonté générale, y sera contraint par tout le corps : ce qui ne signifie autre chose sinon qu'on le forcera d'être libre»]</w:t>
      </w:r>
      <w:r>
        <w:t xml:space="preserve"> (Del contrato social I, 7)</w:t>
      </w:r>
      <w:r>
        <w:br/>
      </w:r>
      <w:r>
        <w:rPr>
          <w:b/>
        </w:rPr>
        <w:t>leída en su fuente · Del contrato social I, 7</w:t>
      </w:r>
      <w:r>
        <w:br/>
      </w:r>
      <w:r>
        <w:rPr>
          <w:b/>
        </w:rPr>
        <w:t>Archivo leído:</w:t>
      </w:r>
      <w:r>
        <w:t xml:space="preserve"> 10.00_Rousseau_Du_contrat_social_1762_I-7_frwikisource.html (c6\10.00_Rousseau_Du_contrat_social_1762_I-7_frwikisource.html) · contraste del archivo de pasajes: ✔</w:t>
      </w:r>
      <w:r>
        <w:br/>
      </w:r>
      <w:r>
        <w:rPr>
          <w:b/>
        </w:rPr>
        <w:t>Dirección:</w:t>
      </w:r>
      <w:r>
        <w:t xml:space="preserve"> </w:t>
      </w:r>
      <w:r>
        <w:t>https://fr.wikisource.org/wiki/Du_contrat_social/Édition_1762/Livre_I/Chapitre_7</w:t>
      </w:r>
      <w:r>
        <w:br/>
      </w:r>
      <w:r>
        <w:rPr>
          <w:b/>
        </w:rPr>
        <w:t>Tal como está en la fuente:</w:t>
      </w:r>
      <w:r>
        <w:t xml:space="preserve"> …il renferme tacitement cet engagement qui seul peut donner de la force aux autres, que quiconque refusera d’obéir à la volonté générale, y sera contraint par tout le corps : ce qui ne signifie autre chose sinon qu’on le forcera d’être libre</w:t>
      </w:r>
      <w:r>
        <w:t xml:space="preserve">. Rousseau la escribió como garantía. Separada de la condición anterior, abre la puerta a que quien se declare portavoz de la voluntad general use la fuerza en su nombre. </w:t>
      </w:r>
      <w:r>
        <w:t>[10.00-11.3]</w:t>
      </w:r>
    </w:p>
    <w:p>
      <w:r>
        <w:rPr>
          <w:b/>
        </w:rPr>
        <w:t>De dónde viene la expresión.</w:t>
      </w:r>
      <w:r>
        <w:t xml:space="preserve"> «Voluntad general» nació en la teología. Malebranche escribió: «digo que Dios actúa por voluntades generales cuando actúa como consecuencia de las leyes generales que ha establecido»</w:t>
      </w:r>
      <w:r>
        <w:t xml:space="preserve"> [original: «Je dis que Dieu agit par des volontez generales, lorsqu'il agit en consequence des loix generales qu'il a établies»]</w:t>
      </w:r>
      <w:r>
        <w:t xml:space="preserve"> (Malebranche, Aclaración al Tratado de la naturaleza y de la gracia, 1681)</w:t>
      </w:r>
      <w:r>
        <w:br/>
      </w:r>
      <w:r>
        <w:rPr>
          <w:b/>
        </w:rPr>
        <w:t>pasaje guardado · Malebranche, Aclaración al Tratado de la naturaleza y de la gracia, 1681</w:t>
      </w:r>
      <w:r>
        <w:br/>
      </w:r>
      <w:r>
        <w:rPr>
          <w:b/>
        </w:rPr>
        <w:t>Archivo leído:</w:t>
      </w:r>
      <w:r>
        <w:t xml:space="preserve"> 10.00_Malebranche_Esclaircissement_suite_Traite_1681_archive_djvu.txt (c6\10.00_Malebranche_Esclaircissement_suite_Traite_1681_archive_djvu.txt) · contraste del archivo de pasajes: parcial</w:t>
      </w:r>
      <w:r>
        <w:br/>
      </w:r>
      <w:r>
        <w:rPr>
          <w:b/>
        </w:rPr>
        <w:t>Lugar:</w:t>
      </w:r>
      <w:r>
        <w:t xml:space="preserve"> Malebranche, Aclaración al Tratado de la naturaleza y de la gracia, 1681</w:t>
      </w:r>
      <w:r>
        <w:br/>
      </w:r>
      <w:r>
        <w:rPr>
          <w:b/>
        </w:rPr>
        <w:t>Tal como está en la fuente:</w:t>
      </w:r>
      <w:r>
        <w:t xml:space="preserve"> Je dis que Dieu agit par des volontez generales, lorsqu'il agit en consequence des loix generales qu'il a établies</w:t>
      </w:r>
      <w:r>
        <w:t>. Montesquieu la llevó al gobierno de los hombres: el poder legislativo no es más que «la voluntad general del Estado», y el ejecutivo, «la ejecución de esa voluntad general»</w:t>
      </w:r>
      <w:r>
        <w:t xml:space="preserve"> [original: «l'un, que la volonté générale de l'état ; &amp; l'autre, que l'exécution de cette volonté générale»]</w:t>
      </w:r>
      <w:r>
        <w:t xml:space="preserve"> (Montesquieu, Del espíritu de las leyes XI, 6, 1748)</w:t>
      </w:r>
      <w:r>
        <w:br/>
      </w:r>
      <w:r>
        <w:rPr>
          <w:b/>
        </w:rPr>
        <w:t>leída en su fuente · Montesquieu, Del espíritu de las leyes XI, 6, 1748</w:t>
      </w:r>
      <w:r>
        <w:br/>
      </w:r>
      <w:r>
        <w:rPr>
          <w:b/>
        </w:rPr>
        <w:t>Archivo leído:</w:t>
      </w:r>
      <w:r>
        <w:t xml:space="preserve"> 10.00_Montesquieu_Esprit_des_lois_ed_Nourse_Livre_XI_frwikisource.html (c6\10.00_Montesquieu_Esprit_des_lois_ed_Nourse_Livre_XI_frwikisource.html) · contraste del archivo de pasajes: ✔</w:t>
      </w:r>
      <w:r>
        <w:br/>
      </w:r>
      <w:r>
        <w:rPr>
          <w:b/>
        </w:rPr>
        <w:t>Lugar:</w:t>
      </w:r>
      <w:r>
        <w:t xml:space="preserve"> XI, 6</w:t>
      </w:r>
      <w:r>
        <w:br/>
      </w:r>
      <w:r>
        <w:rPr>
          <w:b/>
        </w:rPr>
        <w:t>Dirección:</w:t>
      </w:r>
      <w:r>
        <w:t xml:space="preserve"> </w:t>
      </w:r>
      <w:r>
        <w:t>https://fr.wikisource.org/wiki/De_l’esprit_des_lois_(éd._Nourse)/Livre_11</w:t>
      </w:r>
      <w:r>
        <w:br/>
      </w:r>
      <w:r>
        <w:rPr>
          <w:b/>
        </w:rPr>
        <w:t>Tal como está en la fuente:</w:t>
      </w:r>
      <w:r>
        <w:t xml:space="preserve"> n’étant, l’un, que la volonté générale de l’état ; &amp; l’autre, que l’exécution de cette volonté générale.</w:t>
      </w:r>
      <w:r>
        <w:t xml:space="preserve">. Rousseau la pasó de Dios al pueblo sin cambiarle la forma. </w:t>
      </w:r>
      <w:r>
        <w:t>[10.00-11.4 y 11.5; Malebranche y Montesquieu leídos en francés]</w:t>
      </w:r>
    </w:p>
    <w:p>
      <w:pPr>
        <w:pStyle w:val="Heading3"/>
      </w:pPr>
      <w:r>
        <w:t>Una idea, no un hecho: lo dijeron sus autores</w:t>
      </w:r>
    </w:p>
    <w:p>
      <w:r>
        <w:rPr>
          <w:b/>
        </w:rPr>
        <w:t>Kant (1793).</w:t>
      </w:r>
      <w:r>
        <w:t xml:space="preserve"> El contrato originario «de ningún modo es necesario suponerlo como un hecho (más aún, como tal no es siquiera posible)»</w:t>
      </w:r>
      <w:r>
        <w:t xml:space="preserve"> [original: «ist keinesweges als ein Factum vorauszusetzen nöthig (ja als ein solches gar nicht möglich)»]</w:t>
      </w:r>
      <w:r>
        <w:t>. Es «una mera idea de la razón, que tiene, sin embargo, su indudable realidad (práctica)»</w:t>
      </w:r>
      <w:r>
        <w:t xml:space="preserve"> [original: «eine bloße Idee der Vernunft, die aber ihre unbezweifelte (praktische) Realität hat»]</w:t>
      </w:r>
      <w:r>
        <w:t>: obliga a cada legislador a dictar sus leyes como si hubieran podido nacer de la voluntad unida de todo un pueblo</w:t>
      </w:r>
      <w:r>
        <w:t xml:space="preserve"> (Kant, Sobre el dicho común: esto puede ser correcto en teoría, pero no sirve para la práctica, 1793, edición de la Academia, VIII, 297)</w:t>
      </w:r>
      <w:r>
        <w:t xml:space="preserve">. </w:t>
      </w:r>
      <w:r>
        <w:t>[10.00-8.1, 8.3 y 8.6; Kant leído en alemán]</w:t>
      </w:r>
    </w:p>
    <w:p>
      <w:r>
        <w:rPr>
          <w:b/>
        </w:rPr>
        <w:t>Hume (1748): un crítico.</w:t>
      </w:r>
      <w:r>
        <w:t xml:space="preserve"> Hume no presentó el contrato como una ficción útil: lo discutió. «Casi todos los gobiernos que existen hoy, o de los que queda memoria en la historia, se fundaron en su origen en la usurpación o en la conquista, o en ambas, sin ninguna pretensión de un consentimiento justo o de una sujeción voluntaria del pueblo»</w:t>
      </w:r>
      <w:r>
        <w:t xml:space="preserve"> [original: «Almost all the governments, which exist at present, or of which there remains any record in story, have been founded originally, either on usurpation or conquest, or both, without any pretence of a fair consent, or voluntary subjection of the people»]</w:t>
      </w:r>
      <w:r>
        <w:t xml:space="preserve"> (Hume, «Of the Original Contract» (Del contrato original), párr. 9)</w:t>
      </w:r>
      <w:r>
        <w:br/>
      </w:r>
      <w:r>
        <w:rPr>
          <w:b/>
        </w:rPr>
        <w:t>leída en su fuente · Hume, «Of the Original Contract» (Del contrato original), párr. 9</w:t>
      </w:r>
      <w:r>
        <w:br/>
      </w:r>
      <w:r>
        <w:rPr>
          <w:b/>
        </w:rPr>
        <w:t>Archivo leído:</w:t>
      </w:r>
      <w:r>
        <w:t xml:space="preserve"> 10.00_Hume_Of_the_Original_Contract_1748-1777_davidhume-org.html; 10.00_Hume_Three_Essays_Moral_and_Political_1748_primera_edicion_OC_archive_djvu.txt (c6\10.00_Hume_Of_the_Original_Contract_1748-1777_davidhume-org.html) · contraste del archivo de pasajes: ✔</w:t>
      </w:r>
      <w:r>
        <w:br/>
      </w:r>
      <w:r>
        <w:rPr>
          <w:b/>
        </w:rPr>
        <w:t>Lugar:</w:t>
      </w:r>
      <w:r>
        <w:t xml:space="preserve"> OC 9</w:t>
      </w:r>
      <w:r>
        <w:br/>
      </w:r>
      <w:r>
        <w:rPr>
          <w:b/>
        </w:rPr>
        <w:t>Dirección:</w:t>
      </w:r>
      <w:r>
        <w:t xml:space="preserve"> </w:t>
      </w:r>
      <w:r>
        <w:t>https://davidhume.org/texts/empl2/oc</w:t>
      </w:r>
      <w:r>
        <w:t xml:space="preserve"> ; </w:t>
      </w:r>
      <w:r>
        <w:t>https://archive.org/details/bim_eighteenth-century_three-essays-moral-and-_hume-david_1748</w:t>
      </w:r>
      <w:r>
        <w:br/>
      </w:r>
      <w:r>
        <w:rPr>
          <w:b/>
        </w:rPr>
        <w:t>Tal como está en la fuente:</w:t>
      </w:r>
      <w:r>
        <w:t xml:space="preserve"> Almost all the governments, which exist at present, or of which there remains any record in story, have been founded originally, either on usurpation or conquest, or both, without any pretence of a fair consent</w:t>
      </w:r>
      <w:r>
        <w:t xml:space="preserve">. La palabra «ficción» no está en su ensayo. </w:t>
      </w:r>
      <w:r>
        <w:t>[10.00-8.2 y 8.6; Hume leído en davidhume.org]</w:t>
      </w:r>
    </w:p>
    <w:p>
      <w:r>
        <w:rPr>
          <w:b/>
        </w:rPr>
        <w:t>El consentimiento tácito, y su réplica.</w:t>
      </w:r>
      <w:r>
        <w:t xml:space="preserve"> Locke resolvió así el caso de quien nunca firmó: «todo hombre que tiene alguna posesión o disfrute de cualquier parte de los dominios de un gobierno da con ello su consentimiento tácito»</w:t>
      </w:r>
      <w:r>
        <w:t xml:space="preserve"> [original: «every man, that hath any possessions, or enjoyment, of any part of the dominions of any government, doth thereby give his tacit consent»]</w:t>
      </w:r>
      <w:r>
        <w:t>, aunque lo que posea sea solo «un alojamiento por una semana»</w:t>
      </w:r>
      <w:r>
        <w:t xml:space="preserve"> [original: «a lodging only for a week»]</w:t>
      </w:r>
      <w:r>
        <w:t xml:space="preserve"> (Locke, Segundo tratado, § 119)</w:t>
      </w:r>
      <w:r>
        <w:br/>
      </w:r>
      <w:r>
        <w:rPr>
          <w:b/>
        </w:rPr>
        <w:t>leída en su fuente · Locke, Segundo tratado, § 119</w:t>
      </w:r>
      <w:r>
        <w:br/>
      </w:r>
      <w:r>
        <w:rPr>
          <w:b/>
        </w:rPr>
        <w:t>Archivo leído:</w:t>
      </w:r>
      <w:r>
        <w:t xml:space="preserve"> Gutenberg 7370 (l. 2582); 1690 (l. 14079) (c6\10.00_Locke_Second_Treatise_Gutenberg_7370.txt) · contraste del archivo de pasajes: ✔</w:t>
      </w:r>
      <w:r>
        <w:br/>
      </w:r>
      <w:r>
        <w:rPr>
          <w:b/>
        </w:rPr>
        <w:t>Tal como está en la fuente:</w:t>
      </w:r>
      <w:r>
        <w:t xml:space="preserve"> …doth thereby give his tacit consent, and is as far forth obliged to obedience to the laws of that government, during such enjoyment, as any one under it; whether this his possession be of land, to him and his heirs for ever, or a lodging only for a week; or whether it be barely travelling freely on the highway</w:t>
      </w:r>
      <w:r>
        <w:br/>
      </w:r>
      <w:r>
        <w:rPr>
          <w:b/>
        </w:rPr>
        <w:t>Traducción guardada:</w:t>
      </w:r>
      <w:r>
        <w:t xml:space="preserve"> 1690: «a Lodging only for a Week», «High- way»</w:t>
      </w:r>
      <w:r>
        <w:t>. Hume le contestó: «¿Podemos decir en serio que un pobre campesino o artesano tiene libertad para elegir dejar su país, cuando no conoce lenguas ni costumbres extranjeras y vive al día del pequeño jornal que gana? Lo mismo podríamos afirmar que un hombre, por quedarse en un barco, consiente libremente en el dominio del capitán, aunque lo subieron a bordo dormido, y tendría que saltar al océano y perecer en cuanto lo dejara»</w:t>
      </w:r>
      <w:r>
        <w:t xml:space="preserve"> [original: «Can we seriously say, that a poor peasant or artizan has a free choice to leave his country, when he knows no foreign language or manners, and lives from day to day, by the small wages which he acquires? We may as well assert, that a man, by remaining in a vessel, freely consents to the dominion of the master; though he was carried on board while asleep, and must leap into the ocean, and perish, the moment he leaves her.»]</w:t>
      </w:r>
      <w:r>
        <w:t xml:space="preserve"> (Hume, «Of the Original Contract», párr. 24)</w:t>
      </w:r>
      <w:r>
        <w:br/>
      </w:r>
      <w:r>
        <w:rPr>
          <w:b/>
        </w:rPr>
        <w:t>leída en su fuente · Hume, «Of the Original Contract», párr. 24</w:t>
      </w:r>
      <w:r>
        <w:br/>
      </w:r>
      <w:r>
        <w:rPr>
          <w:b/>
        </w:rPr>
        <w:t>Archivo leído:</w:t>
      </w:r>
      <w:r>
        <w:t xml:space="preserve"> ídem (c6\10.00_Hume_Of_the_Original_Contract_1748-1777_davidhume-org.html) · contraste del archivo de pasajes: ✔</w:t>
      </w:r>
      <w:r>
        <w:br/>
      </w:r>
      <w:r>
        <w:rPr>
          <w:b/>
        </w:rPr>
        <w:t>Lugar:</w:t>
      </w:r>
      <w:r>
        <w:t xml:space="preserve"> davidhume.org, párrafo</w:t>
      </w:r>
      <w:r>
        <w:br/>
      </w:r>
      <w:r>
        <w:rPr>
          <w:b/>
        </w:rPr>
        <w:t>Tal como está en la fuente:</w:t>
      </w:r>
      <w:r>
        <w:t xml:space="preserve"> Can we seriously say, that a poor peasant or artizan has a free choice to leave his country, when he knows no foreign language or manners, and lives from day to day, by the small wages which he acquires? We may as well assert, that a man, by remaining in a vessel, freely consents to the dominion of the master; though he was carried on board while asleep, and must leap into the ocean, and perish, the moment he leaves her.</w:t>
      </w:r>
      <w:r>
        <w:t xml:space="preserve">. </w:t>
      </w:r>
      <w:r>
        <w:t>[nuevo, aprobado por Kiko el 5-oct; Locke y Hume leídos en inglés]</w:t>
      </w:r>
    </w:p>
    <w:p>
      <w:r>
        <w:rPr>
          <w:b/>
        </w:rPr>
        <w:t>Una ficción declarada no es un vicio.</w:t>
      </w:r>
      <w:r>
        <w:t xml:space="preserve"> Que el contrato sea una idea no lo hace nulo: una ficción declarada no es un vicio (</w:t>
      </w:r>
      <w:r>
        <w:t>5.3</w:t>
      </w:r>
      <w:r>
        <w:t>). La asimetría está en otro sitio. Quienes lo pensaron lo presentaron como una idea; el ciudadano lo recibe como un pacto que aceptó (</w:t>
      </w:r>
      <w:r>
        <w:t>5.1</w:t>
      </w:r>
      <w:r>
        <w:t xml:space="preserve">, n.º 13). </w:t>
      </w:r>
      <w:r>
        <w:t>[10.00-8.4 y 8.5]</w:t>
      </w:r>
    </w:p>
    <w:p>
      <w:pPr>
        <w:pStyle w:val="Heading3"/>
      </w:pPr>
      <w:r>
        <w:t>Lo que se tomó y lo que se dejó</w:t>
      </w:r>
    </w:p>
    <w:p>
      <w:r>
        <w:rPr>
          <w:b/>
        </w:rPr>
        <w:t>Tres rupturas que invocaron el pacto.</w:t>
      </w:r>
    </w:p>
    <w:p>
      <w:pPr>
        <w:pStyle w:val="ListBullet"/>
      </w:pPr>
      <w:r>
        <w:rPr>
          <w:b/>
        </w:rPr>
        <w:t>Inglaterra, 1689.</w:t>
      </w:r>
      <w:r>
        <w:t xml:space="preserve"> El Parlamento depuso a Jacobo II y ofreció la corona a Guillermo de Orange. La Declaración de Derechos dejó escrito que el pretendido poder de suspender las leyes «sin consentimiento del Parlamento es ilegal»</w:t>
      </w:r>
      <w:r>
        <w:t xml:space="preserve"> [original: «That the pretended Power of Suspending of Laws or the Execution of Laws by Regall Authority without Consent of Parlyament is illegall»]</w:t>
      </w:r>
      <w:r>
        <w:t>, y también recaudar dinero para la Corona «sin concesión del Parlamento»</w:t>
      </w:r>
      <w:r>
        <w:t xml:space="preserve"> [original: «without Grant of Parlyament»]</w:t>
      </w:r>
      <w:r>
        <w:t xml:space="preserve"> (Bill of Rights (Declaración de Derechos), 1689)</w:t>
      </w:r>
      <w:r>
        <w:br/>
      </w:r>
      <w:r>
        <w:rPr>
          <w:b/>
        </w:rPr>
        <w:t>leída en su fuente · Bill of Rights (Declaración de Derechos), 1689</w:t>
      </w:r>
      <w:r>
        <w:br/>
      </w:r>
      <w:r>
        <w:rPr>
          <w:b/>
        </w:rPr>
        <w:t>Archivo leído:</w:t>
      </w:r>
      <w:r>
        <w:t xml:space="preserve"> 10.00_Bill_of_Rights_1689_legislation-gov-uk.html.txt (c6\_trabajo\txt\10.00_Bill_of_Rights_1689_legislation-gov-uk.html.txt) · contraste del archivo de pasajes: ✔</w:t>
      </w:r>
      <w:r>
        <w:br/>
      </w:r>
      <w:r>
        <w:rPr>
          <w:b/>
        </w:rPr>
        <w:t>Lugar:</w:t>
      </w:r>
      <w:r>
        <w:t xml:space="preserve"> Bill of Rights (Declaración de Derechos), 1689</w:t>
      </w:r>
      <w:r>
        <w:br/>
      </w:r>
      <w:r>
        <w:rPr>
          <w:b/>
        </w:rPr>
        <w:t>Tal como está en la fuente:</w:t>
      </w:r>
      <w:r>
        <w:t xml:space="preserve"> without Grant of Parlyament</w:t>
      </w:r>
      <w:r>
        <w:t xml:space="preserve">. Al año siguiente, Locke publicó su tratado con el prefacio ya visto. </w:t>
      </w:r>
      <w:r>
        <w:t>[10.00-6.1 y 6.4]</w:t>
      </w:r>
    </w:p>
    <w:p>
      <w:pPr>
        <w:pStyle w:val="ListBullet"/>
      </w:pPr>
      <w:r>
        <w:rPr>
          <w:b/>
        </w:rPr>
        <w:t>Estados Unidos, 1776.</w:t>
      </w:r>
      <w:r>
        <w:t xml:space="preserve"> Los gobiernos «derivan sus justos poderes del consentimiento de los gobernados», y «siempre que una forma de gobierno se vuelve destructora de estos fines, es derecho del pueblo alterarla o abolirla, e instituir un nuevo gobierno»</w:t>
      </w:r>
      <w:r>
        <w:t xml:space="preserve"> [original: «deriving their just powers from the consent of the governed, --That whenever any Form of Government becomes destructive of these ends, it is the Right of the People to alter or to abolish it, and to institute new Government»]</w:t>
      </w:r>
      <w:r>
        <w:t>. Entre los agravios contra el rey, «imponernos impuestos sin nuestro consentimiento»</w:t>
      </w:r>
      <w:r>
        <w:t xml:space="preserve"> [original: «For imposing Taxes on us without our Consent»]</w:t>
      </w:r>
      <w:r>
        <w:t xml:space="preserve"> (Declaración de Independencia, 4 de julio de 1776, transcripción de los Archivos Nacionales de Estados Unidos)</w:t>
      </w:r>
      <w:r>
        <w:br/>
      </w:r>
      <w:r>
        <w:rPr>
          <w:b/>
        </w:rPr>
        <w:t>leída en su fuente · Declaración de Independencia, 4 de julio de 1776, transcripción de los Archivos Nacionales</w:t>
      </w:r>
      <w:r>
        <w:br/>
      </w:r>
      <w:r>
        <w:rPr>
          <w:b/>
        </w:rPr>
        <w:t>Archivo leído:</w:t>
      </w:r>
      <w:r>
        <w:t xml:space="preserve"> 10.00_Declaration_of_Independence_1776_Avalon.html (c6\10.00_Declaration_of_Independence_1776_Avalon.html) · contraste del archivo de pasajes: ✔</w:t>
      </w:r>
      <w:r>
        <w:br/>
      </w:r>
      <w:r>
        <w:rPr>
          <w:b/>
        </w:rPr>
        <w:t>Lugar:</w:t>
      </w:r>
      <w:r>
        <w:t xml:space="preserve"> Declaración de Independencia, 4 de julio de 1776, transcripción de los Archivos Nacionales de Estados Unidos</w:t>
      </w:r>
      <w:r>
        <w:br/>
      </w:r>
      <w:r>
        <w:rPr>
          <w:b/>
        </w:rPr>
        <w:t>Tal como está en la fuente:</w:t>
      </w:r>
      <w:r>
        <w:t xml:space="preserve"> For imposing Taxes on us without our Consent</w:t>
      </w:r>
      <w:r>
        <w:t xml:space="preserve">. </w:t>
      </w:r>
      <w:r>
        <w:t>[10.00-6.3 y 6.4]</w:t>
      </w:r>
    </w:p>
    <w:p>
      <w:pPr>
        <w:pStyle w:val="ListBullet"/>
      </w:pPr>
      <w:r>
        <w:rPr>
          <w:b/>
        </w:rPr>
        <w:t>Francia, 1789.</w:t>
      </w:r>
      <w:r>
        <w:t xml:space="preserve"> «Toda sociedad en la que la garantía de los derechos no está asegurada, ni la separación de poderes determinada, no tiene Constitución»</w:t>
      </w:r>
      <w:r>
        <w:t xml:space="preserve"> [original: «Toute société dans laquelle la garantie des droits n'est pas assurée, ni la séparation des pouvoirs déterminée, n'a point de Constitution»]</w:t>
      </w:r>
      <w:r>
        <w:t xml:space="preserve"> (Declaración de los Derechos del Hombre y del Ciudadano, 26 de agosto de 1789, art. 16)</w:t>
      </w:r>
      <w:r>
        <w:br/>
      </w:r>
      <w:r>
        <w:rPr>
          <w:b/>
        </w:rPr>
        <w:t>leída en su fuente · Declaración de los Derechos del Hombre y del Ciudadano, 26 de agosto de 1789, art. 16</w:t>
      </w:r>
      <w:r>
        <w:br/>
      </w:r>
      <w:r>
        <w:rPr>
          <w:b/>
        </w:rPr>
        <w:t>Archivo leído:</w:t>
      </w:r>
      <w:r>
        <w:t xml:space="preserve"> 10.00_DDHC_1789_Conseil_constitutionnel.html (c6\10.00_DDHC_1789_Conseil_constitutionnel.html) · contraste del archivo de pasajes: ✔</w:t>
      </w:r>
      <w:r>
        <w:br/>
      </w:r>
      <w:r>
        <w:rPr>
          <w:b/>
        </w:rPr>
        <w:t>Dirección:</w:t>
      </w:r>
      <w:r>
        <w:t xml:space="preserve"> </w:t>
      </w:r>
      <w:r>
        <w:t>https://www.conseil-constitutionnel.fr/le-bloc-de-constitutionnalite/declaration-des-droits-de-l-homme-et-du-citoyen-de-1789</w:t>
      </w:r>
      <w:r>
        <w:br/>
      </w:r>
      <w:r>
        <w:rPr>
          <w:b/>
        </w:rPr>
        <w:t>Tal como está en la fuente:</w:t>
      </w:r>
      <w:r>
        <w:t xml:space="preserve"> Article 16 — Toute société dans laquelle la garantie des droits n'est pas assurée, ni la séparation des pouvoirs déterminée, n'a point de Constitution.</w:t>
      </w:r>
      <w:r>
        <w:t xml:space="preserve">. </w:t>
      </w:r>
      <w:r>
        <w:t>[10.00-6.2 y 6.4]</w:t>
      </w:r>
    </w:p>
    <w:p>
      <w:r>
        <w:rPr>
          <w:b/>
        </w:rPr>
        <w:t>Francia, después: lo que se tomó de Rousseau.</w:t>
      </w:r>
    </w:p>
    <w:p>
      <w:pPr>
        <w:pStyle w:val="ListBullet"/>
      </w:pPr>
      <w:r>
        <w:rPr>
          <w:b/>
        </w:rPr>
        <w:t>La veneración.</w:t>
      </w:r>
      <w:r>
        <w:t xml:space="preserve"> Robespierre lo dijo en la tribuna: «Nadie nos ha dado una idea más justa del pueblo que Rousseau, porque nadie lo ha amado más»</w:t>
      </w:r>
      <w:r>
        <w:t xml:space="preserve"> [original: «Personne ne nous a donné une plus juste idée du peuple que Rousseau, parce que personne ne l'a plus aimé»]</w:t>
      </w:r>
      <w:r>
        <w:t xml:space="preserve"> (Robespierre, discurso sobre la guerra, 2 de enero de 1792)</w:t>
      </w:r>
      <w:r>
        <w:br/>
      </w:r>
      <w:r>
        <w:rPr>
          <w:b/>
        </w:rPr>
        <w:t>leída en su fuente · Robespierre, discurso sobre la guerra, 2 de enero de 1792</w:t>
      </w:r>
      <w:r>
        <w:br/>
      </w:r>
      <w:r>
        <w:rPr>
          <w:b/>
        </w:rPr>
        <w:t>Archivo leído:</w:t>
      </w:r>
      <w:r>
        <w:t xml:space="preserve"> 10.00_Robespierre_Discours_sur_la_guerre_2-01-1792_frwikisource.html (c6\10.00_Robespierre_Discours_sur_la_guerre_2-01-1792_frwikisource.html) · contraste del archivo de pasajes: ✔</w:t>
      </w:r>
      <w:r>
        <w:br/>
      </w:r>
      <w:r>
        <w:rPr>
          <w:b/>
        </w:rPr>
        <w:t>Dirección:</w:t>
      </w:r>
      <w:r>
        <w:t xml:space="preserve"> </w:t>
      </w:r>
      <w:r>
        <w:t>https://fr.wikisource.org/wiki/Discours_de_Maximilien_Robespierre_sur_la_guerre</w:t>
      </w:r>
      <w:r>
        <w:br/>
      </w:r>
      <w:r>
        <w:rPr>
          <w:b/>
        </w:rPr>
        <w:t>Tal como está en la fuente:</w:t>
      </w:r>
      <w:r>
        <w:t xml:space="preserve"> Personne ne nous a donné une plus juste idée du peuple que Rousseau, parce que personne ne l’a plus aimé.</w:t>
      </w:r>
      <w:r>
        <w:t>.</w:t>
      </w:r>
    </w:p>
    <w:p>
      <w:pPr>
        <w:pStyle w:val="ListBullet"/>
      </w:pPr>
      <w:r>
        <w:rPr>
          <w:b/>
        </w:rPr>
        <w:t>El matiz de los estudiosos.</w:t>
      </w:r>
      <w:r>
        <w:t xml:space="preserve"> Un estudio de 2023 explica que Robespierre «se quiso apropiar de su memoria» y presentarse «como el verdadero discípulo y heredero político» de Rousseau. Usó sin cesar «voluntad general», «soberanía» y el lenguaje de la virtud, pero en él «voluntad general» no tenía «exactamente el mismo significado». El autor discute que Robespierre fuera una mera aplicación de Rousseau, y recuerda que a Rousseau lo reivindicaron casi todos los bandos</w:t>
      </w:r>
      <w:r>
        <w:t xml:space="preserve"> (Straehle, «Rousseau y Robespierre», Anales del Seminario de Historia de la Filosofía, 40 (</w:t>
      </w:r>
      <w:r>
        <w:t>3</w:t>
      </w:r>
      <w:r>
        <w:t>), 2023; fuente secundaria)</w:t>
      </w:r>
      <w:r>
        <w:t>.</w:t>
      </w:r>
    </w:p>
    <w:p>
      <w:pPr>
        <w:pStyle w:val="ListBullet"/>
      </w:pPr>
      <w:r>
        <w:rPr>
          <w:b/>
        </w:rPr>
        <w:t>La imagen.</w:t>
      </w:r>
      <w:r>
        <w:t xml:space="preserve"> Isaiah Berlin recogió en 1958 la del poeta Heine: la obra de Rousseau fue «el arma ensangrentada que, en manos de Robespierre, había destruido el antiguo régimen»</w:t>
      </w:r>
      <w:r>
        <w:t xml:space="preserve"> [original: «the bloodstained weapon which, in the hands of Robespierre, had destroyed the old regime»]</w:t>
      </w:r>
      <w:r>
        <w:t xml:space="preserve"> (Berlin, «Two Concepts of Liberty» (Dos conceptos de libertad), 1958, borrador E, Isaiah Berlin Virtual Library; fuente secundaria)</w:t>
      </w:r>
      <w:r>
        <w:br/>
      </w:r>
      <w:r>
        <w:rPr>
          <w:b/>
        </w:rPr>
        <w:t>leída en su fuente · Berlin, «Two Concepts of Liberty» (Dos conceptos de libertad), 1958, borrador E, Isaiah Be</w:t>
      </w:r>
      <w:r>
        <w:br/>
      </w:r>
      <w:r>
        <w:rPr>
          <w:b/>
        </w:rPr>
        <w:t>Archivo leído:</w:t>
      </w:r>
      <w:r>
        <w:t xml:space="preserve"> 10.00_Berlin_Two_Concepts_of_Liberty_borrador_E_1958_IBVL.pdf; 10.00_Berlin_Two_Concepts_of_Liberty_ficha_Isaiah_Berlin_Virtual_Library.html (c6\10.00_Berlin_Two_Concepts_of_Liberty_borrador_E_1958_IBVL.pdf) · contraste del archivo de pasajes: ✔</w:t>
      </w:r>
      <w:r>
        <w:br/>
      </w:r>
      <w:r>
        <w:rPr>
          <w:b/>
        </w:rPr>
        <w:t>Lugar:</w:t>
      </w:r>
      <w:r>
        <w:t xml:space="preserve"> PDF p. 2, la imagen es de Heine</w:t>
      </w:r>
      <w:r>
        <w:br/>
      </w:r>
      <w:r>
        <w:rPr>
          <w:b/>
        </w:rPr>
        <w:t>Dirección:</w:t>
      </w:r>
      <w:r>
        <w:t xml:space="preserve"> </w:t>
      </w:r>
      <w:r>
        <w:t>https://berlin.wolf.ox.ac.uk/published_works/tcl/</w:t>
      </w:r>
      <w:r>
        <w:t xml:space="preserve"> (PDF: </w:t>
      </w:r>
      <w:r>
        <w:t>https://berlin.wolf.ox.ac.uk/published_works/tcl/tcl-e.pdf</w:t>
      </w:r>
      <w:r>
        <w:t>)</w:t>
      </w:r>
      <w:r>
        <w:br/>
      </w:r>
      <w:r>
        <w:rPr>
          <w:b/>
        </w:rPr>
        <w:t>Tal como está en la fuente:</w:t>
      </w:r>
      <w:r>
        <w:t xml:space="preserve"> the bloodstained weapon which, in the hands of Robespierre, had destroyed the old regime</w:t>
      </w:r>
      <w:r>
        <w:t>.</w:t>
      </w:r>
    </w:p>
    <w:p>
      <w:r>
        <w:t>[10.00-12.3, 12.4 y 12.8; Robespierre leído en Wikisource]</w:t>
      </w:r>
    </w:p>
    <w:p>
      <w:r>
        <w:rPr>
          <w:b/>
        </w:rPr>
        <w:t>Dos constituciones, y ninguna en vigor.</w:t>
      </w:r>
    </w:p>
    <w:p>
      <w:pPr>
        <w:pStyle w:val="ListBullet"/>
      </w:pPr>
      <w:r>
        <w:rPr>
          <w:b/>
        </w:rPr>
        <w:t>El plan de Condorcet.</w:t>
      </w:r>
      <w:r>
        <w:t xml:space="preserve"> El 15 y el 16 de febrero de 1793, Condorcet presentó a la Convención un plan completo de Constitución, con una declaración de derechos naturales, civiles y políticos</w:t>
      </w:r>
      <w:r>
        <w:t xml:space="preserve"> (Plan de Constitution présenté à la Convention nationale les 15 et 16 février 1793 (Plan de Constitución presentado a la Convención nacional el 15 y 16 de febrero de 1793), Imprimerie nationale)</w:t>
      </w:r>
      <w:r>
        <w:t>.</w:t>
      </w:r>
    </w:p>
    <w:p>
      <w:pPr>
        <w:pStyle w:val="ListBullet"/>
      </w:pPr>
      <w:r>
        <w:rPr>
          <w:b/>
        </w:rPr>
        <w:t>El encargo del 29 de mayo.</w:t>
      </w:r>
      <w:r>
        <w:t xml:space="preserve"> La Convención autorizó al Comité de Salvación Pública a sumarse cinco miembros para presentar «un plan de Constitución reducido a los solos artículos que importa hacer irrevocables»</w:t>
      </w:r>
      <w:r>
        <w:t xml:space="preserve"> [original: «un plan de Constitution réduit aux seuls articles qu'il importe de rendre irrévocables»]</w:t>
      </w:r>
      <w:r>
        <w:t xml:space="preserve"> (Archives parlementaires (Archivos parlamentarios), t. 65, sesión del 29 de mayo de 1793)</w:t>
      </w:r>
      <w:r>
        <w:br/>
      </w:r>
      <w:r>
        <w:rPr>
          <w:b/>
        </w:rPr>
        <w:t>leída en su fuente · Archives parlementaires (Archivos parlamentarios), t. 65, sesión del 29 de mayo de 1793</w:t>
      </w:r>
      <w:r>
        <w:br/>
      </w:r>
      <w:r>
        <w:rPr>
          <w:b/>
        </w:rPr>
        <w:t>Archivo leído:</w:t>
      </w:r>
      <w:r>
        <w:t xml:space="preserve"> 10.00_Archives_parlementaires_t65_17-05_a_2-06-1793_archive_djvu.txt (c6\10.00_Archives_parlementaires_t65_17-05_a_2-06-1793_archive_djvu.txt) · contraste del archivo de pasajes: ✔</w:t>
      </w:r>
      <w:r>
        <w:br/>
      </w:r>
      <w:r>
        <w:rPr>
          <w:b/>
        </w:rPr>
        <w:t>Lugar:</w:t>
      </w:r>
      <w:r>
        <w:t xml:space="preserve"> pp. 577-578 (l. 103894 y ss.)</w:t>
      </w:r>
      <w:r>
        <w:br/>
      </w:r>
      <w:r>
        <w:rPr>
          <w:b/>
        </w:rPr>
        <w:t>Dirección:</w:t>
      </w:r>
      <w:r>
        <w:t xml:space="preserve"> </w:t>
      </w:r>
      <w:r>
        <w:t>https://archive.org/details/archivesparlemen65pariuoft</w:t>
      </w:r>
      <w:r>
        <w:br/>
      </w:r>
      <w:r>
        <w:rPr>
          <w:b/>
        </w:rPr>
        <w:t>Tal como está en la fuente:</w:t>
      </w:r>
      <w:r>
        <w:t xml:space="preserve"> …nous vous proposons de décréter que la Convention charge une commission, composée de 5 de ses membres, adjoints au comité de Salut public, de lui présenter dans le plus court délai, un plan de Constitution, réduit aux seuls articles qu'il importe de rendre irrévocables par les assemblées législatives, pour assurer à la République son unité, son indivisibilité et sa liberté, et au peuple l'exercice de tous ses droits.</w:t>
      </w:r>
      <w:r>
        <w:t>. Uno de los cinco fue Saint-Just</w:t>
      </w:r>
      <w:r>
        <w:t xml:space="preserve"> (Œuvres complètes de Saint-Just (Obras completas), ed. Vellay, 1908, t. II, nota del editor)</w:t>
      </w:r>
      <w:r>
        <w:t>.</w:t>
      </w:r>
    </w:p>
    <w:p>
      <w:pPr>
        <w:pStyle w:val="ListBullet"/>
      </w:pPr>
      <w:r>
        <w:rPr>
          <w:b/>
        </w:rPr>
        <w:t>La denuncia de Condorcet.</w:t>
      </w:r>
      <w:r>
        <w:t xml:space="preserve"> La nueva Constitución se preparó, escribió, cuando los diputados, rodeados de soldados, habían sido obligados a «ordenar el arresto de 27 de sus colegas, y desde entonces la integridad de la representación nacional ya no subsistía»</w:t>
      </w:r>
      <w:r>
        <w:t xml:space="preserve"> [original: «d'ordonner l'arrestation de 27 de leurs collègues, et où dès lors l'intégrité de la représentation nationale ne subsistait plus»]</w:t>
      </w:r>
      <w:r>
        <w:t xml:space="preserve"> (Condorcet, «Aux citoyens français» (A los ciudadanos franceses), 1793, Œuvres, t. XII, 1847, p. 654)</w:t>
      </w:r>
      <w:r>
        <w:br/>
      </w:r>
      <w:r>
        <w:rPr>
          <w:b/>
        </w:rPr>
        <w:t>pasaje guardado · Condorcet, «Aux citoyens français» (A los ciudadanos franceses), 1793, Œuvres, t. XII, 184</w:t>
      </w:r>
      <w:r>
        <w:br/>
      </w:r>
      <w:r>
        <w:rPr>
          <w:b/>
        </w:rPr>
        <w:t>Archivo leído:</w:t>
      </w:r>
      <w:r>
        <w:t xml:space="preserve"> 10.00_Condorcet_Oeuvres_Arago-OConnor_t12_1847_archive_djvu.txt (c6\10.00_Condorcet_Oeuvres_Arago-OConnor_t12_1847_archive_djvu.txt) · contraste del archivo de pasajes: parcial</w:t>
      </w:r>
      <w:r>
        <w:br/>
      </w:r>
      <w:r>
        <w:rPr>
          <w:b/>
        </w:rPr>
        <w:t>Lugar:</w:t>
      </w:r>
      <w:r>
        <w:t xml:space="preserve"> Condorcet, «Aux citoyens français» (A los ciudadanos franceses), 1793, Œuvres, t. XII, 1847, p. 654</w:t>
      </w:r>
      <w:r>
        <w:br/>
      </w:r>
      <w:r>
        <w:rPr>
          <w:b/>
        </w:rPr>
        <w:t>Tal como está en la fuente:</w:t>
      </w:r>
      <w:r>
        <w:t xml:space="preserve"> d'ordonner l'arrestation de 27 de leurs collègues, et où dès lors l'intégrité de la représentation nationale ne subsistait plus</w:t>
      </w:r>
      <w:r>
        <w:t>. El editor anota que esa Constitución se presentó el 10 de junio, se adoptó el 24 y «nunca estuvo en vigor»</w:t>
      </w:r>
      <w:r>
        <w:t xml:space="preserve"> [original: «ne fut jamais en vigueur»]</w:t>
      </w:r>
      <w:r>
        <w:t>.</w:t>
      </w:r>
    </w:p>
    <w:p>
      <w:pPr>
        <w:pStyle w:val="ListBullet"/>
      </w:pPr>
      <w:r>
        <w:rPr>
          <w:b/>
        </w:rPr>
        <w:t>Las palabras de Saint-Just.</w:t>
      </w:r>
      <w:r>
        <w:t xml:space="preserve"> El 8 de julio acusó a los diputados detenidos: «los que en las revoluciones quieren fijar un gobierno provisional y anárquico, esos preparan sordamente el regreso de la tiranía»</w:t>
      </w:r>
      <w:r>
        <w:t xml:space="preserve"> [original: «Ceux donc qui, dans les révolutions, veulent fixer un gouvernement provisoire et anarchique, ceux-là préparent sourdement le retour de la tyrannie»]</w:t>
      </w:r>
      <w:r>
        <w:t xml:space="preserve"> (Saint-Just, informe sobre los treinta y dos diputados detenidos, 8 de julio de 1793)</w:t>
      </w:r>
      <w:r>
        <w:br/>
      </w:r>
      <w:r>
        <w:rPr>
          <w:b/>
        </w:rPr>
        <w:t>pasaje guardado · Saint-Just, informe sobre los treinta y dos diputados detenidos, 8 de julio de 1793</w:t>
      </w:r>
      <w:r>
        <w:br/>
      </w:r>
      <w:r>
        <w:rPr>
          <w:b/>
        </w:rPr>
        <w:t>Archivo leído:</w:t>
      </w:r>
      <w:r>
        <w:t xml:space="preserve"> 10.00_Saint-Just_Oeuvres_completes_Vellay_1908_t2_archive_djvu.txt (c6\10.00_Saint-Just_Oeuvres_completes_Vellay_1908_t2_archive_djvu.txt) · contraste del archivo de pasajes: ✔</w:t>
      </w:r>
      <w:r>
        <w:br/>
      </w:r>
      <w:r>
        <w:rPr>
          <w:b/>
        </w:rPr>
        <w:t>Lugar:</w:t>
      </w:r>
      <w:r>
        <w:t xml:space="preserve"> Saint-Just, informe sobre los treinta y dos diputados detenidos, 8 de julio de 1793</w:t>
      </w:r>
      <w:r>
        <w:br/>
      </w:r>
      <w:r>
        <w:rPr>
          <w:b/>
        </w:rPr>
        <w:t>Tal como está en la fuente:</w:t>
      </w:r>
      <w:r>
        <w:t xml:space="preserve"> Ceux donc qui, dans les révolutions, veulent fixer un gouvernement provisoire et anarchique, ceux-là préparent sourdement le retour de la tyrannie</w:t>
      </w:r>
      <w:r>
        <w:t>. El 10 de octubre propuso él mismo: «El gobierno provisional de Francia es revolucionario hasta la paz»</w:t>
      </w:r>
      <w:r>
        <w:t xml:space="preserve"> [original: «Le gouvernement provisoire de la France est révolutionnaire jusqu'à la paix»]</w:t>
      </w:r>
      <w:r>
        <w:t xml:space="preserve"> (Saint-Just, informe y decreto del 19 de vendimiario del año II (10 de octubre de 1793), art. 1)</w:t>
      </w:r>
      <w:r>
        <w:br/>
      </w:r>
      <w:r>
        <w:rPr>
          <w:b/>
        </w:rPr>
        <w:t>pasaje guardado · Saint-Just, informe y decreto del 19 de vendimiario del año II (10 de octubre de 1793), ar</w:t>
      </w:r>
      <w:r>
        <w:br/>
      </w:r>
      <w:r>
        <w:rPr>
          <w:b/>
        </w:rPr>
        <w:t>Archivo leído:</w:t>
      </w:r>
      <w:r>
        <w:t xml:space="preserve"> 10.00_Saint-Just_Oeuvres_completes_Vellay_1908_t2_archive_djvu.txt.txt (c6\_trabajo\txt\10.00_Saint-Just_Oeuvres_completes_Vellay_1908_t2_archive_djvu.txt.txt) · contraste del archivo de pasajes: parcial</w:t>
      </w:r>
      <w:r>
        <w:br/>
      </w:r>
      <w:r>
        <w:rPr>
          <w:b/>
        </w:rPr>
        <w:t>Lugar:</w:t>
      </w:r>
      <w:r>
        <w:t xml:space="preserve"> Saint-Just, informe y decreto del 19 de vendimiario del año II (10 de octubre de 1793), art. 1</w:t>
      </w:r>
      <w:r>
        <w:br/>
      </w:r>
      <w:r>
        <w:rPr>
          <w:b/>
        </w:rPr>
        <w:t>Tal como está en la fuente:</w:t>
      </w:r>
      <w:r>
        <w:t xml:space="preserve"> Le gouvernement provisoire de la France est révolutionnaire jusqu'à la paix</w:t>
      </w:r>
      <w:r>
        <w:t>.</w:t>
      </w:r>
    </w:p>
    <w:p>
      <w:r>
        <w:t>[10.00-12.6 y 12.7; Condorcet, Archives parlementaires y Saint-Just leídos en francés (Internet Archive); nuevo, aprobado por Kiko el 5-oct: Saint-Just entre los cinco y su informe de julio]</w:t>
      </w:r>
    </w:p>
    <w:p>
      <w:r>
        <w:rPr>
          <w:b/>
        </w:rPr>
        <w:t>Conclusión, lo que arrojan los datos:</w:t>
      </w:r>
      <w:r>
        <w:t xml:space="preserve"> el contrato social es una idea, y sus autores lo dijeron: para Kant, «una mera idea de la razón»; para Hume, casi todos los gobiernos nacieron de la usurpación o la conquista. Tres autores la rellenaron de tres maneras que no casan entre sí. Y hay un caso documentado de un poder que tomó la pieza que lo legitimaba, la voluntad general, sin la condición que la limitaba: en 1793, la Constitución de derechos se apartó, la que la sustituyó nunca entró en vigor, y se propuso un gobierno revolucionario «hasta la paz». Lo que no prueba: que toda invocación de la voluntad general sea un abuso. Hay usos democráticos con deliberación real y con los frenos que el propio Rousseau pedía. </w:t>
      </w:r>
      <w:r>
        <w:t>[10.00-12.5]</w:t>
      </w:r>
    </w:p>
    <w:p>
      <w:r>
        <w:rPr>
          <w:b/>
        </w:rPr>
        <w:t>Lectura del autor:</w:t>
      </w:r>
      <w:r>
        <w:t xml:space="preserve"> el patrón de 1793, tomar la parte de una idea que legitima y dejar la que limita, no es solo de entonces. Es la forma de la maniobra camuflada (</w:t>
      </w:r>
      <w:r>
        <w:t>5.1</w:t>
      </w:r>
      <w:r>
        <w:t xml:space="preserve">): el nombre dice «voluntad del pueblo», y el hecho dice otra cosa. </w:t>
      </w:r>
      <w:r>
        <w:t>[10.00-12.5]</w:t>
      </w:r>
    </w:p>
    <w:p>
      <w:r>
        <w:rPr>
          <w:b/>
        </w:rPr>
        <w:t>Un pacto que sí se negoció: España, 1978.</w:t>
      </w:r>
    </w:p>
    <w:p>
      <w:pPr>
        <w:pStyle w:val="ListBullet"/>
      </w:pPr>
      <w:r>
        <w:rPr>
          <w:b/>
        </w:rPr>
        <w:t>La ponencia.</w:t>
      </w:r>
      <w:r>
        <w:t xml:space="preserve"> El Congreso «eligió una ponencia de siete diputados» y le encargó redactar el proyecto</w:t>
      </w:r>
      <w:r>
        <w:t xml:space="preserve"> (Pita Broncano, «La Constitución española de 1978: el consenso», Anuario de la Facultad de Derecho, Universidad de Extremadura, 2003; fuente secundaria)</w:t>
      </w:r>
      <w:r>
        <w:t>.</w:t>
      </w:r>
    </w:p>
    <w:p>
      <w:pPr>
        <w:pStyle w:val="ListBullet"/>
      </w:pPr>
      <w:r>
        <w:rPr>
          <w:b/>
        </w:rPr>
        <w:t>La votación.</w:t>
      </w:r>
      <w:r>
        <w:t xml:space="preserve"> El 31 de octubre de 1978, el Congreso aprobó el texto con 326 votos a favor, 6 en contra y 13 abstenciones; el Senado, con 226 a favor, 5 en contra y 8 abstenciones</w:t>
      </w:r>
      <w:r>
        <w:t xml:space="preserve"> (Diario de Sesiones del Congreso de los Diputados, n.º 130, 31 de octubre de 1978; el sumario da 325 a favor y 14 abstenciones)</w:t>
      </w:r>
      <w:r>
        <w:t>. En la misma sesión se lamentó «la abstención de un gran partido democrático vasco», el PNV</w:t>
      </w:r>
      <w:r>
        <w:t xml:space="preserve"> (ídem)</w:t>
      </w:r>
      <w:r>
        <w:t>.</w:t>
      </w:r>
    </w:p>
    <w:p>
      <w:pPr>
        <w:pStyle w:val="ListBullet"/>
      </w:pPr>
      <w:r>
        <w:rPr>
          <w:b/>
        </w:rPr>
        <w:t>La amenaza.</w:t>
      </w:r>
      <w:r>
        <w:t xml:space="preserve"> No se hizo en calma. La Operación Galaxia fue un plan golpista que, según las declaraciones del sumario, el teniente coronel Tejero expuso a otros oficiales en la cafetería Galaxia de Madrid el 11 de noviembre de 1978</w:t>
      </w:r>
      <w:r>
        <w:t xml:space="preserve"> (Roberto Muñoz Bolaños, «Operación Galaxia. La primera intentona golpista de la Transición», Historia del presente, 20, 2012; fuente secundaria)</w:t>
      </w:r>
      <w:r>
        <w:t>: fijaba el golpe para el viernes 17</w:t>
      </w:r>
      <w:r>
        <w:t xml:space="preserve"> (ídem)</w:t>
      </w:r>
      <w:r>
        <w:t>, cuando el rey emprendía su viaje oficial a México, del 17 al 22 de noviembre</w:t>
      </w:r>
      <w:r>
        <w:t xml:space="preserve"> (Ricardo Zugasti, «El viaje de la reconciliación», Espacios Públicos, 21, 2008; fuente secundaria)</w:t>
      </w:r>
      <w:r>
        <w:t>, antes del referéndum del 6 de diciembre</w:t>
      </w:r>
      <w:r>
        <w:t xml:space="preserve"> (Real Decreto 2560/1978, art. 2)</w:t>
      </w:r>
      <w:r>
        <w:t>. El plan se descubrió el 15 y no llegó a ejecutarse; en la vista oral, los asistentes a la reunión negaron que se hubiera conspirado</w:t>
      </w:r>
      <w:r>
        <w:t xml:space="preserve"> (ídem, Muñoz Bolaños)</w:t>
      </w:r>
      <w:r>
        <w:t>. Y en 1980 el terrorismo mató en España a 132 personas</w:t>
      </w:r>
      <w:r>
        <w:t xml:space="preserve"> (Centro Memorial de las Víctimas del Terrorismo, 1980. El terrorismo contra la Transición, 2020, prólogo, p. 14; fuente secundaria)</w:t>
      </w:r>
      <w:r>
        <w:t>; la Cronología de la Guardia Civil cuenta 97 muertos de ETA ese año, y «Vidas rotas» una víctima más</w:t>
      </w:r>
      <w:r>
        <w:t xml:space="preserve"> (Mikel Buesa, ETA: medio siglo de terrorismo. Un recuento estadístico, Documento de Trabajo n.º 1, Universidad Complutense de Madrid, diciembre de 2022, cuadro 3 y recuento de víctimas; fuente secundaria)</w:t>
      </w:r>
      <w:r>
        <w:t>.</w:t>
      </w:r>
    </w:p>
    <w:p>
      <w:pPr>
        <w:pStyle w:val="ListBullet"/>
      </w:pPr>
      <w:r>
        <w:rPr>
          <w:b/>
        </w:rPr>
        <w:t>Lo que permite decir.</w:t>
      </w:r>
      <w:r>
        <w:t xml:space="preserve"> Es un caso real de pacto negociado que ha durado casi cuarenta y ocho años sin ruptura violenta. Lo que no prueba: que lo consintieran quienes no votaron entonces, ni los nacidos después (la defensa y su réplica, en </w:t>
      </w:r>
      <w:r>
        <w:t>11.3</w:t>
      </w:r>
      <w:r>
        <w:t xml:space="preserve">, </w:t>
      </w:r>
      <w:r>
        <w:t>cargo 11</w:t>
      </w:r>
      <w:r>
        <w:t>).</w:t>
      </w:r>
    </w:p>
    <w:p>
      <w:r>
        <w:t>[10.00-17.1 a 17.6; Diario de Sesiones leído en el Congreso]</w:t>
      </w:r>
    </w:p>
    <w:p>
      <w:pPr>
        <w:pStyle w:val="Heading2"/>
      </w:pPr>
      <w:r>
        <w:t>6.2 Cómo se autoproclama un Estado</w:t>
      </w:r>
    </w:p>
    <w:p>
      <w:pPr>
        <w:pBdr>
          <w:left w:val="single" w:sz="24" w:space="6" w:color="E2DED6"/>
        </w:pBdr>
        <w:shd w:val="clear" w:color="auto" w:fill="F1EEE8"/>
        <w:spacing w:before="80" w:after="160"/>
        <w:ind w:left="142" w:right="142"/>
      </w:pPr>
      <w:r>
        <w:rPr>
          <w:b/>
        </w:rPr>
        <w:t>La idea: ningún Estado recibió su autoridad de nadie por encima. La tiene porque la ejerce y porque otros se la reconocen. Cuando además se declara el único intérprete de la voluntad de Dios o del bien común, y deja de admitir corrección, se autoproclama.</w:t>
      </w:r>
    </w:p>
    <w:p>
      <w:r>
        <w:rPr>
          <w:b/>
        </w:rPr>
        <w:t>La auctoritas.</w:t>
      </w:r>
      <w:r>
        <w:t xml:space="preserve"> «Autoridad» viene del latín </w:t>
      </w:r>
      <w:r>
        <w:rPr>
          <w:i/>
        </w:rPr>
        <w:t>auctoritas</w:t>
      </w:r>
      <w:r>
        <w:t xml:space="preserve">, de </w:t>
      </w:r>
      <w:r>
        <w:rPr>
          <w:i/>
        </w:rPr>
        <w:t>auctor</w:t>
      </w:r>
      <w:r>
        <w:t xml:space="preserve">, y este, del verbo </w:t>
      </w:r>
      <w:r>
        <w:rPr>
          <w:i/>
        </w:rPr>
        <w:t>augere</w:t>
      </w:r>
      <w:r>
        <w:t>, «aumentar»</w:t>
      </w:r>
      <w:r>
        <w:t xml:space="preserve"> [original: «to increase»]</w:t>
      </w:r>
      <w:r>
        <w:t xml:space="preserve"> (Lewis y Short, A Latin Dictionary (Diccionario latino), s. v. «augeo»)</w:t>
      </w:r>
      <w:r>
        <w:t xml:space="preserve">. El </w:t>
      </w:r>
      <w:r>
        <w:rPr>
          <w:i/>
        </w:rPr>
        <w:t>auctor</w:t>
      </w:r>
      <w:r>
        <w:t xml:space="preserve"> era «el que da existencia a algo, o promueve su aumento o su prosperidad»</w:t>
      </w:r>
      <w:r>
        <w:t xml:space="preserve"> [original: «he that brings about the existence of any object, or promotes the increase or prosperity of it»]</w:t>
      </w:r>
      <w:r>
        <w:t xml:space="preserve"> (s. v. «auctor»)</w:t>
      </w:r>
      <w:r>
        <w:br/>
      </w:r>
      <w:r>
        <w:rPr>
          <w:b/>
        </w:rPr>
        <w:t>leída en su fuente · s. v. «auctor»</w:t>
      </w:r>
      <w:r>
        <w:br/>
      </w:r>
      <w:r>
        <w:rPr>
          <w:b/>
        </w:rPr>
        <w:t>Archivo leído:</w:t>
      </w:r>
      <w:r>
        <w:t xml:space="preserve"> 12.00_Lewis_Short_auctor_Perseus.html; 12.00_Lewis_Short_auctoritas_Perseus.html; 12.00_Lewis_Short_augeo_Perseus.html (c6\12.00_Lewis_Short_auctor_Perseus.html) · contraste del archivo de pasajes: ✔</w:t>
      </w:r>
      <w:r>
        <w:br/>
      </w:r>
      <w:r>
        <w:rPr>
          <w:b/>
        </w:rPr>
        <w:t>Lugar:</w:t>
      </w:r>
      <w:r>
        <w:t xml:space="preserve"> auctor</w:t>
      </w:r>
      <w:r>
        <w:br/>
      </w:r>
      <w:r>
        <w:rPr>
          <w:b/>
        </w:rPr>
        <w:t>Dirección:</w:t>
      </w:r>
      <w:r>
        <w:t xml:space="preserve"> </w:t>
      </w:r>
      <w:r>
        <w:t>https://www.perseus.tufts.edu/hopper/text?doc=Perseus:text:1999.04.0059:entry=auctor</w:t>
      </w:r>
      <w:r>
        <w:t xml:space="preserve"> (y </w:t>
      </w:r>
      <w:r>
        <w:t>=auctoritas</w:t>
      </w:r>
      <w:r>
        <w:t xml:space="preserve">, </w:t>
      </w:r>
      <w:r>
        <w:t>=augeo</w:t>
      </w:r>
      <w:r>
        <w:t>)</w:t>
      </w:r>
      <w:r>
        <w:br/>
      </w:r>
      <w:r>
        <w:rPr>
          <w:b/>
        </w:rPr>
        <w:t>Tal como está en la fuente:</w:t>
      </w:r>
      <w:r>
        <w:t xml:space="preserve"> he that brings about the existence of any object, or promotes the increase or prosperity of it</w:t>
      </w:r>
      <w:r>
        <w:t xml:space="preserve">. Desde aquí, la edición llama </w:t>
      </w:r>
      <w:r>
        <w:rPr>
          <w:i/>
        </w:rPr>
        <w:t>auctoritas</w:t>
      </w:r>
      <w:r>
        <w:t xml:space="preserve"> a la autoridad que se gana haciendo crecer a quienes la sostienen (</w:t>
      </w:r>
      <w:r>
        <w:t>H.7</w:t>
      </w:r>
      <w:r>
        <w:t xml:space="preserve">). Los registros son una herramienta real del poder; pero la palabra no nació para eso, sino para nombrar a quien hace prosperar. </w:t>
      </w:r>
      <w:r>
        <w:t>[12.00-1.1 a 1.3; glosario 7.3; Lewis y Short leído en Perseus]</w:t>
      </w:r>
    </w:p>
    <w:p>
      <w:r>
        <w:rPr>
          <w:b/>
        </w:rPr>
        <w:t>Cómo nace un Estado, según el derecho internacional.</w:t>
      </w:r>
    </w:p>
    <w:p>
      <w:pPr>
        <w:pStyle w:val="ListBullet"/>
      </w:pPr>
      <w:r>
        <w:rPr>
          <w:b/>
        </w:rPr>
        <w:t>Los requisitos.</w:t>
      </w:r>
      <w:r>
        <w:t xml:space="preserve"> «El Estado como persona de Derecho Internacional debe reunir los siguientes requisitos: I. Población permanente. II. Territorio determinado. III. Gobierno. IV. Capacidad de entrar en relaciones con los demás Estados»</w:t>
      </w:r>
      <w:r>
        <w:t xml:space="preserve"> (Convención sobre Derechos y Deberes de los Estados, Montevideo, 26-12-1933, art. 1)</w:t>
      </w:r>
      <w:r>
        <w:br/>
      </w:r>
      <w:r>
        <w:rPr>
          <w:b/>
        </w:rPr>
        <w:t>pasaje guardado · Convención sobre Derechos y Deberes de los Estados, Montevideo, 26-12-1933, art. 1</w:t>
      </w:r>
      <w:r>
        <w:br/>
      </w:r>
      <w:r>
        <w:rPr>
          <w:b/>
        </w:rPr>
        <w:t>Archivo leído:</w:t>
      </w:r>
      <w:r>
        <w:t xml:space="preserve"> 12.00_Convencion_Montevideo_1933_OEA_facsimil_p1.jpg a _p8.jpg (art. 1 en la p2); 12.00_Convencion_Montevideo_1933_derechos_deberes_Estados_OEA_es.html (página que contiene las imágenes); 12.00_Montevideo_Convention_1933_Avalon_en.html (c6\12.00_Convencion_Montevideo_1933_OEA_facsimil_OCR_tesseract.txt) · contraste del archivo de pasajes: parcial</w:t>
      </w:r>
      <w:r>
        <w:br/>
      </w:r>
      <w:r>
        <w:rPr>
          <w:b/>
        </w:rPr>
        <w:t>Lugar:</w:t>
      </w:r>
      <w:r>
        <w:t xml:space="preserve"> Facsímil p2 (leído en la imagen)</w:t>
      </w:r>
      <w:r>
        <w:br/>
      </w:r>
      <w:r>
        <w:rPr>
          <w:b/>
        </w:rPr>
        <w:t>Dirección:</w:t>
      </w:r>
      <w:r>
        <w:t xml:space="preserve"> </w:t>
      </w:r>
      <w:r>
        <w:t>https://www.oas.org/juridico/spanish/tratados/a-40.html</w:t>
      </w:r>
      <w:r>
        <w:t xml:space="preserve"> ; </w:t>
      </w:r>
      <w:r>
        <w:t>https://avalon.law.yale.edu/20th_century/intam03.asp</w:t>
      </w:r>
      <w:r>
        <w:br/>
      </w:r>
      <w:r>
        <w:rPr>
          <w:b/>
        </w:rPr>
        <w:t>Tal como está en la fuente:</w:t>
      </w:r>
      <w:r>
        <w:t xml:space="preserve"> ARTÍCULO 1. El Estado como persona de Derecho Internacional debe reunir los siguientes requisitos: I. Población permanente. II. Territorio determinado. III. Gobierno. IV. Capacidad de entrar en relaciones con los demás Estados.</w:t>
      </w:r>
      <w:r>
        <w:t>.</w:t>
      </w:r>
    </w:p>
    <w:p>
      <w:pPr>
        <w:pStyle w:val="ListBullet"/>
      </w:pPr>
      <w:r>
        <w:rPr>
          <w:b/>
        </w:rPr>
        <w:t>El reconocimiento.</w:t>
      </w:r>
      <w:r>
        <w:t xml:space="preserve"> «La existencia política del Estado es independiente de su reconocimiento por los demás Estados»</w:t>
      </w:r>
      <w:r>
        <w:t xml:space="preserve"> (art. 3)</w:t>
      </w:r>
      <w:r>
        <w:br/>
      </w:r>
      <w:r>
        <w:rPr>
          <w:b/>
        </w:rPr>
        <w:t>pasaje guardado · art. 3</w:t>
      </w:r>
      <w:r>
        <w:br/>
      </w:r>
      <w:r>
        <w:rPr>
          <w:b/>
        </w:rPr>
        <w:t>Archivo leído:</w:t>
      </w:r>
      <w:r>
        <w:t xml:space="preserve"> 12.00_Convencion_Montevideo_1933_OEA_facsimil_OCR_tesseract.txt (c6\12.00_Convencion_Montevideo_1933_OEA_facsimil_OCR_tesseract.txt) · contraste del archivo de pasajes: parcial</w:t>
      </w:r>
      <w:r>
        <w:br/>
      </w:r>
      <w:r>
        <w:rPr>
          <w:b/>
        </w:rPr>
        <w:t>Lugar:</w:t>
      </w:r>
      <w:r>
        <w:t xml:space="preserve"> art. 3</w:t>
      </w:r>
      <w:r>
        <w:br/>
      </w:r>
      <w:r>
        <w:rPr>
          <w:b/>
        </w:rPr>
        <w:t>Tal como está en la fuente:</w:t>
      </w:r>
      <w:r>
        <w:t xml:space="preserve"> La existencia política del Estado es independiente de su reconocimiento por los demás Estados</w:t>
      </w:r>
      <w:r>
        <w:t>. Reconocer a un Estado solo significa que quien lo reconoce «acepta la personalidad del otro»</w:t>
      </w:r>
      <w:r>
        <w:t xml:space="preserve"> (art. 6)</w:t>
      </w:r>
      <w:r>
        <w:br/>
      </w:r>
      <w:r>
        <w:rPr>
          <w:b/>
        </w:rPr>
        <w:t>pasaje guardado · art. 6</w:t>
      </w:r>
      <w:r>
        <w:br/>
      </w:r>
      <w:r>
        <w:rPr>
          <w:b/>
        </w:rPr>
        <w:t>Archivo leído:</w:t>
      </w:r>
      <w:r>
        <w:t xml:space="preserve"> 030_Ley_General_Tributaria_y_sus_reglamentos.pdf (c9f\boe_codigos_electronicos\030_Ley_General_Tributaria_y_sus_reglamentos.pdf) · contraste del archivo de pasajes: parcial</w:t>
      </w:r>
      <w:r>
        <w:br/>
      </w:r>
      <w:r>
        <w:rPr>
          <w:b/>
        </w:rPr>
        <w:t>Lugar:</w:t>
      </w:r>
      <w:r>
        <w:t xml:space="preserve"> art. 6</w:t>
      </w:r>
      <w:r>
        <w:br/>
      </w:r>
      <w:r>
        <w:rPr>
          <w:b/>
        </w:rPr>
        <w:t>Tal como está en la fuente:</w:t>
      </w:r>
      <w:r>
        <w:t xml:space="preserve"> acepta la personalidad del otro</w:t>
      </w:r>
      <w:r>
        <w:t>.</w:t>
      </w:r>
    </w:p>
    <w:p>
      <w:pPr>
        <w:pStyle w:val="ListBullet"/>
      </w:pPr>
      <w:r>
        <w:rPr>
          <w:b/>
        </w:rPr>
        <w:t>Lo mismo, antes.</w:t>
      </w:r>
      <w:r>
        <w:t xml:space="preserve"> Un tribunal arbitral lo había dicho en 1929: «el reconocimiento de un Estado no es constitutivo, sino simplemente declarativo. El Estado existe por sí mismo, y el reconocimiento no es más que la constatación de esa existencia»</w:t>
      </w:r>
      <w:r>
        <w:t xml:space="preserve"> [original: «la reconnaissance d'un Etat est non pas constitutive, mais simplement déclarative. L'Etat existe de par lui-même et la reconnaissance n'est que la constatation de cette existence»]</w:t>
      </w:r>
      <w:r>
        <w:t xml:space="preserve"> (Tribunal Arbitral Mixto germano-polaco, Deutsche Continental-Gas-Gesellschaft contra el Estado polaco, 1929, publicado en la Zeitschrift für ausländisches öffentliches Recht und Völkerrecht, 1931)</w:t>
      </w:r>
      <w:r>
        <w:br/>
      </w:r>
      <w:r>
        <w:rPr>
          <w:b/>
        </w:rPr>
        <w:t>pasaje guardado · Tribunal Arbitral Mixto germano-polaco, Deutsche Continental-Gas-Gesellschaft contra el Es</w:t>
      </w:r>
      <w:r>
        <w:br/>
      </w:r>
      <w:r>
        <w:rPr>
          <w:b/>
        </w:rPr>
        <w:t>Archivo leído:</w:t>
      </w:r>
      <w:r>
        <w:t xml:space="preserve"> 12.00_ZaoeRV_1931_vol2_Rechtsprechung_TAM_germano-polaco_zaoerv.pdf (c6\12.00_ZaoeRV_1931_vol2_Rechtsprechung_TAM_germano-polaco_zaoerv.pdf) · contraste del archivo de pasajes: parcial</w:t>
      </w:r>
      <w:r>
        <w:br/>
      </w:r>
      <w:r>
        <w:rPr>
          <w:b/>
        </w:rPr>
        <w:t>Lugar:</w:t>
      </w:r>
      <w:r>
        <w:t xml:space="preserve"> PDF p. 8 (texto del laudo, OCR)</w:t>
      </w:r>
      <w:r>
        <w:br/>
      </w:r>
      <w:r>
        <w:rPr>
          <w:b/>
        </w:rPr>
        <w:t>Dirección:</w:t>
      </w:r>
      <w:r>
        <w:t xml:space="preserve"> </w:t>
      </w:r>
      <w:r>
        <w:t>https://www.zaoerv.de/02_1931/2_1931_2_b_14_2_40_1.pdf</w:t>
      </w:r>
      <w:r>
        <w:br/>
      </w:r>
      <w:r>
        <w:rPr>
          <w:b/>
        </w:rPr>
        <w:t>Tal como está en la fuente:</w:t>
      </w:r>
      <w:r>
        <w:t xml:space="preserve"> …selon l'opinion admise à juste titre par la grande majorité des auteurs en droit international, la reconnaissance d'un Etat est, non pas constitutive, mais simplement déclarative. L'Etat existe de par lui-même et la reconnaissance n'est que la constatation de cette existence</w:t>
      </w:r>
      <w:r>
        <w:br/>
      </w:r>
      <w:r>
        <w:rPr>
          <w:b/>
        </w:rPr>
        <w:t>Traducción guardada:</w:t>
      </w:r>
      <w:r>
        <w:t xml:space="preserve"> normalizado; el OCR da «d6clara- tive», «lui-m6fne»</w:t>
      </w:r>
      <w:r>
        <w:t>.</w:t>
      </w:r>
    </w:p>
    <w:p>
      <w:r>
        <w:t xml:space="preserve">Ningún Estado recibe su soberanía de una autoridad superior: la tiene porque controla de hecho una población y un territorio, y porque otros Estados, que cumplen lo mismo, se la reconocen. Es circular, y el derecho internacional no lo esconde: lo escribió en un tratado público. Y para ese derecho, el Estado es una «persona»: la ficción jurídica de </w:t>
      </w:r>
      <w:r>
        <w:t>5.3</w:t>
      </w:r>
      <w:r>
        <w:t xml:space="preserve">, ahora entre Estados. </w:t>
      </w:r>
      <w:r>
        <w:t>[12.00-2.1 a 2.4; Montevideo leído en el facsímil de la OEA; el laudo de 1929, en francés]</w:t>
      </w:r>
    </w:p>
    <w:p>
      <w:r>
        <w:rPr>
          <w:b/>
        </w:rPr>
        <w:t>Lo que la conquista dejó escrito.</w:t>
      </w:r>
      <w:r>
        <w:t xml:space="preserve"> En 1933, los Estados firmantes se obligaron a «no reconocer las adquisiciones territoriales o de ventajas especiales que se realicen por la fuerza»</w:t>
      </w:r>
      <w:r>
        <w:t xml:space="preserve"> (Montevideo, art. 11)</w:t>
      </w:r>
      <w:r>
        <w:br/>
      </w:r>
      <w:r>
        <w:rPr>
          <w:b/>
        </w:rPr>
        <w:t>pasaje guardado · Montevideo, art. 11</w:t>
      </w:r>
      <w:r>
        <w:br/>
      </w:r>
      <w:r>
        <w:rPr>
          <w:b/>
        </w:rPr>
        <w:t>Archivo leído:</w:t>
      </w:r>
      <w:r>
        <w:t xml:space="preserve"> 12.00_Convencion_Montevideo_1933_OEA_facsimil_OCR_tesseract.txt (c6\12.00_Convencion_Montevideo_1933_OEA_facsimil_OCR_tesseract.txt) · contraste del archivo de pasajes: parcial</w:t>
      </w:r>
      <w:r>
        <w:br/>
      </w:r>
      <w:r>
        <w:rPr>
          <w:b/>
        </w:rPr>
        <w:t>Lugar:</w:t>
      </w:r>
      <w:r>
        <w:t xml:space="preserve"> Montevideo, art. 11</w:t>
      </w:r>
      <w:r>
        <w:br/>
      </w:r>
      <w:r>
        <w:rPr>
          <w:b/>
        </w:rPr>
        <w:t>Tal como está en la fuente:</w:t>
      </w:r>
      <w:r>
        <w:t xml:space="preserve"> no reconocer las adquisiciones territoriales o de ventajas especiales que se realicen por la fuerza</w:t>
      </w:r>
      <w:r>
        <w:t>. En 1945, la Carta de las Naciones Unidas obligó a sus miembros a abstenerse «de recurrir a la amenaza o al uso de la fuerza contra la integridad territorial o la independencia política de cualquier Estado»</w:t>
      </w:r>
      <w:r>
        <w:t xml:space="preserve"> (Carta de las Naciones Unidas, art. 2.4)</w:t>
      </w:r>
      <w:r>
        <w:br/>
      </w:r>
      <w:r>
        <w:rPr>
          <w:b/>
        </w:rPr>
        <w:t>leída en su fuente · Carta de las Naciones Unidas, art. 2.4</w:t>
      </w:r>
      <w:r>
        <w:br/>
      </w:r>
      <w:r>
        <w:rPr>
          <w:b/>
        </w:rPr>
        <w:t>Archivo leído:</w:t>
      </w:r>
      <w:r>
        <w:t xml:space="preserve"> 12.00_Carta_ONU_capitulo_I_art_2-4_es.html (c6\12.00_Carta_ONU_capitulo_I_art_2-4_es.html) · contraste del archivo de pasajes: ✔</w:t>
      </w:r>
      <w:r>
        <w:br/>
      </w:r>
      <w:r>
        <w:rPr>
          <w:b/>
        </w:rPr>
        <w:t>Dirección:</w:t>
      </w:r>
      <w:r>
        <w:t xml:space="preserve"> </w:t>
      </w:r>
      <w:r>
        <w:t>https://www.un.org/es/about-us/un-charter/chapter-1</w:t>
      </w:r>
      <w:r>
        <w:br/>
      </w:r>
      <w:r>
        <w:rPr>
          <w:b/>
        </w:rPr>
        <w:t>Tal como está en la fuente:</w:t>
      </w:r>
      <w:r>
        <w:t xml:space="preserve"> Los Miembros de la Organización, en sus relaciones internacionales, se abstendrán de recurrir a la amenaza o al uso de la fuerza contra la integridad territorial o la independencia política de cualquier Estado…</w:t>
      </w:r>
      <w:r>
        <w:t>. Que hiciera falta prohibirlo indica que antes era práctica habitual, como había escrito Hume (</w:t>
      </w:r>
      <w:r>
        <w:t>6.1</w:t>
      </w:r>
      <w:r>
        <w:t xml:space="preserve">). </w:t>
      </w:r>
      <w:r>
        <w:t>[12.00-5.1, 5.2 y 5.6]</w:t>
      </w:r>
    </w:p>
    <w:p>
      <w:r>
        <w:rPr>
          <w:b/>
        </w:rPr>
        <w:t>Lo mismo, dentro del orden de las leyes.</w:t>
      </w:r>
      <w:r>
        <w:t xml:space="preserve"> La norma que se declara superior a la costumbre también se da validez a sí misma. Se vio en 1.7: el Código Civil de 1889, art. 5, y el Ordenamiento de Alcalá, de 1348. </w:t>
      </w:r>
      <w:r>
        <w:t>[12.00-5.4]</w:t>
      </w:r>
    </w:p>
    <w:p>
      <w:r>
        <w:rPr>
          <w:b/>
        </w:rPr>
        <w:t>Lo que no se sigue de ahí.</w:t>
      </w:r>
      <w:r>
        <w:t xml:space="preserve"> Que la autoridad del Estado nazca así no abre la misma vía a una persona dentro de un territorio que ya controla un Estado reconocido: le faltan territorio propio, población propia y el reconocimiento de sus pares. Se ha intentado, y los tribunales han respondido. En Australia, Leonard Casley, que en 1970 notificó la secesión de su granja de Hutt River (la «provincia»), perdió en 2017 un pleito con el fisco: el Tribunal Supremo de Australia Occidental le condenó a pagar 2.770.177,63 dólares australianos, más intereses y costas (y, en otro asunto, 242.669,53 a su hijo Arthur), y el juez Le Miere escribió que «cualquiera puede declararse soberano en su propia casa, pero no pueden ignorar las leyes de Australia ni dejar de pagar impuestos»</w:t>
      </w:r>
      <w:r>
        <w:t xml:space="preserve"> [original: «Anyone can declare themselves a sovereign in their own home but they cannot ignore the laws of Australia or not pay tax»]</w:t>
      </w:r>
      <w:r>
        <w:t xml:space="preserve"> (Deputy Commissioner of Taxation v Casley [2017] WASC 161, 16-6-2017, párrs. 3, 5, 12, 20 y 22; Casley v Deputy Commissioner of Taxation [2017] WASCA 196, 20-10-2017 (recurso desestimado))</w:t>
      </w:r>
      <w:r>
        <w:br/>
      </w:r>
      <w:r>
        <w:rPr>
          <w:b/>
        </w:rPr>
        <w:t>leída en su fuente · Deputy Commissioner of Taxation v Casley WASC 161, 16-6-2017, párrs. 3, 5, 12, 20 y</w:t>
      </w:r>
      <w:r>
        <w:br/>
      </w:r>
      <w:r>
        <w:rPr>
          <w:b/>
        </w:rPr>
        <w:t>Archivo leído:</w:t>
      </w:r>
      <w:r>
        <w:t xml:space="preserve"> 12.00_Sydney_Criminal_Lawyers_Hutt_River_2017_back-taxes.html (c6\12.00_Sydney_Criminal_Lawyers_Hutt_River_2017_back-taxes.html) · contraste del archivo de pasajes: ✔</w:t>
      </w:r>
      <w:r>
        <w:br/>
      </w:r>
      <w:r>
        <w:rPr>
          <w:b/>
        </w:rPr>
        <w:t>Lugar:</w:t>
      </w:r>
      <w:r>
        <w:t xml:space="preserve"> Deputy Commissioner of Taxation v Casley [2017] WASC 161, 16-6-2017, párrs. 3, 5, 12, 20 y 22; Casley v Deputy Commissioner of Taxation [2017] WASCA 196, 20-10-2017 (recurso desestimado)</w:t>
      </w:r>
      <w:r>
        <w:br/>
      </w:r>
      <w:r>
        <w:rPr>
          <w:b/>
        </w:rPr>
        <w:t>Tal como está en la fuente:</w:t>
      </w:r>
      <w:r>
        <w:t xml:space="preserve"> Anyone can declare themselves a sovereign in their own home but they cannot ignore the laws of Australia or not pay tax</w:t>
      </w:r>
      <w:r>
        <w:t>. En Italia, la Isla de las Rosas, una plataforma que declaró su independencia el 1 de mayo de 1968, fue ocupada por las fuerzas del orden el 25 de junio, cincuenta y cinco días después, y destruida en febrero de 1969: la Marina intentó derribarla con explosivos los días 11 y 13 y la hundió un temporal el 26</w:t>
      </w:r>
      <w:r>
        <w:t xml:space="preserve"> (Martina Calabrese, La Repubblica Esperantista dell'Isola delle Rose. Storia di una micronazione, CRIO Papers 74, Universidad de Catania, 2024; fuente secundaria)</w:t>
      </w:r>
      <w:r>
        <w:t>. Es una sola fuente académica, hecha sobre prensa y libros divulgativos, y otra versión da el 24 de junio para la declaración de independencia. La obra no propone ese camino: lo descartó (</w:t>
      </w:r>
      <w:r>
        <w:t>2.6</w:t>
      </w:r>
      <w:r>
        <w:t xml:space="preserve">; </w:t>
      </w:r>
      <w:r>
        <w:t>anexo E</w:t>
      </w:r>
      <w:r>
        <w:t xml:space="preserve">). </w:t>
      </w:r>
      <w:r>
        <w:t>[12.00-0.2, 0.3, 3.1 a 3.4, 4.1 a 4.3 y 5.5]</w:t>
      </w:r>
    </w:p>
    <w:p>
      <w:pPr>
        <w:pStyle w:val="Heading3"/>
      </w:pPr>
      <w:r>
        <w:t>Del aprendiz al ser superior</w:t>
      </w:r>
    </w:p>
    <w:p>
      <w:r>
        <w:rPr>
          <w:b/>
        </w:rPr>
        <w:t>La autoproclamación.</w:t>
      </w:r>
      <w:r>
        <w:t xml:space="preserve"> Desde aquí, la edición llama así a lo que hace un poder cuando se declara el único que conoce la voluntad de Dios o el bien común, se concede con eso una potestad que nadie puede discutir, y sale de la condición de aprendiz (</w:t>
      </w:r>
      <w:r>
        <w:t>2.5</w:t>
      </w:r>
      <w:r>
        <w:t xml:space="preserve">) para colocarse en la de ser superior. El patrón está documentado, con fecha, en civilizaciones sin relación entre sí. </w:t>
      </w:r>
      <w:r>
        <w:t>[00.00-5.1; glosario 9.2]</w:t>
      </w:r>
    </w:p>
    <w:p>
      <w:pPr>
        <w:pStyle w:val="ListBullet"/>
      </w:pPr>
      <w:r>
        <w:rPr>
          <w:b/>
        </w:rPr>
        <w:t>Egipto.</w:t>
      </w:r>
      <w:r>
        <w:t xml:space="preserve"> Desde el día de su coronación, el faraón llevaba entre sus títulos el de «Hijo de Ra»</w:t>
      </w:r>
      <w:r>
        <w:t xml:space="preserve"> [original: «Son of Re»]</w:t>
      </w:r>
      <w:r>
        <w:t>: así lo fija el decreto de coronación de Tutmosis I</w:t>
      </w:r>
      <w:r>
        <w:t xml:space="preserve"> (J. H. Breasted, Ancient Records of Egypt (Documentos antiguos de Egipto), vol. II, 1906, §§ 54-60)</w:t>
      </w:r>
      <w:r>
        <w:t>. Su título más antiguo, «Horus», lo presentaba como sucesor del dios que había gobernado el reino</w:t>
      </w:r>
      <w:r>
        <w:t xml:space="preserve"> (Breasted, A History of Egypt (Historia de Egipto), 1909, p. 38)</w:t>
      </w:r>
      <w:r>
        <w:t>.</w:t>
      </w:r>
    </w:p>
    <w:p>
      <w:pPr>
        <w:pStyle w:val="ListBullet"/>
      </w:pPr>
      <w:r>
        <w:rPr>
          <w:b/>
        </w:rPr>
        <w:t>Roma.</w:t>
      </w:r>
      <w:r>
        <w:t xml:space="preserve"> Augusto escribió que, desde entonces, superó a todos «en dignidad», pero que no tuvo «más poder que los que fueron también mis colegas en cada magistratura»</w:t>
      </w:r>
      <w:r>
        <w:t xml:space="preserve"> [original: «Post id tempus praestiti omnibus dignitate, potestatis autem nihilo amplius habui quam qui fuerunt mihi quoque in magistratu conlegae»]</w:t>
      </w:r>
      <w:r>
        <w:t xml:space="preserve"> (Res Gestae divi Augusti (Hechos del divino Augusto), 34)</w:t>
      </w:r>
      <w:r>
        <w:br/>
      </w:r>
      <w:r>
        <w:rPr>
          <w:b/>
        </w:rPr>
        <w:t>pasaje guardado · Res Gestae divi Augusti (Hechos del divino Augusto), 34</w:t>
      </w:r>
      <w:r>
        <w:br/>
      </w:r>
      <w:r>
        <w:rPr>
          <w:b/>
        </w:rPr>
        <w:t>Archivo leído:</w:t>
      </w:r>
      <w:r>
        <w:t xml:space="preserve"> res_gestae_6_la_gr_en_shipley_lacuscurtius.html (c6b\res_gestae_6_la_gr_en_shipley_lacuscurtius.html) · contraste del archivo de pasajes: parcial</w:t>
      </w:r>
      <w:r>
        <w:br/>
      </w:r>
      <w:r>
        <w:rPr>
          <w:b/>
        </w:rPr>
        <w:t>Lugar:</w:t>
      </w:r>
      <w:r>
        <w:t xml:space="preserve"> Res Gestae divi Augusti (Hechos del divino Augusto), 34</w:t>
      </w:r>
      <w:r>
        <w:br/>
      </w:r>
      <w:r>
        <w:rPr>
          <w:b/>
        </w:rPr>
        <w:t>Tal como está en la fuente:</w:t>
      </w:r>
      <w:r>
        <w:t xml:space="preserve"> Post id tempus praestiti omnibus dignitate, potestatis autem nihilo amplius habui quam qui fuerunt mihi quoque in magistratu conlegae</w:t>
      </w:r>
      <w:r>
        <w:t>. Menos de un siglo después, Domiciano dictaba cartas que empezaban así: «Nuestro señor y dios ordena que se haga esto»</w:t>
      </w:r>
      <w:r>
        <w:t xml:space="preserve"> [original: «Dominus et deus noster hoc fieri iubet»]</w:t>
      </w:r>
      <w:r>
        <w:t xml:space="preserve"> (Suetonio, Domiciano 13)</w:t>
      </w:r>
      <w:r>
        <w:br/>
      </w:r>
      <w:r>
        <w:rPr>
          <w:b/>
        </w:rPr>
        <w:t>leída en su fuente · Suetonio, Domiciano 13</w:t>
      </w:r>
      <w:r>
        <w:br/>
      </w:r>
      <w:r>
        <w:rPr>
          <w:b/>
        </w:rPr>
        <w:t>Archivo leído:</w:t>
      </w:r>
      <w:r>
        <w:t xml:space="preserve"> suetonio_domiciano_en_rolfe_lacuscurtius.txt (c6b\suetonio_domiciano_la_lacuscurtius.html) · contraste del archivo de pasajes: ✔</w:t>
      </w:r>
      <w:r>
        <w:br/>
      </w:r>
      <w:r>
        <w:rPr>
          <w:b/>
        </w:rPr>
        <w:t>Lugar:</w:t>
      </w:r>
      <w:r>
        <w:t xml:space="preserve"> Res Gestae 34</w:t>
      </w:r>
      <w:r>
        <w:br/>
      </w:r>
      <w:r>
        <w:rPr>
          <w:b/>
        </w:rPr>
        <w:t>Dirección:</w:t>
      </w:r>
      <w:r>
        <w:t xml:space="preserve"> </w:t>
      </w:r>
      <w:r>
        <w:t>https://www.thelatinlibrary.com/resgestae.html</w:t>
      </w:r>
      <w:r>
        <w:t xml:space="preserve"> ; </w:t>
      </w:r>
      <w:r>
        <w:t>https://www.thelatinlibrary.com/suetonius/suet.dom.html</w:t>
      </w:r>
      <w:r>
        <w:br/>
      </w:r>
      <w:r>
        <w:rPr>
          <w:b/>
        </w:rPr>
        <w:t>Tal como está en la fuente:</w:t>
      </w:r>
      <w:r>
        <w:t xml:space="preserve"> "Pari arrogantia, cum procuratorum suorum nomine formalem dictaret epistulam, sic coepit: ""Dominus et deus noster hoc fieri iubet."""</w:t>
      </w:r>
      <w:r>
        <w:br/>
      </w:r>
      <w:r>
        <w:rPr>
          <w:b/>
        </w:rPr>
        <w:t>Traducción guardada:</w:t>
      </w:r>
      <w:r>
        <w:t xml:space="preserve"> Con la misma arrogancia, al dictar una carta oficial en nombre de sus procuradores, empezó así: «Nuestro señor y dios manda que se haga esto»</w:t>
      </w:r>
      <w:r>
        <w:t>.</w:t>
      </w:r>
    </w:p>
    <w:p>
      <w:pPr>
        <w:pStyle w:val="ListBullet"/>
      </w:pPr>
      <w:r>
        <w:rPr>
          <w:b/>
        </w:rPr>
        <w:t>Japón.</w:t>
      </w:r>
      <w:r>
        <w:t xml:space="preserve"> El 1 de enero de 1946, el emperador declaró por escrito que el vínculo con su pueblo no nace de mitos ni leyendas, ni se basa en «la idea ficticia de que el emperador es un dios manifiesto»</w:t>
      </w:r>
      <w:r>
        <w:t xml:space="preserve"> [original: «天皇ヲ以テ現御神トシ…架空ナル觀念ニ基クモノニモ非ズ»]</w:t>
      </w:r>
      <w:r>
        <w:t xml:space="preserve"> (rescripto imperial de 1 de enero de 1946; traducción inglesa en Foreign Relations of the United States, 1946, vol. VIII, doc. 138)</w:t>
      </w:r>
      <w:r>
        <w:br/>
      </w:r>
      <w:r>
        <w:rPr>
          <w:b/>
        </w:rPr>
        <w:t>leída en su fuente · rescripto imperial de 1 de enero de 1946; traducción inglesa en Foreign Relations of the U</w:t>
      </w:r>
      <w:r>
        <w:br/>
      </w:r>
      <w:r>
        <w:rPr>
          <w:b/>
        </w:rPr>
        <w:t>Original donde está:</w:t>
      </w:r>
      <w:r>
        <w:t xml:space="preserve"> ningen_sengen_ja_wikisource.html</w:t>
      </w:r>
      <w:r>
        <w:br/>
      </w:r>
      <w:r>
        <w:t>El pasaje literal no está en el archivo de pasajes con este comienzo; la auditoría lo halló en ese original.</w:t>
      </w:r>
      <w:r>
        <w:t>. La palabra japonesa es 架空, «ficticio».</w:t>
      </w:r>
    </w:p>
    <w:p>
      <w:pPr>
        <w:pStyle w:val="ListBullet"/>
      </w:pPr>
      <w:r>
        <w:rPr>
          <w:b/>
        </w:rPr>
        <w:t>La cristiandad medieval.</w:t>
      </w:r>
      <w:r>
        <w:t xml:space="preserve"> La Donación de Constantino, un documento que sostuvo durante siglos un poder político, se demostró falsa en 1440, cuando Lorenzo Valla escribió su tratado</w:t>
      </w:r>
      <w:r>
        <w:t xml:space="preserve"> (C. B. Coleman, The Treatise of Lorenzo Valla on the Donation of Constantine (El tratado de Lorenzo Valla sobre la Donación de Constantino), 1922)</w:t>
      </w:r>
      <w:r>
        <w:t>. Y un documento auténtico, el Dictatus Papae de 1075, reclamó para el papa «que le es lícito deponer a los emperadores»</w:t>
      </w:r>
      <w:r>
        <w:t xml:space="preserve"> [original: «Quod illi liceat imperatores deponere»]</w:t>
      </w:r>
      <w:r>
        <w:t xml:space="preserve"> (Dictatus Papae, XII, ed. Caspar, 1920)</w:t>
      </w:r>
      <w:r>
        <w:br/>
      </w:r>
      <w:r>
        <w:rPr>
          <w:b/>
        </w:rPr>
        <w:t>leída en su fuente · Dictatus Papae, XII, ed. Caspar, 1920</w:t>
      </w:r>
      <w:r>
        <w:br/>
      </w:r>
      <w:r>
        <w:rPr>
          <w:b/>
        </w:rPr>
        <w:t>Archivo leído:</w:t>
      </w:r>
      <w:r>
        <w:t xml:space="preserve"> dictatus_papae_caspar1920_djvu.txt (c6b\dictatus_papae_caspar1920_djvu.txt) · contraste del archivo de pasajes: ✔</w:t>
      </w:r>
      <w:r>
        <w:br/>
      </w:r>
      <w:r>
        <w:rPr>
          <w:b/>
        </w:rPr>
        <w:t>Lugar:</w:t>
      </w:r>
      <w:r>
        <w:t xml:space="preserve"> Dictatus Papae, XII, ed. Caspar, 1920</w:t>
      </w:r>
      <w:r>
        <w:br/>
      </w:r>
      <w:r>
        <w:rPr>
          <w:b/>
        </w:rPr>
        <w:t>Tal como está en la fuente:</w:t>
      </w:r>
      <w:r>
        <w:t xml:space="preserve"> Quod illi liceat imperatores deponere</w:t>
      </w:r>
      <w:r>
        <w:t>.</w:t>
      </w:r>
    </w:p>
    <w:p>
      <w:pPr>
        <w:pStyle w:val="ListBullet"/>
      </w:pPr>
      <w:r>
        <w:rPr>
          <w:b/>
        </w:rPr>
        <w:t>La monarquía absoluta.</w:t>
      </w:r>
      <w:r>
        <w:t xml:space="preserve"> Jacobo VI de Escocia, después también Jacobo I de Inglaterra, escribió que el rey ha de ser «juzgado solo por Dios, a quien solo debe rendir cuentas»</w:t>
      </w:r>
      <w:r>
        <w:t xml:space="preserve"> [original: «to be iudged onely by God, whom to onely hee must giue count»]</w:t>
      </w:r>
      <w:r>
        <w:t xml:space="preserve"> (Jacobo VI, The True Law of Free Monarchies (La verdadera ley de las monarquías libres), 1598, ed. McIlwain, 1918)</w:t>
      </w:r>
      <w:r>
        <w:br/>
      </w:r>
      <w:r>
        <w:rPr>
          <w:b/>
        </w:rPr>
        <w:t>leída en su fuente · Jacobo VI, The True Law of Free Monarchies (La verdadera ley de las monarquías libres), 15</w:t>
      </w:r>
      <w:r>
        <w:br/>
      </w:r>
      <w:r>
        <w:rPr>
          <w:b/>
        </w:rPr>
        <w:t>Archivo leído:</w:t>
      </w:r>
      <w:r>
        <w:t xml:space="preserve"> jacobo_political_works_mcilwain1918_djvu.txt (c6b\jacobo_political_works_mcilwain1918_djvu.txt) · contraste del archivo de pasajes: ✔</w:t>
      </w:r>
      <w:r>
        <w:br/>
      </w:r>
      <w:r>
        <w:rPr>
          <w:b/>
        </w:rPr>
        <w:t>Lugar:</w:t>
      </w:r>
      <w:r>
        <w:t xml:space="preserve"> Jacobo VI, The True Law of Free Monarchies (La verdadera ley de las monarquías libres), 1598, ed. McIlwain, 1918</w:t>
      </w:r>
      <w:r>
        <w:br/>
      </w:r>
      <w:r>
        <w:rPr>
          <w:b/>
        </w:rPr>
        <w:t>Tal como está en la fuente:</w:t>
      </w:r>
      <w:r>
        <w:t xml:space="preserve"> to be iudged onely by God, whom to onely hee must giue count</w:t>
      </w:r>
      <w:r>
        <w:t>.</w:t>
      </w:r>
    </w:p>
    <w:p>
      <w:pPr>
        <w:pStyle w:val="ListBullet"/>
      </w:pPr>
      <w:r>
        <w:rPr>
          <w:b/>
        </w:rPr>
        <w:t>El Estado moderno.</w:t>
      </w:r>
      <w:r>
        <w:t xml:space="preserve"> Su teórico fundacional lo llamó «Dios mortal» (</w:t>
      </w:r>
      <w:r>
        <w:t>6.1</w:t>
      </w:r>
      <w:r>
        <w:t>).</w:t>
      </w:r>
    </w:p>
    <w:p>
      <w:r>
        <w:t>[00.00-5.2 a 5.7; leídos en su original: Breasted, Res Gestae y Suetonio (latín), el rescripto japonés, Coleman, Caspar y McIlwain]</w:t>
      </w:r>
    </w:p>
    <w:p>
      <w:r>
        <w:rPr>
          <w:b/>
        </w:rPr>
        <w:t>El freno, dentro de las mismas tradiciones.</w:t>
      </w:r>
    </w:p>
    <w:p>
      <w:pPr>
        <w:pStyle w:val="ListBullet"/>
      </w:pPr>
      <w:r>
        <w:t>«Di: "Yo soy sólo un mortal como vosotros, a quien se ha revelado…"»</w:t>
      </w:r>
      <w:r>
        <w:t xml:space="preserve"> (Corán 18:110, traducción de Julio Cortés)</w:t>
      </w:r>
      <w:r>
        <w:br/>
      </w:r>
      <w:r>
        <w:rPr>
          <w:b/>
        </w:rPr>
        <w:t>leída en su fuente · Corán 18:110,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18:110, traducción de Julio Cortés</w:t>
      </w:r>
      <w:r>
        <w:br/>
      </w:r>
      <w:r>
        <w:rPr>
          <w:b/>
        </w:rPr>
        <w:t>Tal como está en la fuente:</w:t>
      </w:r>
      <w:r>
        <w:t xml:space="preserve"> "Di: ""Yo soy sólo un mortal como vosotros, a quien se ha revelado…"""</w:t>
      </w:r>
      <w:r>
        <w:t>.</w:t>
      </w:r>
    </w:p>
    <w:p>
      <w:pPr>
        <w:pStyle w:val="ListBullet"/>
      </w:pPr>
      <w:r>
        <w:t>«Mi reino no es de este mundo»</w:t>
      </w:r>
      <w:r>
        <w:t xml:space="preserve"> (Jn 18:36)</w:t>
      </w:r>
      <w:r>
        <w:br/>
      </w:r>
      <w:r>
        <w:rPr>
          <w:b/>
        </w:rPr>
        <w:t>pasaje guardado</w:t>
      </w:r>
      <w:r>
        <w:br/>
      </w:r>
      <w:r>
        <w:rPr>
          <w:b/>
        </w:rPr>
        <w:t>Archivo leído:</w:t>
      </w:r>
      <w:r>
        <w:t xml:space="preserve"> spaRV1909_texto_corrido.txt (biblia_rv1909\spaRV1909_texto_corrido.txt) · contraste del archivo de pasajes: ✔</w:t>
      </w:r>
      <w:r>
        <w:br/>
      </w:r>
      <w:r>
        <w:rPr>
          <w:b/>
        </w:rPr>
        <w:t>Lugar:</w:t>
      </w:r>
      <w:r>
        <w:t xml:space="preserve"> Jn 18:36</w:t>
      </w:r>
      <w:r>
        <w:br/>
      </w:r>
      <w:r>
        <w:rPr>
          <w:b/>
        </w:rPr>
        <w:t>Tal como está en la fuente:</w:t>
      </w:r>
      <w:r>
        <w:t xml:space="preserve"> Mi reino no es de este mundo</w:t>
      </w:r>
      <w:r>
        <w:t>.</w:t>
      </w:r>
    </w:p>
    <w:p>
      <w:pPr>
        <w:pStyle w:val="ListBullet"/>
      </w:pPr>
      <w:r>
        <w:t>Y el príncipe Siddhattha, el futuro Buda, dejó el palacio la noche que el texto llama «la Gran Renuncia»</w:t>
      </w:r>
      <w:r>
        <w:t xml:space="preserve"> [original: «the Great Renunciation»]</w:t>
      </w:r>
      <w:r>
        <w:t xml:space="preserve"> (Nidānakathā, traducción de T. W. Rhys Davids, 1880)</w:t>
      </w:r>
      <w:r>
        <w:t>.</w:t>
      </w:r>
    </w:p>
    <w:p>
      <w:r>
        <w:t>[00.00-5.8]</w:t>
      </w:r>
    </w:p>
    <w:p>
      <w:r>
        <w:rPr>
          <w:b/>
        </w:rPr>
        <w:t>La pregunta, puesta a prueba con casos: ¿gobierna mejor quien se sabe aprendiz?</w:t>
      </w:r>
    </w:p>
    <w:p>
      <w:pPr>
        <w:pStyle w:val="ListBullet"/>
      </w:pPr>
      <w:r>
        <w:rPr>
          <w:b/>
        </w:rPr>
        <w:t>Salomón</w:t>
      </w:r>
      <w:r>
        <w:t xml:space="preserve"> pidió a Dios «corazón dócil para juzgar á tu pueblo, para discernir entre lo bueno y lo malo» (1 Re 3:9). Y aun así, a su muerte, el pueblo pidió a su hijo que aliviara «el yugo pesado» que su padre había puesto sobre ellos (1 Re 12:4); el hijo no los escuchó, e Israel se apartó «de la casa de David» (1 Re 12:16-19). Pedir sabiduría una vez no basta.</w:t>
      </w:r>
    </w:p>
    <w:p>
      <w:pPr>
        <w:pStyle w:val="ListBullet"/>
      </w:pPr>
      <w:r>
        <w:rPr>
          <w:b/>
        </w:rPr>
        <w:t>Marco Aurelio</w:t>
      </w:r>
      <w:r>
        <w:t>, con el mismo poder concentrado que Domiciano, escribió para sí mismo: «de Rústico, el haber concebido la idea de que mi carácter necesitaba corrección y cuidado»</w:t>
      </w:r>
      <w:r>
        <w:t xml:space="preserve"> [original: «Παρὰ Ῥουστίκου τὸ λαβεῖν φαντασίαν τοῦ χρῄζειν διορθώσεως καὶ θεραπείας τοῦ ἤθους»]</w:t>
      </w:r>
      <w:r>
        <w:t xml:space="preserve"> (Marco Aurelio, Meditaciones I, 7)</w:t>
      </w:r>
      <w:r>
        <w:br/>
      </w:r>
      <w:r>
        <w:rPr>
          <w:b/>
        </w:rPr>
        <w:t>leída en su fuente · Marco Aurelio, Meditaciones I, 7</w:t>
      </w:r>
      <w:r>
        <w:br/>
      </w:r>
      <w:r>
        <w:rPr>
          <w:b/>
        </w:rPr>
        <w:t>Original donde está:</w:t>
      </w:r>
      <w:r>
        <w:t xml:space="preserve"> marco_aurelio_meditaciones_grc_perseus.xml</w:t>
      </w:r>
      <w:r>
        <w:br/>
      </w:r>
      <w:r>
        <w:t>El pasaje literal no está en el archivo de pasajes con este comienzo; la auditoría lo halló en ese original.</w:t>
      </w:r>
      <w:r>
        <w:t>.</w:t>
      </w:r>
    </w:p>
    <w:p>
      <w:pPr>
        <w:pStyle w:val="ListBullet"/>
      </w:pPr>
      <w:r>
        <w:rPr>
          <w:b/>
        </w:rPr>
        <w:t>Ciro</w:t>
      </w:r>
      <w:r>
        <w:t>, en su cilindro: «mis numerosas tropas marchaban en paz por Babilonia, y todo [Sumer] y Acad no tuvo nada que temer»</w:t>
      </w:r>
      <w:r>
        <w:t xml:space="preserve"> [original: «My vast troops were marching peaceably in Babylon, and the whole of [Sumer] and Akkad had nothing to fear»]</w:t>
      </w:r>
      <w:r>
        <w:t xml:space="preserve"> (Cilindro de Ciro, traducción de I. Finkel, Museo Británico)</w:t>
      </w:r>
      <w:r>
        <w:br/>
      </w:r>
      <w:r>
        <w:rPr>
          <w:b/>
        </w:rPr>
        <w:t>leída en su fuente · Cilindro de Ciro, traducción de I. Finkel, Museo Británico</w:t>
      </w:r>
      <w:r>
        <w:br/>
      </w:r>
      <w:r>
        <w:rPr>
          <w:b/>
        </w:rPr>
        <w:t>Archivo leído:</w:t>
      </w:r>
      <w:r>
        <w:t xml:space="preserve"> ciro_cilindro_traduccion_finkel_BM_wayback2013.html (c6b\ciro_cilindro_traduccion_finkel_BM_wayback2013.html) · contraste del archivo de pasajes: ✔</w:t>
      </w:r>
      <w:r>
        <w:br/>
      </w:r>
      <w:r>
        <w:rPr>
          <w:b/>
        </w:rPr>
        <w:t>Lugar:</w:t>
      </w:r>
      <w:r>
        <w:t xml:space="preserve"> Cilindro de Ciro, traducción de I. Finkel, Museo Británico</w:t>
      </w:r>
      <w:r>
        <w:br/>
      </w:r>
      <w:r>
        <w:rPr>
          <w:b/>
        </w:rPr>
        <w:t>Tal como está en la fuente:</w:t>
      </w:r>
      <w:r>
        <w:t xml:space="preserve"> My vast troops were marching peaceably in Babylon, and the whole of [Sumer] and Akkad had nothing to fear</w:t>
      </w:r>
      <w:r>
        <w:t>. Es su propia versión: la de un conquistador.</w:t>
      </w:r>
    </w:p>
    <w:p>
      <w:pPr>
        <w:pStyle w:val="ListBullet"/>
      </w:pPr>
      <w:r>
        <w:rPr>
          <w:b/>
        </w:rPr>
        <w:t>Ashoka</w:t>
      </w:r>
      <w:r>
        <w:t xml:space="preserve"> describió su propia guerra: «cien mil fueron los que murieron allí, y muchas veces más los que perecieron»</w:t>
      </w:r>
      <w:r>
        <w:t xml:space="preserve"> [original: «one hundred thousand in number were those who were slain there, (and) many times as many those who died»]</w:t>
      </w:r>
      <w:r>
        <w:t>. Después, dice, vino «un estudio celoso de la moral»</w:t>
      </w:r>
      <w:r>
        <w:t xml:space="preserve"> [original: «a zealous study of morality»]</w:t>
      </w:r>
      <w:r>
        <w:t xml:space="preserve"> (Ashoka, edicto de roca XIII, traducción de E. Hultzsch, 1925)</w:t>
      </w:r>
      <w:r>
        <w:br/>
      </w:r>
      <w:r>
        <w:rPr>
          <w:b/>
        </w:rPr>
        <w:t>leída en su fuente · Ashoka, edicto de roca XIII, traducción de E. Hultzsch, 1925</w:t>
      </w:r>
      <w:r>
        <w:br/>
      </w:r>
      <w:r>
        <w:rPr>
          <w:b/>
        </w:rPr>
        <w:t>Archivo leído:</w:t>
      </w:r>
      <w:r>
        <w:t xml:space="preserve"> ashoka_edicto_roca_XIII_hultzsch_CII_1925_extracto.pdf (c6b\ashoka_edicto_roca_XIII_hultzsch_CII_1925_extracto.pdf) · contraste del archivo de pasajes: ✔</w:t>
      </w:r>
      <w:r>
        <w:br/>
      </w:r>
      <w:r>
        <w:rPr>
          <w:b/>
        </w:rPr>
        <w:t>Lugar:</w:t>
      </w:r>
      <w:r>
        <w:t xml:space="preserve"> Ashoka, edicto de roca XIII, traducción de E. Hultzsch, 1925</w:t>
      </w:r>
      <w:r>
        <w:br/>
      </w:r>
      <w:r>
        <w:rPr>
          <w:b/>
        </w:rPr>
        <w:t>Tal como está en la fuente:</w:t>
      </w:r>
      <w:r>
        <w:t xml:space="preserve"> a zealous study of morality</w:t>
      </w:r>
      <w:r>
        <w:t>.</w:t>
      </w:r>
    </w:p>
    <w:p>
      <w:pPr>
        <w:pStyle w:val="ListBullet"/>
      </w:pPr>
      <w:r>
        <w:rPr>
          <w:b/>
        </w:rPr>
        <w:t>El Dalai Lama</w:t>
      </w:r>
      <w:r>
        <w:t>, en 2011, puso fin a la doble autoridad, espiritual y política, de su institución, «por propia iniciativa»</w:t>
      </w:r>
      <w:r>
        <w:t xml:space="preserve"> [original: «on own initiative»]</w:t>
      </w:r>
      <w:r>
        <w:t xml:space="preserve"> (palabras del 19 de marzo de 2011)</w:t>
      </w:r>
      <w:r>
        <w:t>. Su biografía oficial dice que «se describe a sí mismo como un simple monje budista»</w:t>
      </w:r>
      <w:r>
        <w:t xml:space="preserve"> [original: «describes himself as a simple Buddhist monk»]</w:t>
      </w:r>
      <w:r>
        <w:t xml:space="preserve"> (dalailama.com, biografía breve)</w:t>
      </w:r>
      <w:r>
        <w:br/>
      </w:r>
      <w:r>
        <w:rPr>
          <w:b/>
        </w:rPr>
        <w:t>leída en su fuente · dalailama.com, biografía breve</w:t>
      </w:r>
      <w:r>
        <w:br/>
      </w:r>
      <w:r>
        <w:rPr>
          <w:b/>
        </w:rPr>
        <w:t>Archivo leído:</w:t>
      </w:r>
      <w:r>
        <w:t xml:space="preserve"> dalai_lama_biografia_breve.html (c6b\dalai_lama_biografia_breve.html) · contraste del archivo de pasajes: ✔</w:t>
      </w:r>
      <w:r>
        <w:br/>
      </w:r>
      <w:r>
        <w:rPr>
          <w:b/>
        </w:rPr>
        <w:t>Lugar:</w:t>
      </w:r>
      <w:r>
        <w:t xml:space="preserve"> dalailama.com, biografía breve</w:t>
      </w:r>
      <w:r>
        <w:br/>
      </w:r>
      <w:r>
        <w:rPr>
          <w:b/>
        </w:rPr>
        <w:t>Tal como está en la fuente:</w:t>
      </w:r>
      <w:r>
        <w:t xml:space="preserve"> describes himself as a simple Buddhist monk</w:t>
      </w:r>
      <w:r>
        <w:t>.</w:t>
      </w:r>
    </w:p>
    <w:p>
      <w:r>
        <w:t>[00.00-5.9; leídos en su original]</w:t>
      </w:r>
    </w:p>
    <w:p>
      <w:r>
        <w:rPr>
          <w:b/>
        </w:rPr>
        <w:t>Conclusión, lo que arrojan los datos:</w:t>
      </w:r>
      <w:r>
        <w:t xml:space="preserve"> lo que distingue a quien gobierna con justicia no es una condición alcanzada de una vez, como muestra Salomón, sino mantener cada día la disposición de aprendiz: saber que puede estar equivocado y aceptar que lo corrijan. En los casos vistos, el cierre por dentro, creerse en posesión exclusiva de la verdad, precede al cierre de los frenos de fuera: concilios, parlamentos y tribunales. Los griegos tenían palabra para eso, </w:t>
      </w:r>
      <w:r>
        <w:rPr>
          <w:i/>
        </w:rPr>
        <w:t>hybris</w:t>
      </w:r>
      <w:r>
        <w:t>, la desmesura del mortal que se iguala a los dioses, y el coro de Sófocles lo resume: «la insolencia engendra al tirano»</w:t>
      </w:r>
      <w:r>
        <w:t xml:space="preserve"> [original: «ὕβρις φυτεύει τύραννον»]</w:t>
      </w:r>
      <w:r>
        <w:t xml:space="preserve"> (Sófocles, Edipo rey, 873)</w:t>
      </w:r>
      <w:r>
        <w:br/>
      </w:r>
      <w:r>
        <w:rPr>
          <w:b/>
        </w:rPr>
        <w:t>leída en su fuente · Sófocles, Edipo rey, 873</w:t>
      </w:r>
      <w:r>
        <w:br/>
      </w:r>
      <w:r>
        <w:rPr>
          <w:b/>
        </w:rPr>
        <w:t>Original donde está:</w:t>
      </w:r>
      <w:r>
        <w:t xml:space="preserve"> sofocles_edipo_rey_grc_perseus.xml</w:t>
      </w:r>
      <w:r>
        <w:br/>
      </w:r>
      <w:r>
        <w:t>El pasaje literal no está en el archivo de pasajes con este comienzo; la auditoría lo halló en ese original.</w:t>
      </w:r>
      <w:r>
        <w:t xml:space="preserve">. Lo que no prueba: siete casos no hacen una ley; son casos con fecha y fuente, con sus límites. </w:t>
      </w:r>
      <w:r>
        <w:t>[00.00-5.10 y 5.12; Sófocles leído en griego (Perseus)]</w:t>
      </w:r>
    </w:p>
    <w:p>
      <w:r>
        <w:rPr>
          <w:b/>
        </w:rPr>
        <w:t>Lectura del autor:</w:t>
      </w:r>
      <w:r>
        <w:t xml:space="preserve"> el Libro de los Jubileos pone juntos los primeros reinos, la guerra, la esclavitud y los ídolos, con espíritus malignos detrás (</w:t>
      </w:r>
      <w:r>
        <w:t>4.3</w:t>
      </w:r>
      <w:r>
        <w:t xml:space="preserve">). El ser superior que se autoproclama es la forma institucional de lo que el </w:t>
      </w:r>
      <w:r>
        <w:t>capítulo 4</w:t>
      </w:r>
      <w:r>
        <w:t xml:space="preserve"> describió dentro de cada uno: dejar de ser aprendiz. «Por sus frutos los conoceréis» (Mt 7:16). </w:t>
      </w:r>
      <w:r>
        <w:t>[00.00-5.11]</w:t>
      </w:r>
    </w:p>
    <w:p>
      <w:pPr>
        <w:pStyle w:val="Heading2"/>
      </w:pPr>
      <w:r>
        <w:t>6.3 Propiedad y poder</w:t>
      </w:r>
    </w:p>
    <w:p>
      <w:pPr>
        <w:pBdr>
          <w:left w:val="single" w:sz="24" w:space="6" w:color="E2DED6"/>
        </w:pBdr>
        <w:shd w:val="clear" w:color="auto" w:fill="F1EEE8"/>
        <w:spacing w:before="80" w:after="160"/>
        <w:ind w:left="142" w:right="142"/>
      </w:pPr>
      <w:r>
        <w:rPr>
          <w:b/>
        </w:rPr>
        <w:t>La idea: el poder de gobernar y el derecho a poseer estuvieron unidos durante siglos. En España, la ley los separó en 1811. Y desde el siglo XVI, hasta el poder más absoluto tenía un límite: no tomar el bien ajeno sin causa justa.</w:t>
      </w:r>
    </w:p>
    <w:p>
      <w:r>
        <w:rPr>
          <w:b/>
        </w:rPr>
        <w:t>Imperium y dominium.</w:t>
      </w:r>
      <w:r>
        <w:t xml:space="preserve"> Desde aquí, la edición llama </w:t>
      </w:r>
      <w:r>
        <w:rPr>
          <w:i/>
        </w:rPr>
        <w:t>imperium</w:t>
      </w:r>
      <w:r>
        <w:t xml:space="preserve"> al poder público de mandar y juzgar, y </w:t>
      </w:r>
      <w:r>
        <w:rPr>
          <w:i/>
        </w:rPr>
        <w:t>dominium</w:t>
      </w:r>
      <w:r>
        <w:t xml:space="preserve"> al derecho del dueño sobre una cosa. El </w:t>
      </w:r>
      <w:r>
        <w:rPr>
          <w:i/>
        </w:rPr>
        <w:t>dominus</w:t>
      </w:r>
      <w:r>
        <w:t xml:space="preserve">, el señor, lo era de la </w:t>
      </w:r>
      <w:r>
        <w:rPr>
          <w:i/>
        </w:rPr>
        <w:t>domus</w:t>
      </w:r>
      <w:r>
        <w:t>, la casa. En la Edad Media se fundieron en el señorío: quien poseía la tierra gobernaba y juzgaba a quienes vivían en ella. Un estudio académico advierte que en ese periodo no es posible distinguir el derecho privado del público, y que la idea misma de una propiedad ligada a las jurisdicciones señoriales resulta de aplicar después categorías romanas a la realidad feudal</w:t>
      </w:r>
      <w:r>
        <w:t xml:space="preserve"> (Cordero Quinzacara y Aldunate Lizana, «Evolución histórica del concepto de propiedad», Revista de Estudios Histórico-Jurídicos, XXX, 2008, nota 50; fuente secundaria)</w:t>
      </w:r>
      <w:r>
        <w:t xml:space="preserve">. </w:t>
      </w:r>
      <w:r>
        <w:t>[23.00-0.1, 1.1 y 1.2]</w:t>
      </w:r>
    </w:p>
    <w:p>
      <w:r>
        <w:rPr>
          <w:b/>
        </w:rPr>
        <w:t>Locke: la propiedad nace del trabajo.</w:t>
      </w:r>
      <w:r>
        <w:t xml:space="preserve"> «Todo hombre tiene una propiedad en su propia persona: a ella nadie tiene derecho sino él mismo»</w:t>
      </w:r>
      <w:r>
        <w:t xml:space="preserve"> [original: «every man has a property in his own person: this no body has any right to but himself»]</w:t>
      </w:r>
      <w:r>
        <w:t>. Lo que saca del estado en que lo dejó la naturaleza y mezcla con su trabajo pasa a ser suyo, porque ese trabajo es «propiedad indiscutible del trabajador», y nadie más puede tener derecho a ello, «al menos donde queda suficiente, y tan bueno, en común para los demás»</w:t>
      </w:r>
      <w:r>
        <w:t xml:space="preserve"> [original: «at least where there is enough, and as good, left in common for others»]</w:t>
      </w:r>
      <w:r>
        <w:t xml:space="preserve"> (Locke, Segundo tratado, § 27)</w:t>
      </w:r>
      <w:r>
        <w:br/>
      </w:r>
      <w:r>
        <w:rPr>
          <w:b/>
        </w:rPr>
        <w:t>leída en su fuente · Locke, Segundo tratado, § 27</w:t>
      </w:r>
      <w:r>
        <w:br/>
      </w:r>
      <w:r>
        <w:rPr>
          <w:b/>
        </w:rPr>
        <w:t>Archivo leído:</w:t>
      </w:r>
      <w:r>
        <w:t xml:space="preserve"> Gutenberg 7370 (l. 698-708); 1690 (l. 10080-10102) (c6\10.00_Locke_Second_Treatise_Gutenberg_7370.txt) · contraste del archivo de pasajes: ✔</w:t>
      </w:r>
      <w:r>
        <w:br/>
      </w:r>
      <w:r>
        <w:rPr>
          <w:b/>
        </w:rPr>
        <w:t>Dirección:</w:t>
      </w:r>
      <w:r>
        <w:t xml:space="preserve"> </w:t>
      </w:r>
      <w:r>
        <w:t>https://www.gutenberg.org/ebooks/7370</w:t>
      </w:r>
      <w:r>
        <w:br/>
      </w:r>
      <w:r>
        <w:rPr>
          <w:b/>
        </w:rPr>
        <w:t>Tal como está en la fuente:</w:t>
      </w:r>
      <w:r>
        <w:t xml:space="preserve"> for this labour being the unquestionable property of the labourer, no man but he can have a right to what that is once joined to, at least where there is enough, and as good, left in common for others.</w:t>
      </w:r>
      <w:r>
        <w:br/>
      </w:r>
      <w:r>
        <w:rPr>
          <w:b/>
        </w:rPr>
        <w:t>Traducción guardada:</w:t>
      </w:r>
      <w:r>
        <w:t xml:space="preserve"> 1690, OCR: «every Man has a Property in his own Per- fon.»</w:t>
      </w:r>
      <w:r>
        <w:t xml:space="preserve">. Esa condición se conoce como «cláusula lockeana». Si la propiedad existe antes del gobierno, y por una razón propia, el gobierno no la crea: la protege, o la viola. </w:t>
      </w:r>
      <w:r>
        <w:t>[10.00-9.2 a 9.5]</w:t>
      </w:r>
    </w:p>
    <w:p>
      <w:r>
        <w:rPr>
          <w:b/>
        </w:rPr>
        <w:t>Lo que recogieron las declaraciones, con sus matices.</w:t>
      </w:r>
    </w:p>
    <w:p>
      <w:pPr>
        <w:pStyle w:val="ListBullet"/>
      </w:pPr>
      <w:r>
        <w:rPr>
          <w:b/>
        </w:rPr>
        <w:t>Virginia, 12 de junio de 1776.</w:t>
      </w:r>
      <w:r>
        <w:t xml:space="preserve"> Entre los derechos innatos, «el goce de la vida y de la libertad, con los medios de adquirir y poseer propiedad»</w:t>
      </w:r>
      <w:r>
        <w:t xml:space="preserve"> [original: «the enjoyment of life and liberty, with the means of acquiring and possessing property»]</w:t>
      </w:r>
      <w:r>
        <w:t xml:space="preserve"> (Declaración de Derechos de Virginia, art. I)</w:t>
      </w:r>
      <w:r>
        <w:br/>
      </w:r>
      <w:r>
        <w:rPr>
          <w:b/>
        </w:rPr>
        <w:t>leída en su fuente · Declaración de Derechos de Virginia, art. I</w:t>
      </w:r>
      <w:r>
        <w:br/>
      </w:r>
      <w:r>
        <w:rPr>
          <w:b/>
        </w:rPr>
        <w:t>Archivo leído:</w:t>
      </w:r>
      <w:r>
        <w:t xml:space="preserve"> 10.00_Virginia_Declaration_of_Rights_1776_Avalon.html; 10.00_Virginia_Declaration_of_Rights_1776_National_Archives.html (c6\10.00_Virginia_Declaration_of_Rights_1776_Avalon.html; c6\10.00_Virginia_Declaration_of_Rights_1776_National_Archives.html) · contraste del archivo de pasajes: ✔</w:t>
      </w:r>
      <w:r>
        <w:br/>
      </w:r>
      <w:r>
        <w:rPr>
          <w:b/>
        </w:rPr>
        <w:t>Lugar:</w:t>
      </w:r>
      <w:r>
        <w:t xml:space="preserve"> Sección I</w:t>
      </w:r>
      <w:r>
        <w:br/>
      </w:r>
      <w:r>
        <w:rPr>
          <w:b/>
        </w:rPr>
        <w:t>Dirección:</w:t>
      </w:r>
      <w:r>
        <w:t xml:space="preserve"> </w:t>
      </w:r>
      <w:r>
        <w:t>https://avalon.law.yale.edu/18th_century/virginia.asp</w:t>
      </w:r>
      <w:r>
        <w:t xml:space="preserve"> ; </w:t>
      </w:r>
      <w:r>
        <w:t>https://www.archives.gov/founding-docs/virginia-declaration-of-rights</w:t>
      </w:r>
      <w:r>
        <w:br/>
      </w:r>
      <w:r>
        <w:rPr>
          <w:b/>
        </w:rPr>
        <w:t>Tal como está en la fuente:</w:t>
      </w:r>
      <w:r>
        <w:t xml:space="preserve"> …namely, the enjoyment of life and liberty, with the means of acquiring and possessing property, and pursuing and obtaining happiness and safety.</w:t>
      </w:r>
      <w:r>
        <w:t>.</w:t>
      </w:r>
    </w:p>
    <w:p>
      <w:pPr>
        <w:pStyle w:val="ListBullet"/>
      </w:pPr>
      <w:r>
        <w:rPr>
          <w:b/>
        </w:rPr>
        <w:t>El borrador de Jefferson.</w:t>
      </w:r>
      <w:r>
        <w:t xml:space="preserve"> «La preservación de la vida, y la libertad, y la búsqueda de la felicidad»</w:t>
      </w:r>
      <w:r>
        <w:t xml:space="preserve"> [original: «the preservation of life, &amp; liberty, &amp; the pursuit of happiness»]</w:t>
      </w:r>
      <w:r>
        <w:t xml:space="preserve"> (borrador de la Declaración de Independencia, 1776, Biblioteca del Congreso)</w:t>
      </w:r>
      <w:r>
        <w:br/>
      </w:r>
      <w:r>
        <w:rPr>
          <w:b/>
        </w:rPr>
        <w:t>leída en su fuente · borrador de la Declaración de Independencia, 1776, Biblioteca del Congreso</w:t>
      </w:r>
      <w:r>
        <w:br/>
      </w:r>
      <w:r>
        <w:rPr>
          <w:b/>
        </w:rPr>
        <w:t>Archivo leído:</w:t>
      </w:r>
      <w:r>
        <w:t xml:space="preserve"> 10.00_Jefferson_rough_draught_Declaration_1776_LOC_exhibit.html (c6\10.00_Jefferson_rough_draught_Declaration_1776_LOC_exhibit.html) · contraste del archivo de pasajes: ✔</w:t>
      </w:r>
      <w:r>
        <w:br/>
      </w:r>
      <w:r>
        <w:rPr>
          <w:b/>
        </w:rPr>
        <w:t>Dirección:</w:t>
      </w:r>
      <w:r>
        <w:t xml:space="preserve"> </w:t>
      </w:r>
      <w:r>
        <w:t>https://www.loc.gov/exhibits/declara/ruffdrft.html</w:t>
      </w:r>
      <w:r>
        <w:br/>
      </w:r>
      <w:r>
        <w:rPr>
          <w:b/>
        </w:rPr>
        <w:t>Tal como está en la fuente:</w:t>
      </w:r>
      <w:r>
        <w:t xml:space="preserve"> …from that equal creation they derive rights inherent &amp; inalienable, among which are the preservation of life, &amp; liberty, &amp; the pursuit of happiness</w:t>
      </w:r>
      <w:r>
        <w:t>. Que «felicidad» sustituyera a «propiedad» en la tríada de Locke es una lectura habitual, no algo que conste en el borrador.</w:t>
      </w:r>
    </w:p>
    <w:p>
      <w:pPr>
        <w:pStyle w:val="ListBullet"/>
      </w:pPr>
      <w:r>
        <w:rPr>
          <w:b/>
        </w:rPr>
        <w:t>Francia, 1789.</w:t>
      </w:r>
      <w:r>
        <w:t xml:space="preserve"> «Siendo la propiedad un derecho inviolable y sagrado, nadie puede ser privado de ella, salvo cuando la necesidad pública, legalmente comprobada, lo exija evidentemente, y con la condición de una indemnización justa y previa»</w:t>
      </w:r>
      <w:r>
        <w:t xml:space="preserve"> [original: «La propriété étant un droit inviolable et sacré, nul ne peut en être privé, si ce n'est lorsque la nécessité publique, légalement constatée, l'exige évidemment, et sous la condition d'une juste et préalable indemnité»]</w:t>
      </w:r>
      <w:r>
        <w:t xml:space="preserve"> (Declaración de 1789, art. 17)</w:t>
      </w:r>
      <w:r>
        <w:br/>
      </w:r>
      <w:r>
        <w:rPr>
          <w:b/>
        </w:rPr>
        <w:t>leída en su fuente · Declaración de 1789, art. 17</w:t>
      </w:r>
      <w:r>
        <w:br/>
      </w:r>
      <w:r>
        <w:rPr>
          <w:b/>
        </w:rPr>
        <w:t>Archivo leído:</w:t>
      </w:r>
      <w:r>
        <w:t xml:space="preserve"> 10.00_DDHC_1789_Conseil_constitutionnel.html (c6\10.00_DDHC_1789_Conseil_constitutionnel.html) · contraste del archivo de pasajes: ✔</w:t>
      </w:r>
      <w:r>
        <w:br/>
      </w:r>
      <w:r>
        <w:rPr>
          <w:b/>
        </w:rPr>
        <w:t>Dirección:</w:t>
      </w:r>
      <w:r>
        <w:t xml:space="preserve"> </w:t>
      </w:r>
      <w:r>
        <w:t>https://www.conseil-constitutionnel.fr/le-bloc-de-constitutionnalite/declaration-des-droits-de-l-homme-et-du-citoyen-de-1789</w:t>
      </w:r>
      <w:r>
        <w:br/>
      </w:r>
      <w:r>
        <w:rPr>
          <w:b/>
        </w:rPr>
        <w:t>Tal como está en la fuente:</w:t>
      </w:r>
      <w:r>
        <w:t xml:space="preserve"> Article 17 — La propriété étant un droit inviolable et sacré, nul ne peut en être privé, si ce n'est lorsque la nécessité publique, légalement constatée, l'exige évidemment, et sous la condition d'une juste et préalable indemnité.</w:t>
      </w:r>
      <w:r>
        <w:t>.</w:t>
      </w:r>
    </w:p>
    <w:p>
      <w:r>
        <w:t>[10.00-9.4 y 9.5]</w:t>
      </w:r>
    </w:p>
    <w:p>
      <w:r>
        <w:rPr>
          <w:b/>
        </w:rPr>
        <w:t>Bodino: el límite del poder absoluto.</w:t>
      </w:r>
      <w:r>
        <w:t xml:space="preserve"> El mismo autor que definió la soberanía moderna como «el poder absoluto y perpetuo de una república»</w:t>
      </w:r>
      <w:r>
        <w:t xml:space="preserve"> [original: «la puissance absoluë &amp; perpetuelle d'une Republique»]</w:t>
      </w:r>
      <w:r>
        <w:t xml:space="preserve"> (Bodino, Los seis libros de la república I, «De la soberanía», 1576)</w:t>
      </w:r>
      <w:r>
        <w:br/>
      </w:r>
      <w:r>
        <w:rPr>
          <w:b/>
        </w:rPr>
        <w:t>leída en su fuente · Bodino, Los seis libros de la república I, «De la soberanía», 1576</w:t>
      </w:r>
      <w:r>
        <w:br/>
      </w:r>
      <w:r>
        <w:rPr>
          <w:b/>
        </w:rPr>
        <w:t>Archivo leído:</w:t>
      </w:r>
      <w:r>
        <w:t xml:space="preserve"> 23.00_Bodin_Six_Livres_Republique_1576_Livre_I_cap_IX_souverainete_frwikisource.html; 23.00_Bodin_Six_Livres_Republique_1576_indice_frwikisource.html (c6\23.00_Bodin_Six_Livres_Republique_1576_Livre_I_cap_IX_souverainete_frwikisource.html) · contraste del archivo de pasajes: ✔</w:t>
      </w:r>
      <w:r>
        <w:br/>
      </w:r>
      <w:r>
        <w:rPr>
          <w:b/>
        </w:rPr>
        <w:t>Lugar:</w:t>
      </w:r>
      <w:r>
        <w:t xml:space="preserve"> p. 125</w:t>
      </w:r>
      <w:r>
        <w:br/>
      </w:r>
      <w:r>
        <w:rPr>
          <w:b/>
        </w:rPr>
        <w:t>Dirección:</w:t>
      </w:r>
      <w:r>
        <w:t xml:space="preserve"> </w:t>
      </w:r>
      <w:r>
        <w:t>https://fr.wikisource.org/wiki/Les_Six_Livres_de_la_République/19</w:t>
      </w:r>
      <w:r>
        <w:br/>
      </w:r>
      <w:r>
        <w:rPr>
          <w:b/>
        </w:rPr>
        <w:t>Tal como está en la fuente:</w:t>
      </w:r>
      <w:r>
        <w:t xml:space="preserve"> La souveraineté est la puissance absoluë &amp; perpetuelle d'une Republique, que les Latins appellent…</w:t>
      </w:r>
      <w:r>
        <w:t xml:space="preserve"> escribió en ese mismo capítulo: «si el príncipe soberano no tiene poder para traspasar los límites de las leyes de la naturaleza, que Dios, de quien es imagen, ha puesto, tampoco podrá tomar el bien ajeno sin causa justa y razonable»</w:t>
      </w:r>
      <w:r>
        <w:t xml:space="preserve"> [original: «Si donc le Prince souuerain n'a pas puissance de franchir les bornes des loix de nature, que Dieu, duquel il est l'image, a posees, il ne pourra aussi prendre le bien d'autruy, sans cause qui soit iuste &amp; raisonnable»]</w:t>
      </w:r>
      <w:r>
        <w:t xml:space="preserve"> (edición de 1577)</w:t>
      </w:r>
      <w:r>
        <w:br/>
      </w:r>
      <w:r>
        <w:rPr>
          <w:b/>
        </w:rPr>
        <w:t>pasaje guardado · edición de 1577</w:t>
      </w:r>
      <w:r>
        <w:br/>
      </w:r>
      <w:r>
        <w:rPr>
          <w:b/>
        </w:rPr>
        <w:t>Original donde está:</w:t>
      </w:r>
      <w:r>
        <w:t xml:space="preserve"> c6/23.00_Bodin_Six_Livres_Republique_1577_archive_djvu.html</w:t>
      </w:r>
      <w:r>
        <w:br/>
      </w:r>
      <w:r>
        <w:t>El pasaje literal no está en el archivo de pasajes con este comienzo; la auditoría lo halló en ese original.</w:t>
      </w:r>
      <w:r>
        <w:t>. Para su propio teórico, el poder más absoluto tenía encima la ley natural, y con ella, el bien ajeno: es el orden de las leyes (</w:t>
      </w:r>
      <w:r>
        <w:t>1.1</w:t>
      </w:r>
      <w:r>
        <w:t xml:space="preserve">). </w:t>
      </w:r>
      <w:r>
        <w:t>[23.00-2.1 y 2.2; Bodino leído en francés, ediciones de 1576 y 1577]</w:t>
      </w:r>
    </w:p>
    <w:p>
      <w:r>
        <w:rPr>
          <w:b/>
        </w:rPr>
        <w:t>Cádiz, 1811: la ley los separa.</w:t>
      </w:r>
    </w:p>
    <w:p>
      <w:pPr>
        <w:pStyle w:val="ListBullet"/>
      </w:pPr>
      <w:r>
        <w:rPr>
          <w:b/>
        </w:rPr>
        <w:t>El gobierno, a la nación.</w:t>
      </w:r>
      <w:r>
        <w:t xml:space="preserve"> «Desde ahora quedan incorporados á la nacion todos los señoríos jurisdiccionales de cualquiera clase y condicion que sean»</w:t>
      </w:r>
      <w:r>
        <w:t xml:space="preserve"> (Decreto de las Cortes de Cádiz de 6 de agosto de 1811, art. 1, Gazeta de la Regencia de 12-9-1811)</w:t>
      </w:r>
      <w:r>
        <w:br/>
      </w:r>
      <w:r>
        <w:rPr>
          <w:b/>
        </w:rPr>
        <w:t>pasaje guardado · Decreto de las Cortes de Cádiz de 6 de agosto de 1811, art. 1, Gazeta de la Regencia de 12</w:t>
      </w:r>
      <w:r>
        <w:br/>
      </w:r>
      <w:r>
        <w:rPr>
          <w:b/>
        </w:rPr>
        <w:t>Archivo leído:</w:t>
      </w:r>
      <w:r>
        <w:t xml:space="preserve"> 03.00-6.2_Gazeta_Regencia_1811-09-12_Decreto_6-08-1811_senorios.pdf.txt (flecos\txt\03.00-6.2_Gazeta_Regencia_1811-09-12_Decreto_6-08-1811_senorios.pdf.txt) · contraste del archivo de pasajes: parcial</w:t>
      </w:r>
      <w:r>
        <w:br/>
      </w:r>
      <w:r>
        <w:rPr>
          <w:b/>
        </w:rPr>
        <w:t>Lugar:</w:t>
      </w:r>
      <w:r>
        <w:t xml:space="preserve"> Decreto de las Cortes de Cádiz de 6 de agosto de 1811, art. 1, Gazeta de la Regencia de 12-9-1811</w:t>
      </w:r>
      <w:r>
        <w:br/>
      </w:r>
      <w:r>
        <w:rPr>
          <w:b/>
        </w:rPr>
        <w:t>Tal como está en la fuente:</w:t>
      </w:r>
      <w:r>
        <w:t xml:space="preserve"> Desde ahora quedan incorporados á la nacion todos los señoríos jurisdiccionales de cualquiera clase y condicion que sean</w:t>
      </w:r>
      <w:r>
        <w:t>.</w:t>
      </w:r>
    </w:p>
    <w:p>
      <w:pPr>
        <w:pStyle w:val="ListBullet"/>
      </w:pPr>
      <w:r>
        <w:rPr>
          <w:b/>
        </w:rPr>
        <w:t>La tierra, a la propiedad.</w:t>
      </w:r>
      <w:r>
        <w:t xml:space="preserve"> «Los señoríos territoriales y solariegos quedan desde ahora en la clase de los demás derechos de propiedad particular», salvo los que por su naturaleza debieran incorporarse a la nación</w:t>
      </w:r>
      <w:r>
        <w:t xml:space="preserve"> (art. 5)</w:t>
      </w:r>
      <w:r>
        <w:t>.</w:t>
      </w:r>
    </w:p>
    <w:p>
      <w:pPr>
        <w:pStyle w:val="ListBullet"/>
      </w:pPr>
      <w:r>
        <w:rPr>
          <w:b/>
        </w:rPr>
        <w:t>El juez, a nadie en particular.</w:t>
      </w:r>
      <w:r>
        <w:t xml:space="preserve"> «En adelante nadie podrá llamarse señor de vasallos, exercer jurisdiccion, nombrar jueces…»</w:t>
      </w:r>
      <w:r>
        <w:t xml:space="preserve"> (art. 14)</w:t>
      </w:r>
      <w:r>
        <w:br/>
      </w:r>
      <w:r>
        <w:rPr>
          <w:b/>
        </w:rPr>
        <w:t>pasaje guardado · art. 14</w:t>
      </w:r>
      <w:r>
        <w:br/>
      </w:r>
      <w:r>
        <w:rPr>
          <w:b/>
        </w:rPr>
        <w:t>Archivo leído:</w:t>
      </w:r>
      <w:r>
        <w:t xml:space="preserve"> 03.00-6.2_Gazeta_Regencia_1811-09-12_Decreto_6-08-1811_senorios.pdf (no se repite) · contraste del archivo de pasajes: sin archivo</w:t>
      </w:r>
      <w:r>
        <w:br/>
      </w:r>
      <w:r>
        <w:rPr>
          <w:b/>
        </w:rPr>
        <w:t>Lugar:</w:t>
      </w:r>
      <w:r>
        <w:t xml:space="preserve"> Según su OCR (flecos\txt\…senorios.pdf.txt): art. 5, PDF p. 1</w:t>
      </w:r>
      <w:r>
        <w:br/>
      </w:r>
      <w:r>
        <w:rPr>
          <w:b/>
        </w:rPr>
        <w:t>Dirección:</w:t>
      </w:r>
      <w:r>
        <w:t xml:space="preserve"> </w:t>
      </w:r>
      <w:r>
        <w:t>https://www.boe.es/datos/pdfs/BOE//1811/118/B00945-00947.pdf</w:t>
      </w:r>
      <w:r>
        <w:br/>
      </w:r>
      <w:r>
        <w:rPr>
          <w:b/>
        </w:rPr>
        <w:t>Tal como está en la fuente:</w:t>
      </w:r>
      <w:r>
        <w:t xml:space="preserve"> En adelante nadie podrá llamarse señor de vasallos, exercer jurisdicción, nombrar jueces</w:t>
      </w:r>
      <w:r>
        <w:t>. La abolición del vasallaje (art. 4) ya se vio en 2.2.</w:t>
      </w:r>
    </w:p>
    <w:p>
      <w:pPr>
        <w:pStyle w:val="ListBullet"/>
      </w:pPr>
      <w:r>
        <w:rPr>
          <w:b/>
        </w:rPr>
        <w:t>Quién pagó.</w:t>
      </w:r>
      <w:r>
        <w:t xml:space="preserve"> A quienes tenían esos privilegios por título oneroso, la nación les reintegraba el capital, con un 3 % de interés hasta su redención</w:t>
      </w:r>
      <w:r>
        <w:t xml:space="preserve"> (arts. 8 y 11)</w:t>
      </w:r>
      <w:r>
        <w:t xml:space="preserve">. </w:t>
      </w:r>
      <w:r>
        <w:t>[nuevo, aprobado por Kiko el 5-oct]</w:t>
      </w:r>
    </w:p>
    <w:p>
      <w:pPr>
        <w:pStyle w:val="ListBullet"/>
      </w:pPr>
      <w:r>
        <w:rPr>
          <w:b/>
        </w:rPr>
        <w:t>No fue de una vez.</w:t>
      </w:r>
      <w:r>
        <w:t xml:space="preserve"> El régimen señorial se abolió poco a poco: el Diccionario panhispánico del español jurídico enumera los decretos de 1808, 1811, 1820, 1823 y 1837</w:t>
      </w:r>
      <w:r>
        <w:t xml:space="preserve"> (DPEJ, s. v. «señorío»)</w:t>
      </w:r>
      <w:r>
        <w:t>.</w:t>
      </w:r>
    </w:p>
    <w:p>
      <w:r>
        <w:t>[23.00-3.1 y 3.2; el decreto, leído en la Gazeta de la Regencia]</w:t>
      </w:r>
    </w:p>
    <w:p>
      <w:r>
        <w:rPr>
          <w:b/>
        </w:rPr>
        <w:t>La legitimidad: la creencia.</w:t>
      </w:r>
      <w:r>
        <w:t xml:space="preserve"> </w:t>
      </w:r>
      <w:r>
        <w:rPr>
          <w:i/>
        </w:rPr>
        <w:t>Legítimo</w:t>
      </w:r>
      <w:r>
        <w:t xml:space="preserve"> viene del latín </w:t>
      </w:r>
      <w:r>
        <w:rPr>
          <w:i/>
        </w:rPr>
        <w:t>legitimus</w:t>
      </w:r>
      <w:r>
        <w:t>, «conforme a la ley». El Diccionario panhispánico del español jurídico define la legitimidad como «cualidad de legítimo», y la deslegitimación, como «acción de privar de legitimidad»</w:t>
      </w:r>
      <w:r>
        <w:t xml:space="preserve"> (DPEJ, s. v. «legitimidad» y «deslegitimación»)</w:t>
      </w:r>
      <w:r>
        <w:br/>
      </w:r>
      <w:r>
        <w:rPr>
          <w:b/>
        </w:rPr>
        <w:t>leída en su fuente · DPEJ, s. v. «legitimidad» y «deslegitimación»</w:t>
      </w:r>
      <w:r>
        <w:br/>
      </w:r>
      <w:r>
        <w:rPr>
          <w:b/>
        </w:rPr>
        <w:t>Archivo leído:</w:t>
      </w:r>
      <w:r>
        <w:t xml:space="preserve"> 23.00_DPEJ_RAE_deslegitimacion.html (c6\23.00_DPEJ_RAE_deslegitimacion.html) · contraste del archivo de pasajes: ✔</w:t>
      </w:r>
      <w:r>
        <w:br/>
      </w:r>
      <w:r>
        <w:rPr>
          <w:b/>
        </w:rPr>
        <w:t>Dirección:</w:t>
      </w:r>
      <w:r>
        <w:t xml:space="preserve"> </w:t>
      </w:r>
      <w:r>
        <w:t>https://dpej.rae.es/lema/deslegitimación</w:t>
      </w:r>
      <w:r>
        <w:br/>
      </w:r>
      <w:r>
        <w:rPr>
          <w:b/>
        </w:rPr>
        <w:t>Tal como está en la fuente:</w:t>
      </w:r>
      <w:r>
        <w:t xml:space="preserve"> Acción de privar de legitimidad.</w:t>
      </w:r>
      <w:r>
        <w:t>. Weber distinguió «tres tipos puros de dominación legítima»</w:t>
      </w:r>
      <w:r>
        <w:t xml:space="preserve"> [original: «drei reine Typen legitimer Herrschaft»]</w:t>
      </w:r>
      <w:r>
        <w:t>: la legal, la tradicional y la carismática. Y observó que ninguna dominación se conforma con motivos materiales o afectivos para durar: «cada una procura más bien despertar y cultivar la creencia en su "legitimidad"»</w:t>
      </w:r>
      <w:r>
        <w:t xml:space="preserve"> [original: «Jede sucht vielmehr den Glauben an ihre „Legitimität" zu erwecken und zu pflegen»]</w:t>
      </w:r>
      <w:r>
        <w:t xml:space="preserve"> (Weber, Economía y sociedad, 1922, cap. III, §§ 1 y 2)</w:t>
      </w:r>
      <w:r>
        <w:br/>
      </w:r>
      <w:r>
        <w:rPr>
          <w:b/>
        </w:rPr>
        <w:t>leída en su fuente · Weber, Economía y sociedad, 1922, cap. III, §§ 1 y 2</w:t>
      </w:r>
      <w:r>
        <w:br/>
      </w:r>
      <w:r>
        <w:rPr>
          <w:b/>
        </w:rPr>
        <w:t>Archivo leído:</w:t>
      </w:r>
      <w:r>
        <w:t xml:space="preserve"> 13.00_23.00_Weber_Wirtschaft_und_Gesellschaft_1922_archive_djvu.txt (c6\13.00_23.00_Weber_Wirtschaft_und_Gesellschaft_1922_archive_djvu.txt) · contraste del archivo de pasajes: ✔</w:t>
      </w:r>
      <w:r>
        <w:br/>
      </w:r>
      <w:r>
        <w:rPr>
          <w:b/>
        </w:rPr>
        <w:t>Lugar:</w:t>
      </w:r>
      <w:r>
        <w:t xml:space="preserve"> Weber, Economía y sociedad, 1922, cap. III, §§ 1 y 2</w:t>
      </w:r>
      <w:r>
        <w:br/>
      </w:r>
      <w:r>
        <w:rPr>
          <w:b/>
        </w:rPr>
        <w:t>Tal como está en la fuente:</w:t>
      </w:r>
      <w:r>
        <w:t xml:space="preserve"> "Jede sucht vielmehr den Glauben an ihre „Legitimität"" zu erwecken und zu pflegen"</w:t>
      </w:r>
      <w:r>
        <w:t xml:space="preserve">. La frase que circula, «es la creencia la que constituye la legitimidad», no está así en su texto. </w:t>
      </w:r>
      <w:r>
        <w:t>[23.00-4.1 y 4.2; Weber leído en alemán]</w:t>
      </w:r>
    </w:p>
    <w:p>
      <w:r>
        <w:rPr>
          <w:b/>
        </w:rPr>
        <w:t>Conclusión, lo que arrojan los datos:</w:t>
      </w:r>
      <w:r>
        <w:t xml:space="preserve"> gobernar y poseer no son lo mismo. En España, su separación tiene fecha y ley, 1811, y su límite es más antiguo: ni el poder absoluto de Bodino podía tomar el bien ajeno sin causa justa. Y ninguna dominación se conforma con ser obedecida: necesita que se crea en su legitimidad. </w:t>
      </w:r>
      <w:r>
        <w:t>[23.00-5.1]</w:t>
      </w:r>
    </w:p>
    <w:p>
      <w:r>
        <w:rPr>
          <w:b/>
        </w:rPr>
        <w:t>Lectura del autor:</w:t>
      </w:r>
      <w:r>
        <w:t xml:space="preserve"> si el poder procura que se crea en él, lo que se sostiene solo en la creencia se disuelve cuando se pide la prueba (</w:t>
      </w:r>
      <w:r>
        <w:t>5.5</w:t>
      </w:r>
      <w:r>
        <w:t xml:space="preserve">). </w:t>
      </w:r>
      <w:r>
        <w:t>[23.00-5.1]</w:t>
      </w:r>
    </w:p>
    <w:p>
      <w:pPr>
        <w:pStyle w:val="Heading2"/>
      </w:pPr>
      <w:r>
        <w:t>6.4 El acceso al poder: cinco pensadores y siete casos</w:t>
      </w:r>
    </w:p>
    <w:p>
      <w:pPr>
        <w:pBdr>
          <w:left w:val="single" w:sz="24" w:space="6" w:color="E2DED6"/>
        </w:pBdr>
        <w:shd w:val="clear" w:color="auto" w:fill="F1EEE8"/>
        <w:spacing w:before="80" w:after="160"/>
        <w:ind w:left="142" w:right="142"/>
      </w:pPr>
      <w:r>
        <w:rPr>
          <w:b/>
        </w:rPr>
        <w:t>La idea: ¿el poder cambia de máscara pero es siempre lo mismo? Cinco pensadores, de Ibn Jaldún en el siglo XIV a Tilly en el XX, dicen que gobierna siempre una minoría. Un estudio reciente mide que una parte de los países ha salido de ese orden. España está en un punto mixto, y se puede decir dónde.</w:t>
      </w:r>
    </w:p>
    <w:p>
      <w:r>
        <w:rPr>
          <w:b/>
        </w:rPr>
        <w:t>Cinco pensadores.</w:t>
      </w:r>
    </w:p>
    <w:p>
      <w:pPr>
        <w:pStyle w:val="ListBullet"/>
      </w:pPr>
      <w:r>
        <w:rPr>
          <w:b/>
        </w:rPr>
        <w:t>Ibn Jaldún</w:t>
      </w:r>
      <w:r>
        <w:t xml:space="preserve"> (norte de África, siglo XIV). La cohesión de grupo, la </w:t>
      </w:r>
      <w:r>
        <w:rPr>
          <w:i/>
        </w:rPr>
        <w:t>‘asabiyya</w:t>
      </w:r>
      <w:r>
        <w:t>, lleva al poder; el lujo es uno de sus obstáculos; y «la dinastía, por lo general, no dura más de la vida de tres generaciones»</w:t>
      </w:r>
      <w:r>
        <w:t xml:space="preserve"> [original: «إلّا أنّ الدّولة في الغالب لا تعدو أعمار ثلاثة أجيال»]</w:t>
      </w:r>
      <w:r>
        <w:t xml:space="preserve"> (Ibn Jaldún, Muqaddima, libro I, cap. 2, secciones 17 y 18, y cap. 3, sección 14)</w:t>
      </w:r>
      <w:r>
        <w:br/>
      </w:r>
      <w:r>
        <w:rPr>
          <w:b/>
        </w:rPr>
        <w:t>leída en su fuente · Ibn Jaldún, Muqaddima, libro I, cap. 2, secciones 17 y 18, y cap. 3, sección 14</w:t>
      </w:r>
      <w:r>
        <w:br/>
      </w:r>
      <w:r>
        <w:rPr>
          <w:b/>
        </w:rPr>
        <w:t>Original donde está:</w:t>
      </w:r>
      <w:r>
        <w:t xml:space="preserve"> 13.00_Ibn_Jaldun_Muqaddima_parte3_arwikisource.html.txt</w:t>
      </w:r>
      <w:r>
        <w:br/>
      </w:r>
      <w:r>
        <w:t>El pasaje literal no está en el archivo de pasajes con este comienzo; la auditoría lo halló en ese original.</w:t>
      </w:r>
      <w:r>
        <w:t>.</w:t>
      </w:r>
    </w:p>
    <w:p>
      <w:pPr>
        <w:pStyle w:val="ListBullet"/>
      </w:pPr>
      <w:r>
        <w:rPr>
          <w:b/>
        </w:rPr>
        <w:t>Oppenheimer</w:t>
      </w:r>
      <w:r>
        <w:t xml:space="preserve"> (1907). Llamó «medio económico» al trabajo propio y al intercambio de lo equivalente, y «medio político» a «la apropiación no retribuida del trabajo ajeno»</w:t>
      </w:r>
      <w:r>
        <w:t xml:space="preserve"> [original: «die unentgoltene Aneignung fremder Arbeit das „politische Mittel"»]</w:t>
      </w:r>
      <w:r>
        <w:t>. Y escribió que el Estado, en su origen, es una institución «impuesta por un grupo humano vencedor a un grupo humano vencido»</w:t>
      </w:r>
      <w:r>
        <w:t xml:space="preserve"> [original: «von einer siegreichen Menschengruppe einer besiegten Menschengruppe aufgezwungen»]</w:t>
      </w:r>
      <w:r>
        <w:t xml:space="preserve"> (Franz Oppenheimer, Der Staat (El Estado), 1907)</w:t>
      </w:r>
      <w:r>
        <w:br/>
      </w:r>
      <w:r>
        <w:rPr>
          <w:b/>
        </w:rPr>
        <w:t>pasaje guardado · Franz Oppenheimer, Der Staat (El Estado), 1907</w:t>
      </w:r>
      <w:r>
        <w:br/>
      </w:r>
      <w:r>
        <w:rPr>
          <w:b/>
        </w:rPr>
        <w:t>Archivo leído:</w:t>
      </w:r>
      <w:r>
        <w:t xml:space="preserve"> 13.00_Oppenheimer_Der_Staat_1907_archive_djvu.txt.txt (c6\_trabajo\txt\13.00_Oppenheimer_Der_Staat_1907_archive_djvu.txt.txt) · contraste del archivo de pasajes: ✔</w:t>
      </w:r>
      <w:r>
        <w:br/>
      </w:r>
      <w:r>
        <w:rPr>
          <w:b/>
        </w:rPr>
        <w:t>Lugar:</w:t>
      </w:r>
      <w:r>
        <w:t xml:space="preserve"> Franz Oppenheimer, Der Staat (El Estado), 1907</w:t>
      </w:r>
      <w:r>
        <w:br/>
      </w:r>
      <w:r>
        <w:rPr>
          <w:b/>
        </w:rPr>
        <w:t>Tal como está en la fuente:</w:t>
      </w:r>
      <w:r>
        <w:t xml:space="preserve"> von einer siegreichen Menschengruppe einer besiegten Menschengruppe aufgezwungen</w:t>
      </w:r>
      <w:r>
        <w:t>.</w:t>
      </w:r>
    </w:p>
    <w:p>
      <w:pPr>
        <w:pStyle w:val="ListBullet"/>
      </w:pPr>
      <w:r>
        <w:rPr>
          <w:b/>
        </w:rPr>
        <w:t>Michels</w:t>
      </w:r>
      <w:r>
        <w:t xml:space="preserve"> (1911). Estudiando los partidos socialistas, escribió: «quien dice organización dice, de todos modos, tendencia a la oligarquía»</w:t>
      </w:r>
      <w:r>
        <w:t xml:space="preserve"> [original: «Wer Organisation sagt, sagt ohnehin Tendenz zur Oligarchie»]</w:t>
      </w:r>
      <w:r>
        <w:t>. Es lo que llamó «la ley de hierro de la oligarquía»</w:t>
      </w:r>
      <w:r>
        <w:t xml:space="preserve"> [original: «das eherne Gesetz der Oligarchie»]</w:t>
      </w:r>
      <w:r>
        <w:t xml:space="preserve"> (Robert Michels, Zur Soziologie des Parteiwesens (Sociología del partido político), 1911)</w:t>
      </w:r>
      <w:r>
        <w:br/>
      </w:r>
      <w:r>
        <w:rPr>
          <w:b/>
        </w:rPr>
        <w:t>leída en su fuente · Robert Michels, Zur Soziologie des Parteiwesens (Sociología del partido político), 1911</w:t>
      </w:r>
      <w:r>
        <w:br/>
      </w:r>
      <w:r>
        <w:rPr>
          <w:b/>
        </w:rPr>
        <w:t>Archivo leído:</w:t>
      </w:r>
      <w:r>
        <w:t xml:space="preserve"> 13.00_Michels_Zur_Soziologie_des_Parteiwesens_1911_archive_djvu.txt (c6\13.00_Michels_Zur_Soziologie_des_Parteiwesens_1911_archive_djvu.txt) · contraste del archivo de pasajes: ✔</w:t>
      </w:r>
      <w:r>
        <w:br/>
      </w:r>
      <w:r>
        <w:rPr>
          <w:b/>
        </w:rPr>
        <w:t>Lugar:</w:t>
      </w:r>
      <w:r>
        <w:t xml:space="preserve"> p. 32 (l. 2480)</w:t>
      </w:r>
      <w:r>
        <w:br/>
      </w:r>
      <w:r>
        <w:rPr>
          <w:b/>
        </w:rPr>
        <w:t>Dirección:</w:t>
      </w:r>
      <w:r>
        <w:t xml:space="preserve"> </w:t>
      </w:r>
      <w:r>
        <w:t>https://archive.org/details/zursoziologiede00michgoog</w:t>
      </w:r>
      <w:r>
        <w:br/>
      </w:r>
      <w:r>
        <w:rPr>
          <w:b/>
        </w:rPr>
        <w:t>Tal como está en la fuente:</w:t>
      </w:r>
      <w:r>
        <w:t xml:space="preserve"> Die Demokratie und das eherne Gesetz der Oligarchie.</w:t>
      </w:r>
      <w:r>
        <w:t>.</w:t>
      </w:r>
    </w:p>
    <w:p>
      <w:pPr>
        <w:pStyle w:val="ListBullet"/>
      </w:pPr>
      <w:r>
        <w:rPr>
          <w:b/>
        </w:rPr>
        <w:t>Pareto y Mosca.</w:t>
      </w:r>
      <w:r>
        <w:t xml:space="preserve"> Pareto habló de la «circulación de las clases selectas»</w:t>
      </w:r>
      <w:r>
        <w:t xml:space="preserve"> [original: «circolazione delle classi scelte»]</w:t>
      </w:r>
      <w:r>
        <w:t xml:space="preserve"> (Vilfredo Pareto, Trattato di sociologia generale (Tratado de sociología general), 1916)</w:t>
      </w:r>
      <w:r>
        <w:br/>
      </w:r>
      <w:r>
        <w:rPr>
          <w:b/>
        </w:rPr>
        <w:t>leída en su fuente · Vilfredo Pareto, Trattato di sociologia generale (Tratado de sociología general), 1916</w:t>
      </w:r>
      <w:r>
        <w:br/>
      </w:r>
      <w:r>
        <w:rPr>
          <w:b/>
        </w:rPr>
        <w:t>Archivo leído:</w:t>
      </w:r>
      <w:r>
        <w:t xml:space="preserve"> 13.00_Pareto_Trattato_di_sociologia_generale_1916_vol2_archive_djvu.txt (c6\13.00_Pareto_Trattato_di_sociologia_generale_1916_vol2_archive_djvu.txt) · contraste del archivo de pasajes: ✔</w:t>
      </w:r>
      <w:r>
        <w:br/>
      </w:r>
      <w:r>
        <w:rPr>
          <w:b/>
        </w:rPr>
        <w:t>Lugar:</w:t>
      </w:r>
      <w:r>
        <w:t xml:space="preserve"> Vilfredo Pareto, Trattato di sociologia generale (Tratado de sociología general), 1916</w:t>
      </w:r>
      <w:r>
        <w:br/>
      </w:r>
      <w:r>
        <w:rPr>
          <w:b/>
        </w:rPr>
        <w:t>Tal como está en la fuente:</w:t>
      </w:r>
      <w:r>
        <w:t xml:space="preserve"> circolazione delle classi scelte</w:t>
      </w:r>
      <w:r>
        <w:t>; Mosca, del predominio de «las minorías organizadas sobre las mayorías»</w:t>
      </w:r>
      <w:r>
        <w:t xml:space="preserve"> [original: «Prevalenza delle minoranze organizzate sulle maggioranze»]</w:t>
      </w:r>
      <w:r>
        <w:t xml:space="preserve"> (Gaetano Mosca, Elementi di scienza politica (Elementos de ciencia política), 2.ª ed., 1923, cap. II)</w:t>
      </w:r>
      <w:r>
        <w:br/>
      </w:r>
      <w:r>
        <w:rPr>
          <w:b/>
        </w:rPr>
        <w:t>leída en su fuente · Gaetano Mosca, Elementi di scienza politica (Elementos de ciencia política), 2.ª ed., 1923</w:t>
      </w:r>
      <w:r>
        <w:br/>
      </w:r>
      <w:r>
        <w:rPr>
          <w:b/>
        </w:rPr>
        <w:t>Archivo leído:</w:t>
      </w:r>
      <w:r>
        <w:t xml:space="preserve"> 13.00_Mosca_Elementi_di_scienza_politica_2a_ed_1923_archive_djvu.txt (c6\13.00_Mosca_Elementi_di_scienza_politica_2a_ed_1923_archive_djvu.txt) · contraste del archivo de pasajes: ✔</w:t>
      </w:r>
      <w:r>
        <w:br/>
      </w:r>
      <w:r>
        <w:rPr>
          <w:b/>
        </w:rPr>
        <w:t>Lugar:</w:t>
      </w:r>
      <w:r>
        <w:t xml:space="preserve"> Gaetano Mosca, Elementi di scienza politica (Elementos de ciencia política), 2.ª ed., 1923, cap. II</w:t>
      </w:r>
      <w:r>
        <w:br/>
      </w:r>
      <w:r>
        <w:rPr>
          <w:b/>
        </w:rPr>
        <w:t>Tal como está en la fuente:</w:t>
      </w:r>
      <w:r>
        <w:t xml:space="preserve"> Prevalenza delle minoranze organizzate sulle maggioranze</w:t>
      </w:r>
      <w:r>
        <w:t>.</w:t>
      </w:r>
    </w:p>
    <w:p>
      <w:pPr>
        <w:pStyle w:val="ListBullet"/>
      </w:pPr>
      <w:r>
        <w:rPr>
          <w:b/>
        </w:rPr>
        <w:t>Tilly</w:t>
      </w:r>
      <w:r>
        <w:t xml:space="preserve"> (1985). Comparó la formación de los Estados europeos con el crimen organizado. Se cita solo por el título, «War Making and State Making as Organized Crime» (Hacer la guerra y hacer el Estado como crimen organizado), porque no hay texto abierto.</w:t>
      </w:r>
    </w:p>
    <w:p>
      <w:r>
        <w:t>[13.00-1.1 a 1.7; leídos en árabe, alemán e italiano]</w:t>
      </w:r>
    </w:p>
    <w:p>
      <w:r>
        <w:rPr>
          <w:b/>
        </w:rPr>
        <w:t>Órdenes de acceso limitado y abierto.</w:t>
      </w:r>
      <w:r>
        <w:t xml:space="preserve"> Desde aquí, la edición llama así a dos formas de orden social que distinguen North, Wallis y Weingast. Los órdenes de acceso limitado «usan el sistema político para limitar la entrada económica y crear rentas»</w:t>
      </w:r>
      <w:r>
        <w:t xml:space="preserve"> [original: «Limited access orders provide order by using the political system to limit economic entry to create rents»]</w:t>
      </w:r>
      <w:r>
        <w:t>; los de acceso abierto se sostienen con la competencia política y económica, y en los últimos trescientos años se han desarrollado en «unas dos docenas de países»</w:t>
      </w:r>
      <w:r>
        <w:t xml:space="preserve"> [original: «about two dozen countries»]</w:t>
      </w:r>
      <w:r>
        <w:t xml:space="preserve"> (North, Wallis y Weingast, A Conceptual Framework for Interpreting Recorded Human History (Un marco conceptual para interpretar la historia humana registrada), documento de trabajo NBER 12795, 2006)</w:t>
      </w:r>
      <w:r>
        <w:br/>
      </w:r>
      <w:r>
        <w:rPr>
          <w:b/>
        </w:rPr>
        <w:t>leída en su fuente · North, Wallis y Weingast, A Conceptual Framework for Interpreting Recorded Human History (</w:t>
      </w:r>
      <w:r>
        <w:br/>
      </w:r>
      <w:r>
        <w:rPr>
          <w:b/>
        </w:rPr>
        <w:t>Archivo leído:</w:t>
      </w:r>
      <w:r>
        <w:t xml:space="preserve"> 13.00_North_Wallis_Weingast_2006_NBER_w12795_Conceptual_Framework.pdf (c6\13.00_North_Wallis_Weingast_2006_NBER_w12795_Conceptual_Framework.pdf) · contraste del archivo de pasajes: ✔</w:t>
      </w:r>
      <w:r>
        <w:br/>
      </w:r>
      <w:r>
        <w:rPr>
          <w:b/>
        </w:rPr>
        <w:t>Lugar:</w:t>
      </w:r>
      <w:r>
        <w:t xml:space="preserve"> North, Wallis y Weingast, A Conceptual Framework for Interpreting Recorded Human History (Un marco conceptual para interpretar la historia humana registrada), documento de trabajo NBER 12795, 2006</w:t>
      </w:r>
      <w:r>
        <w:br/>
      </w:r>
      <w:r>
        <w:rPr>
          <w:b/>
        </w:rPr>
        <w:t>Tal como está en la fuente:</w:t>
      </w:r>
      <w:r>
        <w:t xml:space="preserve"> about two dozen countries</w:t>
      </w:r>
      <w:r>
        <w:t>. Un estudio de 2023 lo midió: «treinta y cinco países de 161 fueron calificados en 2020 como órdenes de acceso abierto»</w:t>
      </w:r>
      <w:r>
        <w:t xml:space="preserve"> [original: «Thirty-five countries out of 161 in 2020 were assessed to be open access orders»]</w:t>
      </w:r>
      <w:r>
        <w:t>, con Suiza en cabeza</w:t>
      </w:r>
      <w:r>
        <w:t xml:space="preserve"> (Murphy, «Measuring open access orders» (Medir los órdenes de acceso abierto), Journal of Institutional Economics, 2023, resumen)</w:t>
      </w:r>
      <w:r>
        <w:t xml:space="preserve">. </w:t>
      </w:r>
      <w:r>
        <w:t>[13.00-2.1, 2.2 y 2.4]</w:t>
      </w:r>
    </w:p>
    <w:p>
      <w:r>
        <w:t xml:space="preserve">El patrón de extracción es real y lo describen pensadores de épocas y lugares distintos. Pero no es universal ni inevitable: la pregunta útil no es si todo es igual, sino en qué punto de la escala está cada país, y con qué datos se comprueba. </w:t>
      </w:r>
      <w:r>
        <w:t>[13.00-0.1 a 0.3 y 3.1 a 3.3]</w:t>
      </w:r>
    </w:p>
    <w:p>
      <w:pPr>
        <w:pStyle w:val="Heading3"/>
      </w:pPr>
      <w:r>
        <w:t>Siete piezas de España</w:t>
      </w:r>
    </w:p>
    <w:p>
      <w:r>
        <w:rPr>
          <w:b/>
        </w:rPr>
        <w:t>1. El Consejo General del Poder Judicial.</w:t>
      </w:r>
    </w:p>
    <w:p>
      <w:pPr>
        <w:pStyle w:val="ListBullet"/>
      </w:pPr>
      <w:r>
        <w:rPr>
          <w:b/>
        </w:rPr>
        <w:t>La Constitución.</w:t>
      </w:r>
      <w:r>
        <w:t xml:space="preserve"> De sus veinte vocales, «doce entre Jueces y Magistrados de todas las categorías judiciales, en los términos que establezca la ley orgánica», y ocho a propuesta de las Cámaras, por tres quintos</w:t>
      </w:r>
      <w:r>
        <w:t xml:space="preserve"> (Constitución, art. 122.3)</w:t>
      </w:r>
      <w:r>
        <w:t>.</w:t>
      </w:r>
    </w:p>
    <w:p>
      <w:pPr>
        <w:pStyle w:val="ListBullet"/>
      </w:pPr>
      <w:r>
        <w:rPr>
          <w:b/>
        </w:rPr>
        <w:t>La ley.</w:t>
      </w:r>
      <w:r>
        <w:t xml:space="preserve"> Desde 1985, las Cámaras eligen también a los doce del turno judicial; hoy, «Las veinte personas Vocales del Consejo General del Poder Judicial serán designadas por las Cortes Generales»</w:t>
      </w:r>
      <w:r>
        <w:t xml:space="preserve"> (Ley Orgánica del Poder Judicial, art. 567.1)</w:t>
      </w:r>
      <w:r>
        <w:br/>
      </w:r>
      <w:r>
        <w:rPr>
          <w:b/>
        </w:rPr>
        <w:t>leída en su fuente · Ley Orgánica del Poder Judicial, art. 567.1</w:t>
      </w:r>
      <w:r>
        <w:br/>
      </w:r>
      <w:r>
        <w:rPr>
          <w:b/>
        </w:rPr>
        <w:t>Archivo leído:</w:t>
      </w:r>
      <w:r>
        <w:t xml:space="preserve"> 12.00_13.00_BOE_LOPJ_LO_6-1985_consolidada.html (c6\12.00_13.00_BOE_LOPJ_LO_6-1985_consolidada.html) · contraste del archivo de pasajes: ✔</w:t>
      </w:r>
      <w:r>
        <w:br/>
      </w:r>
      <w:r>
        <w:rPr>
          <w:b/>
        </w:rPr>
        <w:t>Lugar:</w:t>
      </w:r>
      <w:r>
        <w:t xml:space="preserve"> Art. 567.1</w:t>
      </w:r>
      <w:r>
        <w:br/>
      </w:r>
      <w:r>
        <w:rPr>
          <w:b/>
        </w:rPr>
        <w:t>Dirección:</w:t>
      </w:r>
      <w:r>
        <w:t xml:space="preserve"> </w:t>
      </w:r>
      <w:r>
        <w:t>https://www.boe.es/buscar/act.php?id=BOE-A-1985-12666</w:t>
      </w:r>
      <w:r>
        <w:br/>
      </w:r>
      <w:r>
        <w:rPr>
          <w:b/>
        </w:rPr>
        <w:t>Tal como está en la fuente:</w:t>
      </w:r>
      <w:r>
        <w:t xml:space="preserve"> Las veinte personas Vocales del Consejo General del Poder Judicial serán designadas por las Cortes Generales…</w:t>
      </w:r>
      <w:r>
        <w:t>.</w:t>
      </w:r>
    </w:p>
    <w:p>
      <w:pPr>
        <w:pStyle w:val="ListBullet"/>
      </w:pPr>
      <w:r>
        <w:rPr>
          <w:b/>
        </w:rPr>
        <w:t>El Constitucional.</w:t>
      </w:r>
      <w:r>
        <w:t xml:space="preserve"> Avaló la reforma, y en la misma sentencia escribió: «La lógica del Estado de partidos empuja a actuaciones de este género», las de repartir los puestos «en proporción a la fuerza parlamentaria» de cada partido; y el riesgo de «una actuación contraria al espíritu de la Norma constitucional» «parece aconsejar su sustitución, pero no es fundamento bastante para declarar su invalidez»</w:t>
      </w:r>
      <w:r>
        <w:t xml:space="preserve"> (STC 108/1986, FJ 13)</w:t>
      </w:r>
      <w:r>
        <w:br/>
      </w:r>
      <w:r>
        <w:rPr>
          <w:b/>
        </w:rPr>
        <w:t>leída en su fuente · STC 108/1986, FJ 13</w:t>
      </w:r>
      <w:r>
        <w:br/>
      </w:r>
      <w:r>
        <w:rPr>
          <w:b/>
        </w:rPr>
        <w:t>Archivo leído:</w:t>
      </w:r>
      <w:r>
        <w:t xml:space="preserve"> 13.00_STC_108-1986_29-07-1986_CGPJ_LOPJ_HJ.html (c6\13.00_STC_108-1986_29-07-1986_CGPJ_LOPJ_HJ.html) · contraste del archivo de pasajes: ✔</w:t>
      </w:r>
      <w:r>
        <w:br/>
      </w:r>
      <w:r>
        <w:rPr>
          <w:b/>
        </w:rPr>
        <w:t>Lugar:</w:t>
      </w:r>
      <w:r>
        <w:t xml:space="preserve"> FJ 13</w:t>
      </w:r>
      <w:r>
        <w:br/>
      </w:r>
      <w:r>
        <w:rPr>
          <w:b/>
        </w:rPr>
        <w:t>Dirección:</w:t>
      </w:r>
      <w:r>
        <w:t xml:space="preserve"> </w:t>
      </w:r>
      <w:r>
        <w:t>https://hj.tribunalconstitucional.es/es/Resolucion/Show/671</w:t>
      </w:r>
      <w:r>
        <w:br/>
      </w:r>
      <w:r>
        <w:rPr>
          <w:b/>
        </w:rPr>
        <w:t>Tal como está en la fuente:</w:t>
      </w:r>
      <w:r>
        <w:t xml:space="preserve"> …una actuación contraria al espíritu de la Norma constitucional, parece aconsejar su sustitución, pero no es fundamento bastante para declarar su invalidez, ya que es doctrina constante de este Tribunal que la validez de la ley ha de ser preservada cuando su texto no impide una interpretación adecuada a la Constitución.</w:t>
      </w:r>
      <w:r>
        <w:t>.</w:t>
      </w:r>
    </w:p>
    <w:p>
      <w:pPr>
        <w:pStyle w:val="ListBullet"/>
      </w:pPr>
      <w:r>
        <w:rPr>
          <w:b/>
        </w:rPr>
        <w:t>Catorce años después.</w:t>
      </w:r>
      <w:r>
        <w:t xml:space="preserve"> Un voto particular de dos magistrados del propio Tribunal la llamó «el primer embate, y muy fuerte, a ese modelo»</w:t>
      </w:r>
      <w:r>
        <w:t xml:space="preserve"> (STC 105/2000, voto particular)</w:t>
      </w:r>
      <w:r>
        <w:br/>
      </w:r>
      <w:r>
        <w:rPr>
          <w:b/>
        </w:rPr>
        <w:t>leída en su fuente · STC 105/2000, voto particular</w:t>
      </w:r>
      <w:r>
        <w:br/>
      </w:r>
      <w:r>
        <w:rPr>
          <w:b/>
        </w:rPr>
        <w:t>Archivo leído:</w:t>
      </w:r>
      <w:r>
        <w:t xml:space="preserve"> 13.00_STC_105-2000_13-04-2000_HJ.html (c6\13.00_STC_105-2000_13-04-2000_HJ.html) · contraste del archivo de pasajes: ✔</w:t>
      </w:r>
      <w:r>
        <w:br/>
      </w:r>
      <w:r>
        <w:rPr>
          <w:b/>
        </w:rPr>
        <w:t>Lugar:</w:t>
      </w:r>
      <w:r>
        <w:t xml:space="preserve"> Voto particular de Rafael de Mendizábal Allende, al que se adhiere Manuel Jiménez de Parga, ap. 1</w:t>
      </w:r>
      <w:r>
        <w:br/>
      </w:r>
      <w:r>
        <w:rPr>
          <w:b/>
        </w:rPr>
        <w:t>Dirección:</w:t>
      </w:r>
      <w:r>
        <w:t xml:space="preserve"> </w:t>
      </w:r>
      <w:r>
        <w:t>https://hj.tribunalconstitucional.es/es/Resolucion/Show/4089</w:t>
      </w:r>
      <w:r>
        <w:br/>
      </w:r>
      <w:r>
        <w:rPr>
          <w:b/>
        </w:rPr>
        <w:t>Tal como está en la fuente:</w:t>
      </w:r>
      <w:r>
        <w:t xml:space="preserve"> El primer embate, y muy fuerte, a ese modelo lo infligió en 1985 la Ley Orgánica del Poder Judicial, ratificada con aspavientos retóricos por un Tribunal Constitucional en la misma sintonía.</w:t>
      </w:r>
      <w:r>
        <w:t>.</w:t>
      </w:r>
    </w:p>
    <w:p>
      <w:r>
        <w:t>[13.00-4.1 a 4.4]</w:t>
      </w:r>
    </w:p>
    <w:p>
      <w:r>
        <w:rPr>
          <w:b/>
        </w:rPr>
        <w:t>2. El dinero de los partidos.</w:t>
      </w:r>
    </w:p>
    <w:p>
      <w:pPr>
        <w:pStyle w:val="ListBullet"/>
      </w:pPr>
      <w:r>
        <w:rPr>
          <w:b/>
        </w:rPr>
        <w:t>Quién recibe.</w:t>
      </w:r>
      <w:r>
        <w:t xml:space="preserve"> Las subvenciones anuales van a «los partidos políticos con representación en el Congreso de los Diputados», repartidas según escaños y votos</w:t>
      </w:r>
      <w:r>
        <w:t xml:space="preserve"> (Ley Orgánica 8/2007, art. 3)</w:t>
      </w:r>
      <w:r>
        <w:t>. Las donaciones privadas no pueden superar 50.000 euros al año por persona, ni venir de personas jurídicas</w:t>
      </w:r>
      <w:r>
        <w:t xml:space="preserve"> (art. 5)</w:t>
      </w:r>
      <w:r>
        <w:t>.</w:t>
      </w:r>
    </w:p>
    <w:p>
      <w:pPr>
        <w:pStyle w:val="ListBullet"/>
      </w:pPr>
      <w:r>
        <w:rPr>
          <w:b/>
        </w:rPr>
        <w:t>Quién controla.</w:t>
      </w:r>
      <w:r>
        <w:t xml:space="preserve"> El Tribunal de Cuentas puede sancionar a un partido</w:t>
      </w:r>
      <w:r>
        <w:t xml:space="preserve"> (art. 17)</w:t>
      </w:r>
      <w:r>
        <w:t>, con la redacción de las Leyes Orgánicas 5/2012 y 3/2015. Pero si el partido recurre ante el Supremo, «la interposición del recurso suspenderá automáticamente la ejecución»</w:t>
      </w:r>
      <w:r>
        <w:t xml:space="preserve"> (art. 18)</w:t>
      </w:r>
      <w:r>
        <w:br/>
      </w:r>
      <w:r>
        <w:rPr>
          <w:b/>
        </w:rPr>
        <w:t>leída en su fuente · art. 18</w:t>
      </w:r>
      <w:r>
        <w:br/>
      </w:r>
      <w:r>
        <w:rPr>
          <w:b/>
        </w:rPr>
        <w:t>Archivo leído:</w:t>
      </w:r>
      <w:r>
        <w:t xml:space="preserve"> 13.00_BOE_LO_8-2007_financiacion_partidos_consolidada.html (c6\13.00_BOE_LO_8-2007_financiacion_partidos_consolidada.html) · contraste del archivo de pasajes: ✔</w:t>
      </w:r>
      <w:r>
        <w:br/>
      </w:r>
      <w:r>
        <w:rPr>
          <w:b/>
        </w:rPr>
        <w:t>Lugar:</w:t>
      </w:r>
      <w:r>
        <w:t xml:space="preserve"> Art. 3.Uno</w:t>
      </w:r>
      <w:r>
        <w:br/>
      </w:r>
      <w:r>
        <w:rPr>
          <w:b/>
        </w:rPr>
        <w:t>Dirección:</w:t>
      </w:r>
      <w:r>
        <w:t xml:space="preserve"> </w:t>
      </w:r>
      <w:r>
        <w:t>https://www.boe.es/buscar/act.php?id=BOE-A-2007-13022</w:t>
      </w:r>
      <w:r>
        <w:br/>
      </w:r>
      <w:r>
        <w:rPr>
          <w:b/>
        </w:rPr>
        <w:t>Tal como está en la fuente:</w:t>
      </w:r>
      <w:r>
        <w:t xml:space="preserve"> …la interposición del recurso suspenderá automáticamente la ejecución de la resolución adoptada por el Tribunal de Cuentas.</w:t>
      </w:r>
      <w:r>
        <w:t>.</w:t>
      </w:r>
    </w:p>
    <w:p>
      <w:pPr>
        <w:pStyle w:val="ListBullet"/>
      </w:pPr>
      <w:r>
        <w:rPr>
          <w:b/>
        </w:rPr>
        <w:t>De dónde sale el dinero.</w:t>
      </w:r>
      <w:r>
        <w:t xml:space="preserve"> En las cuentas de 2017, «el promedio que ha representado la financiación pública ha sido del 72% y la financiación privada del 28%», y el Tribunal aconseja evitar «una excesiva dependencia de los ingresos de origen público»</w:t>
      </w:r>
      <w:r>
        <w:t xml:space="preserve"> (Tribunal de Cuentas, fiscalización de los partidos políticos, ejercicio 2017, BOE de 2-7-2024)</w:t>
      </w:r>
      <w:r>
        <w:br/>
      </w:r>
      <w:r>
        <w:rPr>
          <w:b/>
        </w:rPr>
        <w:t>leída en su fuente · Tribunal de Cuentas, fiscalización de los partidos políticos, ejercicio 2017, BOE de 2-7-2</w:t>
      </w:r>
      <w:r>
        <w:br/>
      </w:r>
      <w:r>
        <w:rPr>
          <w:b/>
        </w:rPr>
        <w:t>Archivo leído:</w:t>
      </w:r>
      <w:r>
        <w:t xml:space="preserve"> 13.00_BOE-A-2024-13379_TCu_partidos_2017.pdf; 13.00_BOE_2024-07-02_Resolucion_Comision_Mixta_TCu_partidos_2017.html (c6\13.00_BOE-A-2024-13379_TCu_partidos_2017.pdf) · contraste del archivo de pasajes: ✔</w:t>
      </w:r>
      <w:r>
        <w:br/>
      </w:r>
      <w:r>
        <w:rPr>
          <w:b/>
        </w:rPr>
        <w:t>Lugar:</w:t>
      </w:r>
      <w:r>
        <w:t xml:space="preserve"> PDF p. 5</w:t>
      </w:r>
      <w:r>
        <w:br/>
      </w:r>
      <w:r>
        <w:rPr>
          <w:b/>
        </w:rPr>
        <w:t>Dirección:</w:t>
      </w:r>
      <w:r>
        <w:t xml:space="preserve"> </w:t>
      </w:r>
      <w:r>
        <w:t>https://www.boe.es/buscar/doc.php?id=BOE-A-2024-13379</w:t>
      </w:r>
      <w:r>
        <w:br/>
      </w:r>
      <w:r>
        <w:rPr>
          <w:b/>
        </w:rPr>
        <w:t>Tal como está en la fuente:</w:t>
      </w:r>
      <w:r>
        <w:t xml:space="preserve"> …el promedio que ha representado la financiación pública ha sido del 72% y la financiación privada del 28%, lo que pone de manifiesto la conveniencia de equilibrar… con objeto de evitar una excesiva dependencia de los ingresos de origen público</w:t>
      </w:r>
      <w:r>
        <w:t>. Es la media de los porcentajes de cada formación, no el reparto del dinero total.</w:t>
      </w:r>
    </w:p>
    <w:p>
      <w:pPr>
        <w:pStyle w:val="ListBullet"/>
      </w:pPr>
      <w:r>
        <w:rPr>
          <w:b/>
        </w:rPr>
        <w:t>Los plazos.</w:t>
      </w:r>
      <w:r>
        <w:t xml:space="preserve"> La ley da al Tribunal seis meses desde que recibe las cuentas</w:t>
      </w:r>
      <w:r>
        <w:t xml:space="preserve"> (art. 16)</w:t>
      </w:r>
      <w:r>
        <w:t>. El informe de 2017 se aprobó el 24 de febrero de 2022, la Comisión Mixta lo resolvió el 11 de abril de 2024 y el BOE lo publicó el 2 de julio de 2024. El informe no explica el retraso, y aquí no se atribuye a nadie.</w:t>
      </w:r>
    </w:p>
    <w:p>
      <w:pPr>
        <w:pStyle w:val="ListBullet"/>
      </w:pPr>
      <w:r>
        <w:rPr>
          <w:b/>
        </w:rPr>
        <w:t>Sí se sanciona.</w:t>
      </w:r>
      <w:r>
        <w:t xml:space="preserve"> Tras las elecciones locales de 2015 y de 2019, el Tribunal de Cuentas abrió 563 procedimientos sancionadores (529 y 34); 515 acabaron en multa y las multas firmes suman 1.557.113,85 euros: la mayoría, de unos cientos de euros (mediana, 725,09 euros; 463 de las 496 no pasan de 5.000 euros). Las mayores son las de Barcelona pel Canvi-Ciutadans (276.698,28 euros) y Convergència i Unió (130.192,43 euros)</w:t>
      </w:r>
      <w:r>
        <w:t xml:space="preserve"> (Tribunal de Cuentas, listados de procedimientos sancionadores de contabilidad electoral, elecciones locales de 2015 (noviembre de 2022) y de 2019 (diciembre de 2022); recuento de la obra)</w:t>
      </w:r>
      <w:r>
        <w:t>.</w:t>
      </w:r>
    </w:p>
    <w:p>
      <w:r>
        <w:t>[13.00-5.1 a 5.7]</w:t>
      </w:r>
    </w:p>
    <w:p>
      <w:r>
        <w:rPr>
          <w:b/>
        </w:rPr>
        <w:t>3. El Tribunal de Cuentas.</w:t>
      </w:r>
      <w:r>
        <w:t xml:space="preserve"> Sus doce consejeros los designan las Cortes, «seis por el Congreso de los Diputados y seis por el Senado, mediante votación por mayoría de tres quintos de cada una de las Cámaras, por un período de nueve años»</w:t>
      </w:r>
      <w:r>
        <w:t xml:space="preserve"> (Ley Orgánica 2/1982, art. 30.1)</w:t>
      </w:r>
      <w:r>
        <w:br/>
      </w:r>
      <w:r>
        <w:rPr>
          <w:b/>
        </w:rPr>
        <w:t>leída en su fuente · Ley Orgánica 2/1982, art. 30.1</w:t>
      </w:r>
      <w:r>
        <w:br/>
      </w:r>
      <w:r>
        <w:rPr>
          <w:b/>
        </w:rPr>
        <w:t>Archivo leído:</w:t>
      </w:r>
      <w:r>
        <w:t xml:space="preserve"> 13.00_BOE_LO_2-1982_Tribunal_de_Cuentas_consolidada.html (c6\13.00_BOE_LO_2-1982_Tribunal_de_Cuentas_consolidada.html) · contraste del archivo de pasajes: ✔</w:t>
      </w:r>
      <w:r>
        <w:br/>
      </w:r>
      <w:r>
        <w:rPr>
          <w:b/>
        </w:rPr>
        <w:t>Lugar:</w:t>
      </w:r>
      <w:r>
        <w:t xml:space="preserve"> Art. 30.Uno</w:t>
      </w:r>
      <w:r>
        <w:br/>
      </w:r>
      <w:r>
        <w:rPr>
          <w:b/>
        </w:rPr>
        <w:t>Dirección:</w:t>
      </w:r>
      <w:r>
        <w:t xml:space="preserve"> </w:t>
      </w:r>
      <w:r>
        <w:t>https://www.boe.es/buscar/act.php?id=BOE-A-1982-11584</w:t>
      </w:r>
      <w:r>
        <w:br/>
      </w:r>
      <w:r>
        <w:rPr>
          <w:b/>
        </w:rPr>
        <w:t>Tal como está en la fuente:</w:t>
      </w:r>
      <w:r>
        <w:t xml:space="preserve"> Los Consejeros de Cuentas serán designados por las Cortes Generales, seis por el Congreso de los Diputados y seis por el Senado, mediante votación por mayoría de tres quintos de cada una de las Cámaras, por un período de nueve años…</w:t>
      </w:r>
      <w:r>
        <w:t>. Es el mismo mecanismo que el del Consejo General del Poder Judicial: no son tres diseños distintos, sino uno, repetido. A su favor: si el nombramiento recae en un diputado o senador, «antes de tomar posesión, habrá de renunciar a su escaño»</w:t>
      </w:r>
      <w:r>
        <w:t xml:space="preserve"> (art. 33.2)</w:t>
      </w:r>
      <w:r>
        <w:br/>
      </w:r>
      <w:r>
        <w:rPr>
          <w:b/>
        </w:rPr>
        <w:t>leída en su fuente · art. 33.2</w:t>
      </w:r>
      <w:r>
        <w:br/>
      </w:r>
      <w:r>
        <w:rPr>
          <w:b/>
        </w:rPr>
        <w:t>Archivo leído:</w:t>
      </w:r>
      <w:r>
        <w:t xml:space="preserve"> 13.00_BOE_LO_2-1982_Tribunal_de_Cuentas_consolidada.html (c6\13.00_BOE_LO_2-1982_Tribunal_de_Cuentas_consolidada.html) · contraste del archivo de pasajes: ✔</w:t>
      </w:r>
      <w:r>
        <w:br/>
      </w:r>
      <w:r>
        <w:rPr>
          <w:b/>
        </w:rPr>
        <w:t>Lugar:</w:t>
      </w:r>
      <w:r>
        <w:t xml:space="preserve"> Art. 30.Uno</w:t>
      </w:r>
      <w:r>
        <w:br/>
      </w:r>
      <w:r>
        <w:rPr>
          <w:b/>
        </w:rPr>
        <w:t>Dirección:</w:t>
      </w:r>
      <w:r>
        <w:t xml:space="preserve"> </w:t>
      </w:r>
      <w:r>
        <w:t>https://www.boe.es/buscar/act.php?id=BOE-A-1982-11584</w:t>
      </w:r>
      <w:r>
        <w:br/>
      </w:r>
      <w:r>
        <w:rPr>
          <w:b/>
        </w:rPr>
        <w:t>Tal como está en la fuente:</w:t>
      </w:r>
      <w:r>
        <w:t xml:space="preserve"> Si el nombramiento recayese en quien ostente la condición de Senador o Diputado, antes de tomar posesión, habrá de renunciar a su escaño.</w:t>
      </w:r>
      <w:r>
        <w:t xml:space="preserve">. </w:t>
      </w:r>
      <w:r>
        <w:t>[13.00-6.1 a 6.4]</w:t>
      </w:r>
    </w:p>
    <w:p>
      <w:r>
        <w:rPr>
          <w:b/>
        </w:rPr>
        <w:t>4. Las barreras de entrada.</w:t>
      </w:r>
    </w:p>
    <w:p>
      <w:pPr>
        <w:pStyle w:val="ListBullet"/>
      </w:pPr>
      <w:r>
        <w:rPr>
          <w:b/>
        </w:rPr>
        <w:t>Las firmas.</w:t>
      </w:r>
      <w:r>
        <w:t xml:space="preserve"> Para presentarse al Congreso o al Senado, las agrupaciones de electores necesitan «al menos, la firma del 1 % de los inscritos en el censo electoral de la circunscripción», y los partidos que no tuvieron representación en la convocatoria anterior, «al menos, del 0,1 %»; quien ya la tuvo, ninguna</w:t>
      </w:r>
      <w:r>
        <w:t xml:space="preserve"> (Ley Orgánica del Régimen Electoral General, art. 169.3, en la redacción de la Ley Orgánica 2/2011)</w:t>
      </w:r>
      <w:r>
        <w:t>. Con el censo de 2023, en Palencia (137.642 electores), un partido nuevo necesita 138 firmas, y una agrupación de ciudadanos sin partido, 1.377. Para las cincuenta y dos circunscripciones, unas 37.500 y unas 375.000 (cálculo propio con el resumen oficial de resultados, BOE-A-2023-18907).</w:t>
      </w:r>
    </w:p>
    <w:p>
      <w:pPr>
        <w:pStyle w:val="ListBullet"/>
      </w:pPr>
      <w:r>
        <w:rPr>
          <w:b/>
        </w:rPr>
        <w:t>Lo que dijeron los tribunales.</w:t>
      </w:r>
      <w:r>
        <w:t xml:space="preserve"> El Constitucional consideró legítima la exigencia, porque el buen funcionamiento del proceso electoral «puede verse efectivamente afectado por la excesiva proliferación de candidaturas carentes, por las razones que fueran, de respaldo o arraigo en el cuerpo electoral»</w:t>
      </w:r>
      <w:r>
        <w:t xml:space="preserve"> (STC 163/2011)</w:t>
      </w:r>
      <w:r>
        <w:br/>
      </w:r>
      <w:r>
        <w:rPr>
          <w:b/>
        </w:rPr>
        <w:t>leída en su fuente · STC 163/2011</w:t>
      </w:r>
      <w:r>
        <w:br/>
      </w:r>
      <w:r>
        <w:rPr>
          <w:b/>
        </w:rPr>
        <w:t>Archivo leído:</w:t>
      </w:r>
      <w:r>
        <w:t xml:space="preserve"> 13.00_STC_162-2011_02-11-2011_avales_HJ.html; 13.00_STC_163-2011_02-11-2011_avales_HJ.html (c6\13.00_STC_163-2011_02-11-2011_avales_HJ.html) · contraste del archivo de pasajes: ✔</w:t>
      </w:r>
      <w:r>
        <w:br/>
      </w:r>
      <w:r>
        <w:rPr>
          <w:b/>
        </w:rPr>
        <w:t>Lugar:</w:t>
      </w:r>
      <w:r>
        <w:t xml:space="preserve"> STC 163/2011, antecedente 5 (alegaciones del Ministerio Fiscal)</w:t>
      </w:r>
      <w:r>
        <w:br/>
      </w:r>
      <w:r>
        <w:rPr>
          <w:b/>
        </w:rPr>
        <w:t>Dirección:</w:t>
      </w:r>
      <w:r>
        <w:t xml:space="preserve"> </w:t>
      </w:r>
      <w:r>
        <w:t>https://hj.tribunalconstitucional.es/es/Resolucion/Show/22600</w:t>
      </w:r>
      <w:r>
        <w:t xml:space="preserve"> ; </w:t>
      </w:r>
      <w:r>
        <w:t>https://hj.tribunalconstitucional.es/es/Resolucion/Show/22602</w:t>
      </w:r>
      <w:r>
        <w:br/>
      </w:r>
      <w:r>
        <w:rPr>
          <w:b/>
        </w:rPr>
        <w:t>Tal como está en la fuente:</w:t>
      </w:r>
      <w:r>
        <w:t xml:space="preserve"> …cuyo adecuado funcionamiento puede verse efectivamente afectado por la excesiva proliferación de candidaturas carentes, por las razones que fueran, de respaldo o arraigo en el cuerpo electoral.</w:t>
      </w:r>
      <w:r>
        <w:t>. El Tribunal Europeo de Derechos Humanos, que el 0,1 % es «considerablemente más bajo que el máximo del 1%» que indica la Comisión de Venecia</w:t>
      </w:r>
      <w:r>
        <w:t xml:space="preserve"> (Soberanía de la Razón y otros contra España, decisión de 26-5-2015, traducción del Ministerio de Justicia)</w:t>
      </w:r>
      <w:r>
        <w:t>. Es diseño legal, validado por los tribunales.</w:t>
      </w:r>
    </w:p>
    <w:p>
      <w:pPr>
        <w:pStyle w:val="ListBullet"/>
      </w:pPr>
      <w:r>
        <w:rPr>
          <w:b/>
        </w:rPr>
        <w:t>El dinero.</w:t>
      </w:r>
      <w:r>
        <w:t xml:space="preserve"> Las subvenciones electorales se pagan por escaño obtenido y por votos de las candidaturas que lograron al menos un escaño</w:t>
      </w:r>
      <w:r>
        <w:t xml:space="preserve"> (art. 175)</w:t>
      </w:r>
      <w:r>
        <w:t>; los adelantos, solo a quien ya las obtuvo en las últimas elecciones</w:t>
      </w:r>
      <w:r>
        <w:t xml:space="preserve"> (art. 127 bis)</w:t>
      </w:r>
      <w:r>
        <w:t>. Un partido nuevo parte de cero.</w:t>
      </w:r>
    </w:p>
    <w:p>
      <w:pPr>
        <w:pStyle w:val="ListBullet"/>
      </w:pPr>
      <w:r>
        <w:rPr>
          <w:b/>
        </w:rPr>
        <w:t>El tiempo en los medios públicos.</w:t>
      </w:r>
      <w:r>
        <w:t xml:space="preserve"> Diez minutos a quien no concurrió o no obtuvo representación; quince, treinta o cuarenta y cinco a quien sí la obtuvo, según sus votos. Y solo para quien presente candidaturas «en más del 75 por 100 de las circunscripciones» del ámbito del medio</w:t>
      </w:r>
      <w:r>
        <w:t xml:space="preserve"> (art. 64)</w:t>
      </w:r>
      <w:r>
        <w:t>.</w:t>
      </w:r>
    </w:p>
    <w:p>
      <w:pPr>
        <w:pStyle w:val="ListBullet"/>
      </w:pPr>
      <w:r>
        <w:rPr>
          <w:b/>
        </w:rPr>
        <w:t>El reparto de escaños.</w:t>
      </w:r>
      <w:r>
        <w:t xml:space="preserve"> No cuentan las candidaturas que no lleguen al «3 por 100 de los votos válidos emitidos en la circunscripción»</w:t>
      </w:r>
      <w:r>
        <w:t xml:space="preserve"> (art. 163.1)</w:t>
      </w:r>
      <w:r>
        <w:br/>
      </w:r>
      <w:r>
        <w:rPr>
          <w:b/>
        </w:rPr>
        <w:t>leída en su fuente · art. 163.1</w:t>
      </w:r>
      <w:r>
        <w:br/>
      </w:r>
      <w:r>
        <w:rPr>
          <w:b/>
        </w:rPr>
        <w:t>Archivo leído:</w:t>
      </w:r>
      <w:r>
        <w:t xml:space="preserve"> ídem (c10\loreg_lo5_1985_consolidada.html) · contraste del archivo de pasajes: ✔</w:t>
      </w:r>
      <w:r>
        <w:br/>
      </w:r>
      <w:r>
        <w:rPr>
          <w:b/>
        </w:rPr>
        <w:t>Tal como está en la fuente:</w:t>
      </w:r>
      <w:r>
        <w:t xml:space="preserve"> Artículo ciento sesenta y tres. 1. … a) No se tienen en cuenta aquellas candidaturas que no hubieran obtenido, al menos, el 3 por 100 de los votos válidos emitidos en la circunscripción.</w:t>
      </w:r>
      <w:r>
        <w:t>. El legislador de 1977 declaró su fin: la regla d'Hondt «ya supone un poderoso corrector del excesivo fraccionamiento de las representaciones parlamentarias», y «a esta misma finalidad» responde el umbral</w:t>
      </w:r>
      <w:r>
        <w:t xml:space="preserve"> (Real Decreto-ley 20/1977, preámbulo)</w:t>
      </w:r>
      <w:r>
        <w:t>. El Consejo de Estado describió el efecto: la fórmula «es conocida por su propensión a beneficiar a los partidos grandes y, al mismo tiempo, perjudicar a los pequeños, especialmente cuando éstos son de ámbito nacional»; el umbral efectivo medio desde 1977 ha sido del 10,2 % de los votos en cada provincia; y no es posible negar que el sistema «ha contribuido a la afirmación de nuestro sistema de bipartidismo imperfecto que ha dado lugar a una muy firme estabilidad gubernamental»</w:t>
      </w:r>
      <w:r>
        <w:t xml:space="preserve"> (Consejo de Estado, informe sobre las propuestas de modificación del régimen electoral general, 24-2-2009)</w:t>
      </w:r>
      <w:r>
        <w:br/>
      </w:r>
      <w:r>
        <w:rPr>
          <w:b/>
        </w:rPr>
        <w:t>leída en su fuente · Consejo de Estado, informe sobre las propuestas de modificación del régimen electoral gene</w:t>
      </w:r>
      <w:r>
        <w:br/>
      </w:r>
      <w:r>
        <w:rPr>
          <w:b/>
        </w:rPr>
        <w:t>Archivo leído:</w:t>
      </w:r>
      <w:r>
        <w:t xml:space="preserve"> 13.00_Consejo_de_Estado_Informe_regimen_electoral_24-02-2009.pdf (c6\13.00_Consejo_de_Estado_Informe_regimen_electoral_24-02-2009.pdf) · contraste del archivo de pasajes: ✔</w:t>
      </w:r>
      <w:r>
        <w:br/>
      </w:r>
      <w:r>
        <w:rPr>
          <w:b/>
        </w:rPr>
        <w:t>Lugar:</w:t>
      </w:r>
      <w:r>
        <w:t xml:space="preserve"> PDF p. 190</w:t>
      </w:r>
      <w:r>
        <w:br/>
      </w:r>
      <w:r>
        <w:rPr>
          <w:b/>
        </w:rPr>
        <w:t>Dirección:</w:t>
      </w:r>
      <w:r>
        <w:t xml:space="preserve"> </w:t>
      </w:r>
      <w:r>
        <w:t>https://www.consejo-estado.es/wp-content/uploads/2021/02/REGIMEN-ELECTORAL.pdf</w:t>
      </w:r>
      <w:r>
        <w:br/>
      </w:r>
      <w:r>
        <w:rPr>
          <w:b/>
        </w:rPr>
        <w:t>Tal como está en la fuente:</w:t>
      </w:r>
      <w:r>
        <w:t xml:space="preserve"> …tampoco es posible negar que éste ha contribuido a la afirmación de nuestro sistema de bipartidismo imperfecto que ha dado lugar a una muy firme estabilidad gubernamental</w:t>
      </w:r>
      <w:r>
        <w:t>. En 2023, el partido más votado obtuvo el 33,33 % de los votos a candidaturas y el 39,14 % de los escaños (cálculo propio con el resumen oficial).</w:t>
      </w:r>
    </w:p>
    <w:p>
      <w:pPr>
        <w:pStyle w:val="ListBullet"/>
      </w:pPr>
      <w:r>
        <w:rPr>
          <w:b/>
        </w:rPr>
        <w:t>Lo que no se puede decir.</w:t>
      </w:r>
      <w:r>
        <w:t xml:space="preserve"> El fin declarado es evitar la fragmentación. Que se buscara favorecer a los grandes no consta en ninguna fuente oficial localizada: el Consejo de Estado describe el efecto, no un propósito. Y el sistema no impide la entrada de fuerzas nuevas: la dificulta, y aun así ha ocurrido varias veces desde 1978.</w:t>
      </w:r>
    </w:p>
    <w:p>
      <w:r>
        <w:t>[13.00-7.1 a 7.7]</w:t>
      </w:r>
    </w:p>
    <w:p>
      <w:r>
        <w:rPr>
          <w:b/>
        </w:rPr>
        <w:t>5. El Tribunal Constitucional y los partidos.</w:t>
      </w:r>
    </w:p>
    <w:p>
      <w:pPr>
        <w:pStyle w:val="ListBullet"/>
      </w:pPr>
      <w:r>
        <w:rPr>
          <w:b/>
        </w:rPr>
        <w:t>Quién elige.</w:t>
      </w:r>
      <w:r>
        <w:t xml:space="preserve"> De sus doce magistrados, cuatro los propone el Congreso y cuatro el Senado, por tres quintos, dos el Gobierno y dos el Consejo General del Poder Judicial</w:t>
      </w:r>
      <w:r>
        <w:t xml:space="preserve"> (Constitución, art. 159.1)</w:t>
      </w:r>
      <w:r>
        <w:t>. Los del Senado, «entre las candidaturas presentadas por las Asambleas Legislativas de las comunidades autónomas»</w:t>
      </w:r>
      <w:r>
        <w:t xml:space="preserve"> (Ley Orgánica 2/1979, del Tribunal Constitucional, art. 16.1)</w:t>
      </w:r>
      <w:r>
        <w:br/>
      </w:r>
      <w:r>
        <w:rPr>
          <w:b/>
        </w:rPr>
        <w:t>leída en su fuente · Ley Orgánica 2/1979, del Tribunal Constitucional, art. 16.1</w:t>
      </w:r>
      <w:r>
        <w:br/>
      </w:r>
      <w:r>
        <w:rPr>
          <w:b/>
        </w:rPr>
        <w:t>Archivo leído:</w:t>
      </w:r>
      <w:r>
        <w:t xml:space="preserve"> lotc_lo2_1979.html (copia del capítulo 5) (c5\lotc_lo2_1979.html) · contraste del archivo de pasajes: ✔</w:t>
      </w:r>
      <w:r>
        <w:br/>
      </w:r>
      <w:r>
        <w:rPr>
          <w:b/>
        </w:rPr>
        <w:t>Dirección:</w:t>
      </w:r>
      <w:r>
        <w:t xml:space="preserve"> </w:t>
      </w:r>
      <w:r>
        <w:t>https://www.boe.es/buscar/act.php?id=BOE-A-1979-23709</w:t>
      </w:r>
      <w:r>
        <w:br/>
      </w:r>
      <w:r>
        <w:rPr>
          <w:b/>
        </w:rPr>
        <w:t>Tal como está en la fuente:</w:t>
      </w:r>
      <w:r>
        <w:t xml:space="preserve"> Los Magistrados y Magistradas propuestos por el Senado serán elegidos entre las candidaturas presentadas por las Asambleas Legislativas de las comunidades autónomas en los términos que determine el Reglamento de la Cámara.</w:t>
      </w:r>
      <w:r>
        <w:t>.</w:t>
      </w:r>
    </w:p>
    <w:p>
      <w:pPr>
        <w:pStyle w:val="ListBullet"/>
      </w:pPr>
      <w:r>
        <w:rPr>
          <w:b/>
        </w:rPr>
        <w:t>La disolución de un partido.</w:t>
      </w:r>
      <w:r>
        <w:t xml:space="preserve"> La ley permite disolverlo por vía judicial, y se ha aplicado: el caso de Batasuna, por las causas del art. 9, examinado en amparo por el Constitucional</w:t>
      </w:r>
      <w:r>
        <w:t xml:space="preserve"> (STC 5/2004)</w:t>
      </w:r>
      <w:r>
        <w:t>. También cabe cuando un partido «vulnere de forma continuada, reiterada y grave la exigencia de una estructura interna y un funcionamiento democráticos»</w:t>
      </w:r>
      <w:r>
        <w:t xml:space="preserve"> (Ley Orgánica 6/2002, art. 10.2.b)</w:t>
      </w:r>
      <w:r>
        <w:br/>
      </w:r>
      <w:r>
        <w:rPr>
          <w:b/>
        </w:rPr>
        <w:t>leída en su fuente · Ley Orgánica 6/2002, art. 10.2.b</w:t>
      </w:r>
      <w:r>
        <w:br/>
      </w:r>
      <w:r>
        <w:rPr>
          <w:b/>
        </w:rPr>
        <w:t>Archivo leído:</w:t>
      </w:r>
      <w:r>
        <w:t xml:space="preserve"> 13.00_BOE_LO_6-2002_Partidos_Politicos_consolidada.html (c6\13.00_BOE_LO_6-2002_Partidos_Politicos_consolidada.html) · contraste del archivo de pasajes: ✔</w:t>
      </w:r>
      <w:r>
        <w:br/>
      </w:r>
      <w:r>
        <w:rPr>
          <w:b/>
        </w:rPr>
        <w:t>Lugar:</w:t>
      </w:r>
      <w:r>
        <w:t xml:space="preserve"> Art. 7.3</w:t>
      </w:r>
      <w:r>
        <w:br/>
      </w:r>
      <w:r>
        <w:rPr>
          <w:b/>
        </w:rPr>
        <w:t>Dirección:</w:t>
      </w:r>
      <w:r>
        <w:t xml:space="preserve"> </w:t>
      </w:r>
      <w:r>
        <w:t>https://www.boe.es/buscar/act.php?id=BOE-A-2002-12756</w:t>
      </w:r>
      <w:r>
        <w:br/>
      </w:r>
      <w:r>
        <w:rPr>
          <w:b/>
        </w:rPr>
        <w:t>Tal como está en la fuente:</w:t>
      </w:r>
      <w:r>
        <w:t xml:space="preserve"> Cuando vulnere de forma continuada, reiterada y grave la exigencia de una estructura interna y un funcionamiento democráticos…</w:t>
      </w:r>
      <w:r>
        <w:t>. Pero solo pueden pedirlo «el Gobierno y el Ministerio Fiscal»; el Congreso o el Senado pueden instar al Gobierno a pedirlo, y solo por las causas del art. 9</w:t>
      </w:r>
      <w:r>
        <w:t xml:space="preserve"> (art. 11.1)</w:t>
      </w:r>
      <w:r>
        <w:t>. Ni los afiliados ni los ciudadanos. No se ha localizado ninguna sentencia por falta de democracia interna; la búsqueda no prueba que no exista.</w:t>
      </w:r>
    </w:p>
    <w:p>
      <w:r>
        <w:t>[13.00-8.1 a 8.3 y 8.5]</w:t>
      </w:r>
    </w:p>
    <w:p>
      <w:r>
        <w:rPr>
          <w:b/>
        </w:rPr>
        <w:t>6. La iniciativa legislativa popular.</w:t>
      </w:r>
      <w:r>
        <w:t xml:space="preserve"> Hacen falta «al menos, 500.000 electores»</w:t>
      </w:r>
      <w:r>
        <w:t xml:space="preserve"> (Ley Orgánica 3/1984, art. 3.1)</w:t>
      </w:r>
      <w:r>
        <w:br/>
      </w:r>
      <w:r>
        <w:rPr>
          <w:b/>
        </w:rPr>
        <w:t>pasaje guardado</w:t>
      </w:r>
      <w:r>
        <w:br/>
      </w:r>
      <w:r>
        <w:rPr>
          <w:b/>
        </w:rPr>
        <w:t>Archivo leído:</w:t>
      </w:r>
      <w:r>
        <w:t xml:space="preserve"> 13.00_BOE_LO_3-1984_iniciativa_legislativa_popular_consolidada.html (c6\13.00_BOE_LO_3-1984_iniciativa_legislativa_popular_consolidada.html) · contraste del archivo de pasajes: ✔</w:t>
      </w:r>
      <w:r>
        <w:br/>
      </w:r>
      <w:r>
        <w:rPr>
          <w:b/>
        </w:rPr>
        <w:t>Lugar:</w:t>
      </w:r>
      <w:r>
        <w:t xml:space="preserve"> Ley Orgánica 3/1984, art. 3.1</w:t>
      </w:r>
      <w:r>
        <w:br/>
      </w:r>
      <w:r>
        <w:rPr>
          <w:b/>
        </w:rPr>
        <w:t>Tal como está en la fuente:</w:t>
      </w:r>
      <w:r>
        <w:t xml:space="preserve"> al menos, 500.000 electores</w:t>
      </w:r>
      <w:r>
        <w:t>. Pero están excluidas, entre otras, las materias que «según la Constitución, son propias de Leyes Orgánicas» y «las de naturaleza tributaria»</w:t>
      </w:r>
      <w:r>
        <w:t xml:space="preserve"> (art. 2)</w:t>
      </w:r>
      <w:r>
        <w:br/>
      </w:r>
      <w:r>
        <w:rPr>
          <w:b/>
        </w:rPr>
        <w:t>leída en su fuente · art. 2</w:t>
      </w:r>
      <w:r>
        <w:br/>
      </w:r>
      <w:r>
        <w:rPr>
          <w:b/>
        </w:rPr>
        <w:t>Archivo leído:</w:t>
      </w:r>
      <w:r>
        <w:t xml:space="preserve"> 13.00_BOE_LO_3-1984_iniciativa_legislativa_popular_consolidada.html (c6\13.00_BOE_LO_3-1984_iniciativa_legislativa_popular_consolidada.html) · contraste del archivo de pasajes: ✔</w:t>
      </w:r>
      <w:r>
        <w:br/>
      </w:r>
      <w:r>
        <w:rPr>
          <w:b/>
        </w:rPr>
        <w:t>Lugar:</w:t>
      </w:r>
      <w:r>
        <w:t xml:space="preserve"> Art. 2</w:t>
      </w:r>
      <w:r>
        <w:br/>
      </w:r>
      <w:r>
        <w:rPr>
          <w:b/>
        </w:rPr>
        <w:t>Dirección:</w:t>
      </w:r>
      <w:r>
        <w:t xml:space="preserve"> </w:t>
      </w:r>
      <w:r>
        <w:t>https://www.boe.es/buscar/act.php?id=BOE-A-1984-7249</w:t>
      </w:r>
      <w:r>
        <w:br/>
      </w:r>
      <w:r>
        <w:rPr>
          <w:b/>
        </w:rPr>
        <w:t>Tal como está en la fuente:</w:t>
      </w:r>
      <w:r>
        <w:t xml:space="preserve"> Están excluidas de la iniciativa legislativa popular las siguientes materias: 1. Las que, según la Constitución, son propias de Leyes Orgánicas. 2. Las de naturaleza tributaria.…</w:t>
      </w:r>
      <w:r>
        <w:t xml:space="preserve">. La ley electoral y la del poder judicial son orgánicas: ningún ciudadano puede proponer por esta vía cambiar cómo se elige a sus representantes ni cómo se elige al Consejo General del Poder Judicial. Tampoco un impuesto. </w:t>
      </w:r>
      <w:r>
        <w:t>[13.00-9.1 a 9.4; la exclusión de lo tributario, nueva, del mismo artículo]</w:t>
      </w:r>
    </w:p>
    <w:p>
      <w:r>
        <w:rPr>
          <w:b/>
        </w:rPr>
        <w:t>7. Lo público tratado como propio, medido de lejos.</w:t>
      </w:r>
    </w:p>
    <w:p>
      <w:pPr>
        <w:pStyle w:val="ListBullet"/>
      </w:pPr>
      <w:r>
        <w:rPr>
          <w:b/>
        </w:rPr>
        <w:t>El concepto.</w:t>
      </w:r>
      <w:r>
        <w:t xml:space="preserve"> Weber llamó patrimonialismo a una de las formas de la dominación tradicional</w:t>
      </w:r>
      <w:r>
        <w:t xml:space="preserve"> (Weber, Economía y sociedad, 1922, cap. III, § 7a)</w:t>
      </w:r>
      <w:r>
        <w:t>: la del que gobierna tratando lo público como propio. La Constitución se declara lo contrario: «un Estado social y democrático de Derecho» (art. 1.1).</w:t>
      </w:r>
    </w:p>
    <w:p>
      <w:pPr>
        <w:pStyle w:val="ListBullet"/>
      </w:pPr>
      <w:r>
        <w:rPr>
          <w:b/>
        </w:rPr>
        <w:t>Lo que se mide.</w:t>
      </w:r>
      <w:r>
        <w:t xml:space="preserve"> Nadie mide un porcentaje de patrimonialismo, y sería deshonesto inventarlo. Lo más cercano es el control de la corrupción. El Banco Mundial da a España 61,2 sobre 100 en 2025, frente a 64,7 en 2021</w:t>
      </w:r>
      <w:r>
        <w:t xml:space="preserve"> (Banco Mundial, Worldwide Governance Indicators (Indicadores mundiales de gobernanza), «Control of Corruption», puntuación de 0 a 100, edición de 2026)</w:t>
      </w:r>
      <w:r>
        <w:t>. Transparencia Internacional, 55 sobre 100 en 2025, «un punto menos que en el IPC 2024 y cinco menos que en el IPC 2023», en el puesto 49 de 182</w:t>
      </w:r>
      <w:r>
        <w:t xml:space="preserve"> (Transparencia Internacional España, Índice de Percepción de la Corrupción 2025)</w:t>
      </w:r>
      <w:r>
        <w:t>. Mejor que la mayoría de los países, lejos de un Estado patrimonial, y con una tendencia de deterioro.</w:t>
      </w:r>
    </w:p>
    <w:p>
      <w:pPr>
        <w:pStyle w:val="ListBullet"/>
      </w:pPr>
      <w:r>
        <w:rPr>
          <w:b/>
        </w:rPr>
        <w:t>Los derechos ante Europa.</w:t>
      </w:r>
      <w:r>
        <w:t xml:space="preserve"> Según el Consejo General del Poder Judicial, en 2017 el Tribunal Europeo de Derechos Humanos dictó 6 sentencias contra España y 5 apreciaron violación: 0,11 por millón de habitantes, el puesto 12 de menor a mayor, por debajo de Italia (0,46), Suiza (0,48), Bélgica (0,62) y Austria (1,82). En 1959-2017, las sentencias con violación por millón de habitantes fueron 2,21 en España, 12,59 en Suiza, 15,06 en Bélgica, 30,02 en Italia y 31,00 en Austria (España ratificó el Convenio en 1979). Y en 2017 llegaron a Estrasburgo 0,14 demandas por cada 10.000 habitantes de España, frente a 0,76 de media en el Consejo de Europa</w:t>
      </w:r>
      <w:r>
        <w:t xml:space="preserve"> (CGPJ, Boletín de información estadística n.º 56, junio de 2018; Tribunal Europeo de Derechos Humanos, Violations by Article and by State 1959-2017 (Violaciones por artículo y por Estado) y Analysis of Statistics 2017 (Análisis de las estadísticas de 2017))</w:t>
      </w:r>
      <w:r>
        <w:t>.</w:t>
      </w:r>
    </w:p>
    <w:p>
      <w:r>
        <w:t>[13.00-10.3, 10.5 y 11.1 a 11.7]</w:t>
      </w:r>
    </w:p>
    <w:p>
      <w:r>
        <w:rPr>
          <w:b/>
        </w:rPr>
        <w:t>Conclusión, lo que arrojan los datos:</w:t>
      </w:r>
      <w:r>
        <w:t xml:space="preserve"> las dos respuestas extremas no se sostienen. España no es un orden de acceso limitado puro: hay sanciones, disoluciones judiciales, sentencias que anulan y partidos nuevos que han entrado. Tampoco es de acceso abierto puro: el propio Tribunal Constitucional admitió la tensión del Consejo General del Poder Judicial; los órganos de control (ese Consejo, el Tribunal de Cuentas y parte del Constitucional) los eligen las Cámaras por tres quintos, es decir, los partidos a los que controlan; las reglas electorales dificultan la entrada; y la iniciativa popular no puede tocar las leyes que deciden quién gobierna. Es una posición mixta, y se puede decir dónde falla. </w:t>
      </w:r>
      <w:r>
        <w:t>[13.00-10.1, 10.2, 10.4, 12.1 y 12.2]</w:t>
      </w:r>
    </w:p>
    <w:p>
      <w:r>
        <w:rPr>
          <w:b/>
        </w:rPr>
        <w:t>Lectura del autor:</w:t>
      </w:r>
      <w:r>
        <w:t xml:space="preserve"> «todo es mafia» no admite matices ni se puede corregir; un mapa con puntos fuertes y débiles medidos, sí. Que el método no encuentre la condena total es la prueba de que no está sesgado hacia ella. Y donde falla, falla en la misma dirección: quien debe ser controlado elige a quien lo controla. </w:t>
      </w:r>
      <w:r>
        <w:t>[13.00-12.1 y 12.2; 13.00-13.7]</w:t>
      </w:r>
    </w:p>
    <w:p>
      <w:pPr>
        <w:pStyle w:val="Heading2"/>
      </w:pPr>
      <w:r>
        <w:t>6.5 La separación de poderes y el derecho de resistencia</w:t>
      </w:r>
    </w:p>
    <w:p>
      <w:pPr>
        <w:pBdr>
          <w:left w:val="single" w:sz="24" w:space="6" w:color="E2DED6"/>
        </w:pBdr>
        <w:shd w:val="clear" w:color="auto" w:fill="F1EEE8"/>
        <w:spacing w:before="80" w:after="160"/>
        <w:ind w:left="142" w:right="142"/>
      </w:pPr>
      <w:r>
        <w:rPr>
          <w:b/>
        </w:rPr>
        <w:t>La idea: Montesquieu respondió cómo se evita que el poder abuse: que el poder frene al poder. Locke, qué pasa cuando ya no frena: el gobierno que traiciona su encargo se disuelve a sí mismo. Y la rebelión es el último recurso, que la Declaración Universal quiere hacer innecesario.</w:t>
      </w:r>
    </w:p>
    <w:p>
      <w:r>
        <w:rPr>
          <w:b/>
        </w:rPr>
        <w:t>La separación de poderes.</w:t>
      </w:r>
      <w:r>
        <w:t xml:space="preserve"> Desde aquí, la edición llama así al diseño que reparte el poder en manos distintas para que cada parte frene a las otras.</w:t>
      </w:r>
    </w:p>
    <w:p>
      <w:pPr>
        <w:pStyle w:val="ListBullet"/>
      </w:pPr>
      <w:r>
        <w:rPr>
          <w:b/>
        </w:rPr>
        <w:t>El principio.</w:t>
      </w:r>
      <w:r>
        <w:t xml:space="preserve"> «Para que no se pueda abusar del poder, es preciso que, por la disposición de las cosas, el poder frene al poder»</w:t>
      </w:r>
      <w:r>
        <w:t xml:space="preserve"> [original: «Pour qu'on ne puisse abuser du pouvoir, il faut que, par la disposition des choses, le pouvoir arrête le pouvoir»]</w:t>
      </w:r>
      <w:r>
        <w:t xml:space="preserve"> (Montesquieu, Del espíritu de las leyes XI, 4, ed. de Nourse)</w:t>
      </w:r>
      <w:r>
        <w:br/>
      </w:r>
      <w:r>
        <w:rPr>
          <w:b/>
        </w:rPr>
        <w:t>leída en su fuente · Montesquieu, Del espíritu de las leyes XI, 4, ed. de Nourse</w:t>
      </w:r>
      <w:r>
        <w:br/>
      </w:r>
      <w:r>
        <w:rPr>
          <w:b/>
        </w:rPr>
        <w:t>Archivo leído:</w:t>
      </w:r>
      <w:r>
        <w:t xml:space="preserve"> ídem (c6\10.00_Montesquieu_Esprit_des_lois_ed_Nourse_Livre_XI_frwikisource.html) · contraste del archivo de pasajes: ✔</w:t>
      </w:r>
      <w:r>
        <w:br/>
      </w:r>
      <w:r>
        <w:rPr>
          <w:b/>
        </w:rPr>
        <w:t>Tal como está en la fuente:</w:t>
      </w:r>
      <w:r>
        <w:t xml:space="preserve"> Pour qu’on ne puisse abuser du pouvoir, il faut que, par la disposition des choses, le pouvoir arrête le pouvoir.</w:t>
      </w:r>
      <w:r>
        <w:t>.</w:t>
      </w:r>
    </w:p>
    <w:p>
      <w:pPr>
        <w:pStyle w:val="ListBullet"/>
      </w:pPr>
      <w:r>
        <w:rPr>
          <w:b/>
        </w:rPr>
        <w:t>Los tres poderes.</w:t>
      </w:r>
      <w:r>
        <w:t xml:space="preserve"> «Hay en cada Estado tres clases de poderes: el poder legislativo, el poder ejecutivo de las cosas que dependen del derecho de gentes, y el poder ejecutivo de las que dependen del derecho civil»</w:t>
      </w:r>
      <w:r>
        <w:t xml:space="preserve"> [original: «Il y a, dans chaque état, trois sortes de pouvoirs ; la puissance législative, la puissance exécutrice des choses qui dépendent du droit des gens, &amp; la puissance exécutrice de celles qui dépendent du droit civil»]</w:t>
      </w:r>
      <w:r>
        <w:t>. A este último lo llamará, enseguida, «el poder de juzgar»</w:t>
      </w:r>
      <w:r>
        <w:t xml:space="preserve"> [original: «la puissance de juger»]</w:t>
      </w:r>
      <w:r>
        <w:t xml:space="preserve"> (XI, 6)</w:t>
      </w:r>
      <w:r>
        <w:t>.</w:t>
      </w:r>
    </w:p>
    <w:p>
      <w:pPr>
        <w:pStyle w:val="ListBullet"/>
      </w:pPr>
      <w:r>
        <w:rPr>
          <w:b/>
        </w:rPr>
        <w:t>Por qué separados.</w:t>
      </w:r>
      <w:r>
        <w:t xml:space="preserve"> Si el legislativo y el ejecutivo se reúnen en la misma persona o en el mismo cuerpo, «no hay libertad»</w:t>
      </w:r>
      <w:r>
        <w:t xml:space="preserve"> [original: «il n'y a point de liberté»]</w:t>
      </w:r>
      <w:r>
        <w:t>; si el de juzgar se une al legislativo, «el poder sobre la vida y la libertad de los ciudadanos sería arbitrario, porque el juez sería legislador»</w:t>
      </w:r>
      <w:r>
        <w:t xml:space="preserve"> [original: «le pouvoir sur la vie &amp; la liberté des citoyens seroit arbitraire ; car le juge seroit législateur»]</w:t>
      </w:r>
      <w:r>
        <w:t>; si se une al ejecutivo, «el juez podría tener la fuerza de un opresor»</w:t>
      </w:r>
      <w:r>
        <w:t xml:space="preserve"> [original: «le juge pourroit avoir la force d'un oppresseur»]</w:t>
      </w:r>
      <w:r>
        <w:t>. Y «todo estaría perdido si el mismo hombre, o el mismo cuerpo de los principales, o de los nobles, o del pueblo, ejerciera estos tres poderes: el de hacer las leyes, el de ejecutar las resoluciones públicas y el de juzgar los delitos o las diferencias de los particulares»</w:t>
      </w:r>
      <w:r>
        <w:t xml:space="preserve"> [original: «Tout seroit perdu, si le même homme, ou le même corps des principaux, ou des nobles, ou du peuple, exerçoient ces trois pouvoirs ; celui de faire des loix, celui d'exécuter les résolutions publiques, &amp; celui de juger les crimes ou les différends des particuliers»]</w:t>
      </w:r>
      <w:r>
        <w:t xml:space="preserve"> (XI, 6)</w:t>
      </w:r>
      <w:r>
        <w:br/>
      </w:r>
      <w:r>
        <w:rPr>
          <w:b/>
        </w:rPr>
        <w:t>leída en su fuente · XI, 6</w:t>
      </w:r>
      <w:r>
        <w:br/>
      </w:r>
      <w:r>
        <w:rPr>
          <w:b/>
        </w:rPr>
        <w:t>Archivo leído:</w:t>
      </w:r>
      <w:r>
        <w:t xml:space="preserve"> ídem (c6\10.00_Montesquieu_Esprit_des_lois_ed_Nourse_Livre_XI_frwikisource.html) · contraste del archivo de pasajes: ✔</w:t>
      </w:r>
      <w:r>
        <w:br/>
      </w:r>
      <w:r>
        <w:rPr>
          <w:b/>
        </w:rPr>
        <w:t>Tal como está en la fuente:</w:t>
      </w:r>
      <w:r>
        <w:t xml:space="preserve"> Tout seroit perdu, si le même homme, ou le même corps des principaux, ou des nobles, ou du peuple, exerçoient ces trois pouvoirs ; celui de faire des loix, celui d’exécuter les résolutions publiques, &amp; celui de juger les crimes ou les différends des particuliers.</w:t>
      </w:r>
      <w:r>
        <w:t>.</w:t>
      </w:r>
    </w:p>
    <w:p>
      <w:pPr>
        <w:pStyle w:val="ListBullet"/>
      </w:pPr>
      <w:r>
        <w:rPr>
          <w:b/>
        </w:rPr>
        <w:t>Qué es la libertad política.</w:t>
      </w:r>
      <w:r>
        <w:t xml:space="preserve"> No la ausencia de poder: «la libertad es el derecho de hacer todo lo que las leyes permiten»</w:t>
      </w:r>
      <w:r>
        <w:t xml:space="preserve"> [original: «La liberté est le droit de faire tout ce que les loix permettent»]</w:t>
      </w:r>
      <w:r>
        <w:t xml:space="preserve"> (XI, 3)</w:t>
      </w:r>
      <w:r>
        <w:br/>
      </w:r>
      <w:r>
        <w:rPr>
          <w:b/>
        </w:rPr>
        <w:t>leída en su fuente · XI, 3</w:t>
      </w:r>
      <w:r>
        <w:br/>
      </w:r>
      <w:r>
        <w:rPr>
          <w:b/>
        </w:rPr>
        <w:t>Archivo leído:</w:t>
      </w:r>
      <w:r>
        <w:t xml:space="preserve"> ídem (c6\10.00_Montesquieu_Esprit_des_lois_ed_Nourse_Livre_XI_frwikisource.html) · contraste del archivo de pasajes: ✔</w:t>
      </w:r>
      <w:r>
        <w:br/>
      </w:r>
      <w:r>
        <w:rPr>
          <w:b/>
        </w:rPr>
        <w:t>Tal como está en la fuente:</w:t>
      </w:r>
      <w:r>
        <w:t xml:space="preserve"> La liberté est le droit de faire tout ce que les loix permettent</w:t>
      </w:r>
      <w:r>
        <w:t>.</w:t>
      </w:r>
    </w:p>
    <w:p>
      <w:r>
        <w:t>[10.00-15.1 a 15.4 y 15.6; Montesquieu leído en francés]</w:t>
      </w:r>
    </w:p>
    <w:p>
      <w:r>
        <w:rPr>
          <w:b/>
        </w:rPr>
        <w:t>Por qué pasó a las constituciones.</w:t>
      </w:r>
      <w:r>
        <w:t xml:space="preserve"> Montesquieu no confía en la virtud de quien gobierna: confía en un diseño. Madison, defendiendo la Constitución de Estados Unidos, escribió: «El oráculo al que siempre se consulta y se cita en esta materia es el célebre Montesquieu»</w:t>
      </w:r>
      <w:r>
        <w:t xml:space="preserve"> [original: «The oracle who is always consulted and cited on this subject is the celebrated Montesquieu»]</w:t>
      </w:r>
      <w:r>
        <w:t xml:space="preserve"> (El Federalista, n.º 47, 1788)</w:t>
      </w:r>
      <w:r>
        <w:br/>
      </w:r>
      <w:r>
        <w:rPr>
          <w:b/>
        </w:rPr>
        <w:t>leída en su fuente · El Federalista, n.º 47, 1788</w:t>
      </w:r>
      <w:r>
        <w:br/>
      </w:r>
      <w:r>
        <w:rPr>
          <w:b/>
        </w:rPr>
        <w:t>Archivo leído:</w:t>
      </w:r>
      <w:r>
        <w:t xml:space="preserve"> 10.00_Federalist_47_Madison_1788_Avalon.html (c6\10.00_Federalist_47_Madison_1788_Avalon.html) · contraste del archivo de pasajes: ✔</w:t>
      </w:r>
      <w:r>
        <w:br/>
      </w:r>
      <w:r>
        <w:rPr>
          <w:b/>
        </w:rPr>
        <w:t>Dirección:</w:t>
      </w:r>
      <w:r>
        <w:t xml:space="preserve"> </w:t>
      </w:r>
      <w:r>
        <w:t>https://avalon.law.yale.edu/18th_century/fed47.asp</w:t>
      </w:r>
      <w:r>
        <w:br/>
      </w:r>
      <w:r>
        <w:rPr>
          <w:b/>
        </w:rPr>
        <w:t>Tal como está en la fuente:</w:t>
      </w:r>
      <w:r>
        <w:t xml:space="preserve"> The oracle who is always consulted and cited on this subject is the celebrated Montesquieu.</w:t>
      </w:r>
      <w:r>
        <w:t>. Y la Declaración francesa de 1789 hizo de la separación de poderes una condición para que haya Constitución (</w:t>
      </w:r>
      <w:r>
        <w:t>6.1</w:t>
      </w:r>
      <w:r>
        <w:t xml:space="preserve">). Cuántas veces ha frenado de verdad en España, en los artículos auditados, se mide en </w:t>
      </w:r>
      <w:r>
        <w:t>7.4</w:t>
      </w:r>
      <w:r>
        <w:t xml:space="preserve">. </w:t>
      </w:r>
      <w:r>
        <w:t>[10.00-15.5; 10.00-16.1 a 16.6, cuyas cifras van a 7.4]</w:t>
      </w:r>
    </w:p>
    <w:p>
      <w:r>
        <w:rPr>
          <w:b/>
        </w:rPr>
        <w:t>Cuando el Estado incumple su propia Constitución.</w:t>
      </w:r>
      <w:r>
        <w:t xml:space="preserve"> La Constitución es, en este marco, la traducción escrita del contrato social: fija lo que el ciudadano cede y lo que recibe. Si el Estado la incumple, la teoría describe una secuencia posible, no un desenlace automático:</w:t>
      </w:r>
    </w:p>
    <w:p>
      <w:pPr>
        <w:pStyle w:val="ListBullet"/>
      </w:pPr>
      <w:r>
        <w:rPr>
          <w:b/>
        </w:rPr>
        <w:t>primero, una crisis de legitimidad:</w:t>
      </w:r>
      <w:r>
        <w:t xml:space="preserve"> el poder que exige obediencia pierde, en la medida en que incumple, la autoridad moral para exigirla;</w:t>
      </w:r>
    </w:p>
    <w:p>
      <w:pPr>
        <w:pStyle w:val="ListBullet"/>
      </w:pPr>
      <w:r>
        <w:rPr>
          <w:b/>
        </w:rPr>
        <w:t>después, los frenos que la propia Constitución prevé:</w:t>
      </w:r>
      <w:r>
        <w:t xml:space="preserve"> el control de los tribunales, que el Tribunal Constitucional ejerce sobre las leyes (art. 161.1), y el del Parlamento: las comisiones de investigación (art. 76.1) y la moción de censura (art. 113.1). Es la vía ordinaria y pacífica, y en un Estado de derecho que funciona debería bastar;</w:t>
      </w:r>
    </w:p>
    <w:p>
      <w:pPr>
        <w:pStyle w:val="ListBullet"/>
      </w:pPr>
      <w:r>
        <w:rPr>
          <w:b/>
        </w:rPr>
        <w:t>si esos frenos fallan,</w:t>
      </w:r>
      <w:r>
        <w:t xml:space="preserve"> por ejemplo porque quien debe controlar depende del controlado (</w:t>
      </w:r>
      <w:r>
        <w:t>6.4</w:t>
      </w:r>
      <w:r>
        <w:t>), dos derivas: el poder que se perpetúa fuera de la ley, o el Estado que pierde el control de la convivencia; y, por el camino, la inseguridad jurídica, porque nadie puede confiar en que lo pactado hoy siga valiendo mañana;</w:t>
      </w:r>
    </w:p>
    <w:p>
      <w:pPr>
        <w:pStyle w:val="ListBullet"/>
      </w:pPr>
      <w:r>
        <w:rPr>
          <w:b/>
        </w:rPr>
        <w:t>y en el extremo, el derecho de resistencia,</w:t>
      </w:r>
      <w:r>
        <w:t xml:space="preserve"> que se ve más abajo.</w:t>
      </w:r>
    </w:p>
    <w:p>
      <w:r>
        <w:t>[10.00-5.1 a 5.6; Constitución leída en el BOE]</w:t>
      </w:r>
    </w:p>
    <w:p>
      <w:r>
        <w:rPr>
          <w:b/>
        </w:rPr>
        <w:t>Locke: la tiranía y la disolución del gobierno.</w:t>
      </w:r>
    </w:p>
    <w:p>
      <w:pPr>
        <w:pStyle w:val="ListBullet"/>
      </w:pPr>
      <w:r>
        <w:rPr>
          <w:b/>
        </w:rPr>
        <w:t>Qué es la tiranía.</w:t>
      </w:r>
      <w:r>
        <w:t xml:space="preserve"> «Así como la usurpación es el ejercicio de un poder al que otro tiene derecho, la tiranía es el ejercicio del poder más allá del derecho, al que nadie puede tener derecho»</w:t>
      </w:r>
      <w:r>
        <w:t xml:space="preserve"> [original: «AS usurpation is the exercise of power, which another hath a right to; so tyranny is the exercise of power beyond right, which no body can have a right to»]</w:t>
      </w:r>
      <w:r>
        <w:t>: usar el poder no para el bien de los gobernados, sino «para su propia ventaja privada y separada»</w:t>
      </w:r>
      <w:r>
        <w:t xml:space="preserve"> [original: «for his own private separate advantage»]</w:t>
      </w:r>
      <w:r>
        <w:t xml:space="preserve"> (Locke, Segundo tratado, § 199)</w:t>
      </w:r>
      <w:r>
        <w:br/>
      </w:r>
      <w:r>
        <w:rPr>
          <w:b/>
        </w:rPr>
        <w:t>leída en su fuente · Locke, Segundo tratado, § 199</w:t>
      </w:r>
      <w:r>
        <w:br/>
      </w:r>
      <w:r>
        <w:rPr>
          <w:b/>
        </w:rPr>
        <w:t>Archivo leído:</w:t>
      </w:r>
      <w:r>
        <w:t xml:space="preserve"> 10.00_Locke_Second_Treatise_Gutenberg_7370.txt (c6\10.00_Locke_Second_Treatise_Gutenberg_7370.txt) · contraste del archivo de pasajes: ✔</w:t>
      </w:r>
      <w:r>
        <w:br/>
      </w:r>
      <w:r>
        <w:rPr>
          <w:b/>
        </w:rPr>
        <w:t>Lugar:</w:t>
      </w:r>
      <w:r>
        <w:t xml:space="preserve"> Locke, Segundo tratado, § 199</w:t>
      </w:r>
      <w:r>
        <w:br/>
      </w:r>
      <w:r>
        <w:rPr>
          <w:b/>
        </w:rPr>
        <w:t>Tal como está en la fuente:</w:t>
      </w:r>
      <w:r>
        <w:t xml:space="preserve"> for his own private separate advantage</w:t>
      </w:r>
      <w:r>
        <w:t>.</w:t>
      </w:r>
    </w:p>
    <w:p>
      <w:pPr>
        <w:pStyle w:val="ListBullet"/>
      </w:pPr>
      <w:r>
        <w:rPr>
          <w:b/>
        </w:rPr>
        <w:t>No es vicio solo de reyes.</w:t>
      </w:r>
      <w:r>
        <w:t xml:space="preserve"> «Es un error pensar que esta falta es propia solo de las monarquías; otras formas de gobierno están expuestas a ella igual que esa»</w:t>
      </w:r>
      <w:r>
        <w:t xml:space="preserve"> [original: «a mistake, to think this fault is proper only to monarchies; other forms of government are liable to it, as well as that»]</w:t>
      </w:r>
      <w:r>
        <w:t xml:space="preserve"> (§ 201)</w:t>
      </w:r>
      <w:r>
        <w:br/>
      </w:r>
      <w:r>
        <w:rPr>
          <w:b/>
        </w:rPr>
        <w:t>leída en su fuente · § 201</w:t>
      </w:r>
      <w:r>
        <w:br/>
      </w:r>
      <w:r>
        <w:rPr>
          <w:b/>
        </w:rPr>
        <w:t>Archivo leído:</w:t>
      </w:r>
      <w:r>
        <w:t xml:space="preserve"> 10.00_Locke_Second_Treatise_Gutenberg_7370.txt (c6\10.00_Locke_Second_Treatise_Gutenberg_7370.txt) · contraste del archivo de pasajes: ✔</w:t>
      </w:r>
      <w:r>
        <w:br/>
      </w:r>
      <w:r>
        <w:rPr>
          <w:b/>
        </w:rPr>
        <w:t>Lugar:</w:t>
      </w:r>
      <w:r>
        <w:t xml:space="preserve"> § 201</w:t>
      </w:r>
      <w:r>
        <w:br/>
      </w:r>
      <w:r>
        <w:rPr>
          <w:b/>
        </w:rPr>
        <w:t>Tal como está en la fuente:</w:t>
      </w:r>
      <w:r>
        <w:t xml:space="preserve"> a mistake, to think this fault is proper only to monarchies; other forms of government are liable to it, as well as that</w:t>
      </w:r>
      <w:r>
        <w:t>. Llegar al poder por la vía legítima no protege de la tiranía en su ejercicio.</w:t>
      </w:r>
    </w:p>
    <w:p>
      <w:pPr>
        <w:pStyle w:val="ListBullet"/>
      </w:pPr>
      <w:r>
        <w:rPr>
          <w:b/>
        </w:rPr>
        <w:t>La sociedad y el gobierno.</w:t>
      </w:r>
      <w:r>
        <w:t xml:space="preserve"> Hay que «distinguir entre la disolución de la sociedad y la disolución del gobierno»</w:t>
      </w:r>
      <w:r>
        <w:t xml:space="preserve"> [original: «distinguish between the dissolution of the society and the dissolution of the government»]</w:t>
      </w:r>
      <w:r>
        <w:t xml:space="preserve"> (§ 211)</w:t>
      </w:r>
      <w:r>
        <w:br/>
      </w:r>
      <w:r>
        <w:rPr>
          <w:b/>
        </w:rPr>
        <w:t>leída en su fuente · § 211</w:t>
      </w:r>
      <w:r>
        <w:br/>
      </w:r>
      <w:r>
        <w:rPr>
          <w:b/>
        </w:rPr>
        <w:t>Archivo leído:</w:t>
      </w:r>
      <w:r>
        <w:t xml:space="preserve"> 10.00_Locke_Second_Treatise_Gutenberg_7370.txt (c6\10.00_Locke_Second_Treatise_Gutenberg_7370.txt) · contraste del archivo de pasajes: ✔</w:t>
      </w:r>
      <w:r>
        <w:br/>
      </w:r>
      <w:r>
        <w:rPr>
          <w:b/>
        </w:rPr>
        <w:t>Lugar:</w:t>
      </w:r>
      <w:r>
        <w:t xml:space="preserve"> § 211</w:t>
      </w:r>
      <w:r>
        <w:br/>
      </w:r>
      <w:r>
        <w:rPr>
          <w:b/>
        </w:rPr>
        <w:t>Tal como está en la fuente:</w:t>
      </w:r>
      <w:r>
        <w:t xml:space="preserve"> distinguish between the dissolution of the society and the dissolution of the government</w:t>
      </w:r>
      <w:r>
        <w:t>. La sociedad, el vínculo entre quienes conviven, es difícil de romper. El gobierno se disuelve desde dentro, cuando quien manda traiciona su encargo: «siempre que los legisladores intenten quitar y destruir la propiedad del pueblo, o reducirlo a esclavitud bajo un poder arbitrario, se ponen en estado de guerra con el pueblo, que queda por ello libre de toda obediencia ulterior»</w:t>
      </w:r>
      <w:r>
        <w:t xml:space="preserve"> [original: «whenever the legislators endeavour to take away, and destroy the property of the people, or to reduce them to slavery under arbitrary power, they put themselves into a state of war with the people, who are thereupon absolved from any farther obedience»]</w:t>
      </w:r>
      <w:r>
        <w:t xml:space="preserve"> (§ 222)</w:t>
      </w:r>
      <w:r>
        <w:br/>
      </w:r>
      <w:r>
        <w:rPr>
          <w:b/>
        </w:rPr>
        <w:t>leída en su fuente · § 222</w:t>
      </w:r>
      <w:r>
        <w:br/>
      </w:r>
      <w:r>
        <w:rPr>
          <w:b/>
        </w:rPr>
        <w:t>Original donde está:</w:t>
      </w:r>
      <w:r>
        <w:t xml:space="preserve"> 10.00_Locke_Second_Treatise_Gutenberg_7370.txt</w:t>
      </w:r>
      <w:r>
        <w:br/>
      </w:r>
      <w:r>
        <w:t>El pasaje literal no está en el archivo de pasajes con este comienzo; la auditoría lo halló en ese original.</w:t>
      </w:r>
      <w:r>
        <w:t>.</w:t>
      </w:r>
    </w:p>
    <w:p>
      <w:pPr>
        <w:pStyle w:val="ListBullet"/>
      </w:pPr>
      <w:r>
        <w:rPr>
          <w:b/>
        </w:rPr>
        <w:t>Quién se rebela.</w:t>
      </w:r>
      <w:r>
        <w:t xml:space="preserve"> Locke da la vuelta a la acusación: rebeldes son los que, después de que los hombres excluyeran la fuerza y pusieran leyes, vuelven a poner la fuerza contra las leyes; esos «rebellare, es decir, traen de nuevo el estado de guerra, y son propiamente rebeldes»</w:t>
      </w:r>
      <w:r>
        <w:t xml:space="preserve"> [original: «do rebellare, that is, bring back again the state of war, and are properly rebels»]</w:t>
      </w:r>
      <w:r>
        <w:t xml:space="preserve"> (§ 226)</w:t>
      </w:r>
      <w:r>
        <w:br/>
      </w:r>
      <w:r>
        <w:rPr>
          <w:b/>
        </w:rPr>
        <w:t>leída en su fuente · § 226</w:t>
      </w:r>
      <w:r>
        <w:br/>
      </w:r>
      <w:r>
        <w:rPr>
          <w:b/>
        </w:rPr>
        <w:t>Archivo leído:</w:t>
      </w:r>
      <w:r>
        <w:t xml:space="preserve"> Gutenberg 7370 (c6\10.00_Locke_Second_Treatise_Gutenberg_7370.txt) · contraste del archivo de pasajes: ✔</w:t>
      </w:r>
      <w:r>
        <w:br/>
      </w:r>
      <w:r>
        <w:rPr>
          <w:b/>
        </w:rPr>
        <w:t>Lugar:</w:t>
      </w:r>
      <w:r>
        <w:t xml:space="preserve"> §211</w:t>
      </w:r>
      <w:r>
        <w:br/>
      </w:r>
      <w:r>
        <w:rPr>
          <w:b/>
        </w:rPr>
        <w:t>Tal como está en la fuente:</w:t>
      </w:r>
      <w:r>
        <w:t xml:space="preserve"> …do rebellare, that is, bring back again the state of war, and are properly rebels</w:t>
      </w:r>
      <w:r>
        <w:t>.</w:t>
      </w:r>
    </w:p>
    <w:p>
      <w:pPr>
        <w:pStyle w:val="ListBullet"/>
      </w:pPr>
      <w:r>
        <w:rPr>
          <w:b/>
        </w:rPr>
        <w:t>Cuando no queda juez en la tierra.</w:t>
      </w:r>
      <w:r>
        <w:t xml:space="preserve"> «La apelación no está entonces en ninguna parte sino en el cielo»</w:t>
      </w:r>
      <w:r>
        <w:t xml:space="preserve"> [original: «the appeal then lies no where but to heaven»]</w:t>
      </w:r>
      <w:r>
        <w:t xml:space="preserve"> (§ 242)</w:t>
      </w:r>
      <w:r>
        <w:br/>
      </w:r>
      <w:r>
        <w:rPr>
          <w:b/>
        </w:rPr>
        <w:t>leída en su fuente · § 242</w:t>
      </w:r>
      <w:r>
        <w:br/>
      </w:r>
      <w:r>
        <w:rPr>
          <w:b/>
        </w:rPr>
        <w:t>Archivo leído:</w:t>
      </w:r>
      <w:r>
        <w:t xml:space="preserve"> Gutenberg 7370 (l. 5109-5126) (c6\10.00_Locke_Second_Treatise_Gutenberg_7370.txt) · contraste del archivo de pasajes: ✔</w:t>
      </w:r>
      <w:r>
        <w:br/>
      </w:r>
      <w:r>
        <w:rPr>
          <w:b/>
        </w:rPr>
        <w:t>Lugar:</w:t>
      </w:r>
      <w:r>
        <w:t xml:space="preserve"> §242</w:t>
      </w:r>
      <w:r>
        <w:br/>
      </w:r>
      <w:r>
        <w:rPr>
          <w:b/>
        </w:rPr>
        <w:t>Tal como está en la fuente:</w:t>
      </w:r>
      <w:r>
        <w:t xml:space="preserve"> But if the prince, or whoever they be in the administration, decline that way of determination, the appeal then lies no where but to heaven</w:t>
      </w:r>
      <w:r>
        <w:t>. Lo escribe casi al cerrar su tratado; el último párrafo (§ 243) recuerda que el poder que cada uno dio a la sociedad no vuelve a los individuos mientras la sociedad dure.</w:t>
      </w:r>
    </w:p>
    <w:p>
      <w:r>
        <w:t>[10.00-14.1 a 14.6; Locke leído en inglés]</w:t>
      </w:r>
    </w:p>
    <w:p>
      <w:r>
        <w:rPr>
          <w:b/>
        </w:rPr>
        <w:t>El derecho de resistencia.</w:t>
      </w:r>
      <w:r>
        <w:t xml:space="preserve"> Desde aquí, la edición llama así al derecho de un pueblo, como último recurso, a desobedecer o deponer a un gobierno que ha roto de forma sistemática el orden que debía guardar. Se sitúa en la ley natural, por encima de las leyes escritas (</w:t>
      </w:r>
      <w:r>
        <w:t>1.1</w:t>
      </w:r>
      <w:r>
        <w:t xml:space="preserve">). </w:t>
      </w:r>
      <w:r>
        <w:t>[10.00-7.1]</w:t>
      </w:r>
    </w:p>
    <w:p>
      <w:pPr>
        <w:pStyle w:val="ListBullet"/>
      </w:pPr>
      <w:r>
        <w:rPr>
          <w:b/>
        </w:rPr>
        <w:t>Las declaraciones francesas.</w:t>
      </w:r>
      <w:r>
        <w:t xml:space="preserve"> La de 1789 lo puso entre los derechos naturales: «la libertad, la propiedad, la seguridad y la resistencia a la opresión»</w:t>
      </w:r>
      <w:r>
        <w:t xml:space="preserve"> [original: «la liberté, la propriété, la sûreté, et la résistance à l'oppression»]</w:t>
      </w:r>
      <w:r>
        <w:t xml:space="preserve"> (art. 2)</w:t>
      </w:r>
      <w:r>
        <w:br/>
      </w:r>
      <w:r>
        <w:rPr>
          <w:b/>
        </w:rPr>
        <w:t>leída en su fuente · art. 2</w:t>
      </w:r>
      <w:r>
        <w:br/>
      </w:r>
      <w:r>
        <w:rPr>
          <w:b/>
        </w:rPr>
        <w:t>Archivo leído:</w:t>
      </w:r>
      <w:r>
        <w:t xml:space="preserve"> 10.00_DDHC_1789_Conseil_constitutionnel.html (c6\10.00_DDHC_1789_Conseil_constitutionnel.html) · contraste del archivo de pasajes: ✔</w:t>
      </w:r>
      <w:r>
        <w:br/>
      </w:r>
      <w:r>
        <w:rPr>
          <w:b/>
        </w:rPr>
        <w:t>Lugar:</w:t>
      </w:r>
      <w:r>
        <w:t xml:space="preserve"> art. 2</w:t>
      </w:r>
      <w:r>
        <w:br/>
      </w:r>
      <w:r>
        <w:rPr>
          <w:b/>
        </w:rPr>
        <w:t>Tal como está en la fuente:</w:t>
      </w:r>
      <w:r>
        <w:t xml:space="preserve"> la liberté, la propriété, la sûreté, et la résistance à l'oppression</w:t>
      </w:r>
      <w:r>
        <w:t>. La de 1793: «la resistencia a la opresión es la consecuencia de los demás derechos del hombre»</w:t>
      </w:r>
      <w:r>
        <w:t xml:space="preserve"> [original: «La résistance à l'oppression est la conséquence des autres Droits de l'homme»]</w:t>
      </w:r>
      <w:r>
        <w:t xml:space="preserve"> (Constitución francesa de 24 de junio de 1793, declaración, art. 33)</w:t>
      </w:r>
      <w:r>
        <w:br/>
      </w:r>
      <w:r>
        <w:rPr>
          <w:b/>
        </w:rPr>
        <w:t>leída en su fuente · Constitución francesa de 24 de junio de 1793, declaración, art. 33</w:t>
      </w:r>
      <w:r>
        <w:br/>
      </w:r>
      <w:r>
        <w:rPr>
          <w:b/>
        </w:rPr>
        <w:t>Archivo leído:</w:t>
      </w:r>
      <w:r>
        <w:t xml:space="preserve"> 10.00_Constitution_24_juin_1793_an_I_Conseil_constitutionnel.html (c6\10.00_Constitution_24_juin_1793_an_I_Conseil_constitutionnel.html) · contraste del archivo de pasajes: ✔</w:t>
      </w:r>
      <w:r>
        <w:br/>
      </w:r>
      <w:r>
        <w:rPr>
          <w:b/>
        </w:rPr>
        <w:t>Lugar:</w:t>
      </w:r>
      <w:r>
        <w:t xml:space="preserve"> Constitución francesa de 24 de junio de 1793, declaración, art. 33</w:t>
      </w:r>
      <w:r>
        <w:br/>
      </w:r>
      <w:r>
        <w:rPr>
          <w:b/>
        </w:rPr>
        <w:t>Tal como está en la fuente:</w:t>
      </w:r>
      <w:r>
        <w:t xml:space="preserve"> La résistance à l'oppression est la conséquence des autres Droits de l'homme</w:t>
      </w:r>
      <w:r>
        <w:t>.</w:t>
      </w:r>
    </w:p>
    <w:p>
      <w:pPr>
        <w:pStyle w:val="ListBullet"/>
      </w:pPr>
      <w:r>
        <w:rPr>
          <w:b/>
        </w:rPr>
        <w:t>La Declaración Universal.</w:t>
      </w:r>
      <w:r>
        <w:t xml:space="preserve"> Lo nombra para que no haga falta: «Considerando esencial que los derechos humanos sean protegidos por un régimen de Derecho, a fin de que el hombre no se vea compelido al supremo recurso de la rebelión contra la tiranía y la opresión»</w:t>
      </w:r>
      <w:r>
        <w:t xml:space="preserve"> (Declaración Universal de Derechos Humanos, 1948, preámbulo)</w:t>
      </w:r>
      <w:r>
        <w:br/>
      </w:r>
      <w:r>
        <w:rPr>
          <w:b/>
        </w:rPr>
        <w:t>leída en su fuente · Declaración Universal de Derechos Humanos, 1948, preámbulo</w:t>
      </w:r>
      <w:r>
        <w:br/>
      </w:r>
      <w:r>
        <w:rPr>
          <w:b/>
        </w:rPr>
        <w:t>Archivo leído:</w:t>
      </w:r>
      <w:r>
        <w:t xml:space="preserve"> 10.00_DUDH_1948_ONU_es.html (c6\10.00_DUDH_1948_ONU_es.html) · contraste del archivo de pasajes: ✔</w:t>
      </w:r>
      <w:r>
        <w:br/>
      </w:r>
      <w:r>
        <w:rPr>
          <w:b/>
        </w:rPr>
        <w:t>Dirección:</w:t>
      </w:r>
      <w:r>
        <w:t xml:space="preserve"> </w:t>
      </w:r>
      <w:r>
        <w:t>https://www.un.org/es/about-us/universal-declaration-of-human-rights</w:t>
      </w:r>
      <w:r>
        <w:br/>
      </w:r>
      <w:r>
        <w:rPr>
          <w:b/>
        </w:rPr>
        <w:t>Tal como está en la fuente:</w:t>
      </w:r>
      <w:r>
        <w:t xml:space="preserve"> Considerando esencial que los derechos humanos sean protegidos por un régimen de Derecho, a fin de que el hombre no se vea compelido al supremo recurso de la rebelión contra la tiranía y la opresión;</w:t>
      </w:r>
      <w:r>
        <w:t>.</w:t>
      </w:r>
    </w:p>
    <w:p>
      <w:pPr>
        <w:pStyle w:val="ListBullet"/>
      </w:pPr>
      <w:r>
        <w:rPr>
          <w:b/>
        </w:rPr>
        <w:t>Las constituciones.</w:t>
      </w:r>
      <w:r>
        <w:t xml:space="preserve"> Por regla general no lo escriben; alguna sí: «Contra cualquiera que intente eliminar este orden, todos los alemanes tienen derecho a la resistencia, cuando no sea posible otro remedio»</w:t>
      </w:r>
      <w:r>
        <w:t xml:space="preserve"> [original: «Gegen jeden, der es unternimmt, diese Ordnung zu beseitigen, haben alle Deutschen das Recht zum Widerstand, wenn andere Abhilfe nicht möglich ist»]</w:t>
      </w:r>
      <w:r>
        <w:t xml:space="preserve"> (Ley Fundamental de la República Federal de Alemania, art. 20.4)</w:t>
      </w:r>
      <w:r>
        <w:br/>
      </w:r>
      <w:r>
        <w:rPr>
          <w:b/>
        </w:rPr>
        <w:t>leída en su fuente · Ley Fundamental de la República Federal de Alemania, art. 20.4</w:t>
      </w:r>
      <w:r>
        <w:br/>
      </w:r>
      <w:r>
        <w:rPr>
          <w:b/>
        </w:rPr>
        <w:t>Archivo leído:</w:t>
      </w:r>
      <w:r>
        <w:t xml:space="preserve"> 10.00_Grundgesetz_Art_20_gesetze-im-internet.html (c6\10.00_Grundgesetz_Art_20_gesetze-im-internet.html) · contraste del archivo de pasajes: ✔</w:t>
      </w:r>
      <w:r>
        <w:br/>
      </w:r>
      <w:r>
        <w:rPr>
          <w:b/>
        </w:rPr>
        <w:t>Dirección:</w:t>
      </w:r>
      <w:r>
        <w:t xml:space="preserve"> </w:t>
      </w:r>
      <w:r>
        <w:t>https://www.gesetze-im-internet.de/gg/art_20.html</w:t>
      </w:r>
      <w:r>
        <w:br/>
      </w:r>
      <w:r>
        <w:rPr>
          <w:b/>
        </w:rPr>
        <w:t>Tal como está en la fuente:</w:t>
      </w:r>
      <w:r>
        <w:t xml:space="preserve"> (4) Gegen jeden, der es unternimmt, diese Ordnung zu beseitigen, haben alle Deutschen das Recht zum Widerstand, wenn andere Abhilfe nicht möglich ist.</w:t>
      </w:r>
      <w:r>
        <w:t>. La Constitución española no lo recoge.</w:t>
      </w:r>
    </w:p>
    <w:p>
      <w:r>
        <w:t>[10.00-7.2 y 7.4; 10.00-18.x, contrapunto de la defensa]</w:t>
      </w:r>
    </w:p>
    <w:p>
      <w:r>
        <w:rPr>
          <w:b/>
        </w:rPr>
        <w:t>Lo que la obra hace con esto.</w:t>
      </w:r>
      <w:r>
        <w:t xml:space="preserve"> La obra no propone la rebelión ni la desobediencia, y no exime de ninguna obligación vigente (</w:t>
      </w:r>
      <w:r>
        <w:t>0.2</w:t>
      </w:r>
      <w:r>
        <w:t xml:space="preserve">). Su vía está antes de cualquier último recurso: la constancia escrita, la petición documentada y el juicio de opinión (capítulos 10 y 11). Lo que toma de Montesquieu y de Locke es la medida: un gobierno se juzga por si se deja frenar y por si cumple su encargo. </w:t>
      </w:r>
      <w:r>
        <w:t>[10.00-7.1]</w:t>
      </w:r>
    </w:p>
    <w:p>
      <w:r>
        <w:rPr>
          <w:b/>
        </w:rPr>
        <w:t>Conclusión, lo que arrojan los datos:</w:t>
      </w:r>
      <w:r>
        <w:t xml:space="preserve"> la separación de poderes es un diseño, no un acto de confianza: que el poder frene al poder. Locke añade que la tiranía se mide por el ejercicio, no por el origen, y que es el gobierno que traiciona su encargo el que se disuelve primero. La Declaración Universal nombra la rebelión como el recurso que un régimen de derecho debe hacer innecesario. </w:t>
      </w:r>
      <w:r>
        <w:t>[10.00-14.5 y 15.5]</w:t>
      </w:r>
    </w:p>
    <w:p>
      <w:r>
        <w:rPr>
          <w:b/>
        </w:rPr>
        <w:t>Lectura del autor:</w:t>
      </w:r>
      <w:r>
        <w:t xml:space="preserve"> cuando quien debe ser frenado elige a quien lo frena (</w:t>
      </w:r>
      <w:r>
        <w:t>6.4</w:t>
      </w:r>
      <w:r>
        <w:t xml:space="preserve">), el diseño de Montesquieu sigue escrito, pero se vacía: la forma se conserva y la sustancia se pierde. Es la corrupción de la forma, que se examina en </w:t>
      </w:r>
      <w:r>
        <w:t>7.5</w:t>
      </w:r>
      <w:r>
        <w:t xml:space="preserve">. «Por sus frutos los conoceréis» (Mt 7:16). </w:t>
      </w:r>
      <w:r>
        <w:t>[10.00-16.3 y 16.5]</w:t>
      </w:r>
    </w:p>
    <w:p>
      <w:pPr>
        <w:pStyle w:val="Heading2"/>
      </w:pPr>
      <w:r>
        <w:t>Límite honesto de la prueba</w:t>
      </w:r>
    </w:p>
    <w:p>
      <w:pPr>
        <w:pStyle w:val="ListBullet"/>
      </w:pPr>
      <w:r>
        <w:rPr>
          <w:b/>
        </w:rPr>
        <w:t>El contrato social como idea no prueba fraude.</w:t>
      </w:r>
      <w:r>
        <w:t xml:space="preserve"> Una ficción declarada no es un vicio (</w:t>
      </w:r>
      <w:r>
        <w:t>5.3</w:t>
      </w:r>
      <w:r>
        <w:t xml:space="preserve">), y que sus autores lo presentaran como idea es honestidad, no engaño. La asimetría está en el uso que se hizo después. </w:t>
      </w:r>
      <w:r>
        <w:t>[10.00-8.4]</w:t>
      </w:r>
    </w:p>
    <w:p>
      <w:pPr>
        <w:pStyle w:val="ListBullet"/>
      </w:pPr>
      <w:r>
        <w:rPr>
          <w:b/>
        </w:rPr>
        <w:t>1793 es un caso, no una ley.</w:t>
      </w:r>
      <w:r>
        <w:t xml:space="preserve"> Prueba que el patrón ocurrió, no que toda invocación de la voluntad general sea un abuso. Y el estudio más reciente discute que Robespierre fuera una aplicación de Rousseau. </w:t>
      </w:r>
      <w:r>
        <w:t>[10.00-12.5]</w:t>
      </w:r>
    </w:p>
    <w:p>
      <w:pPr>
        <w:pStyle w:val="ListBullet"/>
      </w:pPr>
      <w:r>
        <w:rPr>
          <w:b/>
        </w:rPr>
        <w:t>Los casos de autoproclamación son siete</w:t>
      </w:r>
      <w:r>
        <w:t xml:space="preserve">, con fecha y fuente. No prueban que todo poder acabe así, ni que todo el que se sabe aprendiz gobierne bien: Salomón. </w:t>
      </w:r>
      <w:r>
        <w:t>[00.00-5.12]</w:t>
      </w:r>
    </w:p>
    <w:p>
      <w:pPr>
        <w:pStyle w:val="ListBullet"/>
      </w:pPr>
      <w:r>
        <w:rPr>
          <w:b/>
        </w:rPr>
        <w:t>El pacto de 1978 fue real:</w:t>
      </w:r>
      <w:r>
        <w:t xml:space="preserve"> lo redactó una ponencia de siete diputados, lo votó una amplia mayoría y se ratificó en referéndum. Lo que la obra discute es que obligue a quien no lo votó (</w:t>
      </w:r>
      <w:r>
        <w:t>11.3</w:t>
      </w:r>
      <w:r>
        <w:t xml:space="preserve">, </w:t>
      </w:r>
      <w:r>
        <w:t>cargo 11</w:t>
      </w:r>
      <w:r>
        <w:t xml:space="preserve">). </w:t>
      </w:r>
      <w:r>
        <w:t>[10.00-17.4 y 17.5]</w:t>
      </w:r>
    </w:p>
    <w:p>
      <w:pPr>
        <w:pStyle w:val="ListBullet"/>
      </w:pPr>
      <w:r>
        <w:rPr>
          <w:b/>
        </w:rPr>
        <w:t>Las barreras electorales son legales</w:t>
      </w:r>
      <w:r>
        <w:t xml:space="preserve"> y las han avalado el Constitucional y el Tribunal Europeo de Derechos Humanos; su fin declarado es evitar la fragmentación. Que favorezcan a los grandes es un efecto que describe el Consejo de Estado, no un propósito probado. </w:t>
      </w:r>
      <w:r>
        <w:t>[13.00-7.5 y 7.6]</w:t>
      </w:r>
    </w:p>
    <w:p>
      <w:pPr>
        <w:pStyle w:val="ListBullet"/>
      </w:pPr>
      <w:r>
        <w:rPr>
          <w:b/>
        </w:rPr>
        <w:t>Los índices miden percepción y gobernanza,</w:t>
      </w:r>
      <w:r>
        <w:t xml:space="preserve"> no patrimonialismo: ningún organismo da un porcentaje de eso. </w:t>
      </w:r>
      <w:r>
        <w:t>[13.00-11.2]</w:t>
      </w:r>
    </w:p>
    <w:p>
      <w:pPr>
        <w:pStyle w:val="ListBullet"/>
      </w:pPr>
      <w:r>
        <w:rPr>
          <w:b/>
        </w:rPr>
        <w:t>Fuentes secundarias:</w:t>
      </w:r>
      <w:r>
        <w:t xml:space="preserve"> Straehle, Berlin, Cordero y Aldunate, Pita Broncano, el Centro Memorial de las Víctimas del Terrorismo (2020) y Buesa (2022), para las muertes de 1980, y, para la Operación Galaxia y la Isla de las Rosas, Muñoz Bolaños (2012), Zugasti (2008) y Calabrese (2024). Tilly, solo por el título.</w:t>
      </w:r>
    </w:p>
    <w:p>
      <w:pPr>
        <w:pStyle w:val="ListBullet"/>
      </w:pPr>
      <w:r>
        <w:rPr>
          <w:b/>
        </w:rPr>
        <w:t>Los recuentos de 1980 y de las multas.</w:t>
      </w:r>
      <w:r>
        <w:t xml:space="preserve"> Para 1980 no hay una cifra única: el Centro Memorial cuenta 132 muertos por todo el terrorismo, la Cronología de la Guardia Civil 97 de ETA y «Vidas rotas» uno más, y la obra no ha leído el libro del Memorial entero. El recuento de las multas es de la obra, hecho por programa sobre dos listados en PDF con celdas combinadas, y puede diferir en unas pocas filas de otros recuentos.</w:t>
      </w:r>
    </w:p>
    <w:p>
      <w:pPr>
        <w:pStyle w:val="ListBullet"/>
      </w:pPr>
      <w:r>
        <w:rPr>
          <w:b/>
        </w:rPr>
        <w:t>Lo que no entra:</w:t>
      </w:r>
      <w:r>
        <w:t xml:space="preserve"> la frase de Furet (no se ha localizado); Kling y Vírgala (sin acceso a su texto); el «sindicato del crimen» de North, Wallis y Weingast (no está en el texto leído); las siete condenas de siete por delitos de opinión (sin el estudio); las tres condiciones de la rebelión legítima (sin un texto que las fije); la muerte de Condorcet (no se ha leído en fuente); Sealand, Liberland y Minerva (solo enciclopedia); y el pasaje de Westfalia, que no existe. </w:t>
      </w:r>
      <w:r>
        <w:t>[10.00-7.3, 12.3 y 12.6; 12.00-2.3 y 3.2; 13.00-2.3, 8.4 y 10.3]</w:t>
      </w:r>
    </w:p>
    <w:p>
      <w:pPr>
        <w:pStyle w:val="Heading2"/>
      </w:pPr>
      <w:r>
        <w:t>Dónde se oye la defensa del Estado</w:t>
      </w:r>
    </w:p>
    <w:p>
      <w:r>
        <w:t>La defensa del Estado frente a este capítulo, y lo que la obra le responde, se oyen en el juicio:</w:t>
      </w:r>
    </w:p>
    <w:p>
      <w:pPr>
        <w:pStyle w:val="ListBullet"/>
      </w:pPr>
      <w:r>
        <w:t xml:space="preserve">«La Constitución de 1978 es el contrato»: </w:t>
      </w:r>
      <w:r>
        <w:t>cargo 11</w:t>
      </w:r>
      <w:r>
        <w:t xml:space="preserve"> (</w:t>
      </w:r>
      <w:r>
        <w:t>11.3</w:t>
      </w:r>
      <w:r>
        <w:t>);</w:t>
      </w:r>
    </w:p>
    <w:p>
      <w:pPr>
        <w:pStyle w:val="ListBullet"/>
      </w:pPr>
      <w:r>
        <w:t xml:space="preserve">«La autoridad no nace de un título superior»: </w:t>
      </w:r>
      <w:r>
        <w:t>cargo 2</w:t>
      </w:r>
      <w:r>
        <w:t>;</w:t>
      </w:r>
    </w:p>
    <w:p>
      <w:pPr>
        <w:pStyle w:val="ListBullet"/>
      </w:pPr>
      <w:r>
        <w:t>«Nadie puede declararse exento de la ley»: en las cuestiones previas (</w:t>
      </w:r>
      <w:r>
        <w:t>11.2</w:t>
      </w:r>
      <w:r>
        <w:t>);</w:t>
      </w:r>
    </w:p>
    <w:p>
      <w:pPr>
        <w:pStyle w:val="ListBullet"/>
      </w:pPr>
      <w:r>
        <w:t xml:space="preserve">«La separación de 1811 se cumple»: </w:t>
      </w:r>
      <w:r>
        <w:t>cargo 13</w:t>
      </w:r>
      <w:r>
        <w:t xml:space="preserve">; y «el impuesto es legítimo porque lo aprueba la ley»: </w:t>
      </w:r>
      <w:r>
        <w:t>cargo 7</w:t>
      </w:r>
      <w:r>
        <w:t>;</w:t>
      </w:r>
    </w:p>
    <w:p>
      <w:pPr>
        <w:pStyle w:val="ListBullet"/>
      </w:pPr>
      <w:r>
        <w:t xml:space="preserve">el Tribunal de Cuentas y la separación de poderes: </w:t>
      </w:r>
      <w:r>
        <w:t>cargo 24</w:t>
      </w:r>
      <w:r>
        <w:t xml:space="preserve">; y los avales y las barreras de entrada: </w:t>
      </w:r>
      <w:r>
        <w:t>cargo 6</w:t>
      </w:r>
      <w:r>
        <w:t>.</w:t>
      </w:r>
    </w:p>
    <w:p>
      <w:r>
        <w:t>[clasificación de las defensas, aprobada; 10.00-18.4 y 18.5; 12.00-6.2, 6.3, 6.8 y 6.9; 13.00-13.6 a 13.9; 23.00-6.2 a 6.5]</w:t>
      </w:r>
    </w:p>
    <w:p>
      <w:pPr>
        <w:pStyle w:val="Heading2"/>
      </w:pPr>
      <w:r>
        <w:t>Para recordar</w:t>
      </w:r>
    </w:p>
    <w:p>
      <w:pPr>
        <w:pStyle w:val="ListBullet"/>
      </w:pPr>
      <w:r>
        <w:t>El contrato social es una idea, no un documento: Kant la llamó «una mera idea de la razón», y Hume escribió que casi todos los gobiernos nacieron de la usurpación o de la conquista.</w:t>
      </w:r>
    </w:p>
    <w:p>
      <w:pPr>
        <w:pStyle w:val="ListBullet"/>
      </w:pPr>
      <w:r>
        <w:t>Hobbes, Locke y Rousseau la rellenaron de tres maneras: el miedo, los derechos que ya existían y la voluntad general.</w:t>
      </w:r>
    </w:p>
    <w:p>
      <w:pPr>
        <w:pStyle w:val="ListBullet"/>
      </w:pPr>
      <w:r>
        <w:t>En 1793, el poder tomó la voluntad general y dejó lo que la limitaba: dos constituciones, y ninguna en vigor.</w:t>
      </w:r>
    </w:p>
    <w:p>
      <w:pPr>
        <w:pStyle w:val="ListBullet"/>
      </w:pPr>
      <w:r>
        <w:t>Un Estado existe sin que nadie se lo conceda (Montevideo, 1933). Se autoproclama cuando además se declara el único intérprete del bien y deja de admitir corrección. «La insolencia engendra al tirano».</w:t>
      </w:r>
    </w:p>
    <w:p>
      <w:pPr>
        <w:pStyle w:val="ListBullet"/>
      </w:pPr>
      <w:r>
        <w:t>Gobernar y poseer se separaron por ley en España en 1811; y ni el poder absoluto de Bodino podía tomar el bien ajeno sin causa justa.</w:t>
      </w:r>
    </w:p>
    <w:p>
      <w:pPr>
        <w:pStyle w:val="ListBullet"/>
      </w:pPr>
      <w:r>
        <w:t>En España, el acceso al poder es mixto: hay sanciones, tribunales y partidos nuevos; y los controladores los eligen los controlados, hay barreras de entrada, y la iniciativa popular no toca la ley electoral ni los impuestos.</w:t>
      </w:r>
    </w:p>
    <w:p>
      <w:pPr>
        <w:pStyle w:val="ListBullet"/>
      </w:pPr>
      <w:r>
        <w:t>«Que el poder frene al poder»: Montesquieu. La rebelión es el último recurso, que un régimen de derecho debe hacer innecesario. La obra no la propone: su vía es la constancia escrita.</w:t>
      </w:r>
    </w:p>
    <w:p>
      <w:pPr>
        <w:pStyle w:val="ListBullet"/>
      </w:pPr>
      <w:r>
        <w:rPr>
          <w:b/>
        </w:rPr>
        <w:t>Lo que aquí se expone que hay que podar (lectura del autor):</w:t>
      </w:r>
      <w:r>
        <w:t xml:space="preserve"> el contrato social dado por firmado, cuando es una idea y no un documento; y el poder que se declara el único intérprete del bien y deja de admitir corrección.</w:t>
      </w:r>
    </w:p>
    <w:p>
      <w:pPr>
        <w:pStyle w:val="ListBullet"/>
      </w:pPr>
      <w:r>
        <w:rPr>
          <w:b/>
        </w:rPr>
        <w:t>Lo siguiente:</w:t>
      </w:r>
      <w:r>
        <w:t xml:space="preserve"> de la teoría a los hechos de España: la Constitución, artículo por artículo (</w:t>
      </w:r>
      <w:r>
        <w:t>capítulo 7</w:t>
      </w:r>
      <w:r>
        <w:t>).</w:t>
      </w:r>
    </w:p>
    <w:p>
      <w:r>
        <w:br w:type="page"/>
      </w:r>
    </w:p>
    <w:p>
      <w:pPr>
        <w:pStyle w:val="Heading1"/>
      </w:pPr>
      <w:r>
        <w:t>7 La auditoría: la Constitución frente a los hechos</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56</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(a) «De clementia», con mayúscula solo en la primera palabra, en la línea «Leído hoy» y en la marca de 7.5 (07/herramientas/aplicar_cinco_de_forma.py). Ninguna otra palabra cambia. Cambio del 12-oct-2026, el cierre, dentro del paso 3 (B13: Kiko, chat de 08.18, 06:3x, «si» a la forma «sin contacto documentado entre sí»; orden de 08.29, filas 709 y 710 de 08/01, tras la auditoría de 10.36): las 2 frases en este capítulo con la forma de antes pasan a decir «sin contacto documentado» (07/herramientas/aplicar_contacto_documentado.py).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8 (borrador B16). Ninguna otra palabra cambia. Cambio del 9-oct-2026 (Kiko: «Sí a todo el B3 y el B4, aplícalos» y «SÍ A TODO, LO PARLAMENTADO EN ESTE CONSENSO»; fila 14 de 04p; borrador B4 de la carpeta 07): en 7.4, una frase al final de la «Lectura del autor» que remite al anexo J: hacia dónde apunta cada cosa, con lo recibido como centro. Cambio del 9-oct-2026 (cierre de los avisos de las patas del Arca, tras el informe del agente de fuentes; Kiko: «sigue con el agente y cierra lo pendiente»): en la ficha de los iroqueses (7.5), «su texto escrito es del siglo XIX» pasa a «es reciente, de 1916» (Parker); el siglo XIX no lo sostenía ninguna fuente leída. Se quita Wikipedia como fuente (00b §6), se retiran las fechas que la página citada no sostenía y se apoya cada aviso en una fuente leída o lo dice. Cambio del 9-oct-2026 (Kiko: «sí a las tres» el 8-oct y «para todo lo demás, queda confirmado» el 9-oct; filas 6 a 11 de 04p, ajustes 1 a 6 de la línea del tiempo): en la ficha de los iroqueses (7.5), un aviso corto: la fecha de la Gran Ley de la Paz se discute y su texto escrito es del siglo XIX. Las fechas y los parecidos entre textos son de enciclopedia (fuente secundaria, nivel B); no se ha cambiado ninguna cita ni ningún texto original. ESTADO: APROBADO por Kiko el 5-oct-2026 («SI A TODO»: el capítulo, la reclasificación del art. 21 en el anexo A y las correcciones en la Biblioteca). Su material está marcado en el inventario (04 CAPITULOS/marcas/marcas del capitulo 7.txt). Cualquier cambio posterior, con su aprobación. Escrito en tres niveles y con remisiones enlazables. Marcas: {fuente: …} niveles 2 y 3; {original: …} nivel 3; [trazabilidad] nivel 3; {completo} solo nivel 3; {breve} solo niveles 1 y 2. Trazabilidad: al final de cada párrafo o bloque, entre corchetes (se ve en el nivel completo). Reparto (Kiko, 5-oct): tres agentes localizaron y descargaron las fuentes (c7a: leyes y sentencias; c7b: informes y datos; c7c: historia y filosofía; unos 190 archivos); Claude leyó cada original y extrajo las citas. Leído hoy en su original: - BOE: Constitución (arts. 3.1, 20.1, 21, 23.1, 25.2, 31.1, 32.1, 39.1, 47, 48, 53.2, 53.3, 54, 55.1, 56.3, 57.1, 69.3, 71.4, 103.1, 122.3, 128.1, 135.3, 138.2, 161.1, 167 y 168; reformas de 1992, 2011, 2024 y 2026); Ley 39/2015 (arts. 39, 53.2.b, 98, 99 y 100); LGT (arts. 26, 28, 31.2, 107, 108 y 144); LEC (art. 517); LECrim (art. 544 ter); Código Penal (arts. 80, 456 y 458); LOPJ (art. 89.9, redacción de la LO 1/2025); LO 4/2015 (arts. 36, 37 y 39); LO 3/1981 (art. 30); LO 3/2020 y LO 8/2013 (lengua vehicular); LO 12/2022 (preámbulo); LO 3/2024 (disposición adicional); Ley 5/2018; Ley 22/2009 (art. 1); RD 297/2022; RD 241/2026; Informe del Tribunal de Cuentas n.º 1.513 (rescate bancario, BOE de 15-7-2025). - Tribunales: SSTC 18/1981, 76/1990, 150/1990, 172/2020, 148/2021, 183/2021, 169/2021, 198/2012, 49/2023, 31/2015, 51/2017, 114/2017, 137/2025 y 164/2025; ATS de 24-4-2025 (querella inadmitida); TEDH, Stern Taulats y Roura Capellera c. España (traducción del Ministerio de Justicia); TEDH, Kafkaris c. Chipre (texto francés); providencia del TS de 18-11-2021; notas del CGPJ sobre el TSJ de Cataluña (2020) y el TSJ de Madrid (ZBE, 2024); asunto C-504/26 (EUR-Lex). - Organismos: GRECO (2009, 2011, 2016 y 2024); Tribunal Constitucional, Memoria 2025; IGAE, indicadores del Estado, diciembre de 2025; Tribunal de Cuentas, Informe n.º 1.670 y Declaración sobre la Cuenta General de 2024 (n.º 1.677); Banco de España, nota de ayudas de 2019; nota de la Fiscalía de 2-3-2022; Consejo de Estado, informe de 16-2-2006; CGPJ (lanzamientos 2025 y 1T 2026; violencia sobre la mujer 2024 y 2T 2025); Fiscalía, Memorias 2017, 2025 y 2026; Consejo de la Juventud, Observatorio de Emancipación; La Moncloa (2024 y 2026); INE, ECV (AROPE); Fondo de Reserva; Congreso (régimen económico); Parliamentary Standards Act 2009 (IPSA); INTOSAI, ISSAI 300 (versión española); Reglamento (UE, Euratom) 2024/2509, art. 33; Revista Española de Control Externo, n.º 53 (2016); Tribunal de Cuentas Europeo, guía de metodología. - Núremberg: Jackson, informe al presidente (6-6-1945) y discurso de apertura (21-11-1945); testimonio de Whitney Harris (2003). - Autores y tradiciones: Aristóteles, Metafísica VII, 3 (griego); Confucio, Analectas XIII, 3 (chino y Legge); Séneca, De clementia I, 12 (latín); 2 Tim 3:5 (griego y Reina-Valera Antigua); Breasted (1912) y Erman (1923), textos del Imperio Medio; Rattray (1929) y Claridge (1915), ashanti; Garcilaso, Comentarios reales II, 14; Regla de la Comunidad (1QS VI, 24-25, hebreo). - Fuente secundaria (se marca en el texto): USHMM (Núremberg); prensa ghanesa (2024-2026); Britannica (esenios); Gómez Garrido (2023, por el título); Idealista News (2025); Scheppele (2013), por el título y la descripción del término en fuentes abiertas. Hallado al escribir (aprobado el 5-oct y corregido en la Biblioteca el 6-oct, libreta 72, punto 141): - 14.00: el Constitucional no «amplió» el matrimonio: avaló la ley que lo amplió (recurso desestimado). - 15.00: «unas 3.000 toneladas» es una cifra de divulgación (USHMM en español); el informe de Jackson habla de más de 100.000 documentos revisados y unos 4.000 usados; la frase de Jackson sobre las futuras generaciones es una paráfrasis (la suya: 6-6-1945); Storey no era «jefe de la fiscalía», sino «executive trial counsel»; IPSA fija los sueldos desde 2011; art. 122.3: «doce entre Jueces y Magistrados», no «a propuesta de»; GRECO 2024: «a matter of critical concern» (no «problema crítico»), y las otras dos frases no son literales; TC: 59 de 9.089 es el 0,65 % (el 0,61 % es sobre 9.656 decisiones); intereses e inversión: 34.918 frente a 8.763 M€ (unos 4 € por cada euro, no 4,5; los 7.684 M€ son «ayuda a la inversión y otras transferencias de capital»); rescate: 71.833 M€ «a 31 de diciembre de 2021», con 50.621 M€ de recursos «ciertamente empleados»; los 40 M€ son lo recuperado por sentencias y costas en 2019-2021, no lo recuperado en total (el Banco de España daba 5.225 M€ en 2019); el «como mucho el 21 %» no está en la nota de 2019; rey emérito: no hay archivo del 5-3-2025 (hubo un auto del Supremo de 24-4-2025 que inadmitió una querella), y la inviolabilidad cubrió hasta el 19-6-2014; la frase atribuida a la Revista Española de la Transparencia no es literal; STC 148/2021: la cita no es literal, y es el art. 55.1, no el 55.2; la STC 183/2021 es del segundo estado de alarma; Tribunal de Cuentas: 106.138,7 y 4.090,3 M€ son de la Declaración sobre la Cuenta General de 2024, no de la Memoria; BOE-A-1992-14245 no es la reforma de 1992 (es BOE-A-1992-20403); la Constitución se ha reformado cuatro veces, no tres (la cuarta, el 19-5-2026, art. 69.3); la STC 164/2025 resuelve una cuestión de inconstitucionalidad; el Observatorio da 30,2 años como edad media de emancipación. - 16.00: LO 4/2015, art. 36.2: sanciona la «perturbación grave» ante las Cámaras, no la protesta pacífica no comunicada (eso es el 37.1, leve, de 100 a 600 €), y la STC 172/2020 lo declaró constitucional (solo anuló el inciso «no autorizado» del 36.23); las SSTS de 23 y 28 de abril son de 2015; «5 de 184 centros» es la prueba de la sentencia, anterior al fallo (6-oct); STC 198/2012: la frase «no es la legalidad ordinaria, sino la propia Constitución la que opta…» es de los recurrentes y termina en «la configuración heterosexual del matrimonio»; el Tribunal dice que es «una opción no excluida por el constituyente» (FJ 9); STC 169/2021: un voto particular de tres magistrados, y la «expectativa o esperanza realista» es formulación del propio Tribunal; STC 51/2017: estimó íntegramente el recurso; GRECO: de las 15 recomendaciones, 6 eran de financiación de partidos (0 de 6 cumplidas en 2011; 5 de 6 en 2016), y la frase omite «fraudulent»; lanzamientos 2025: 24.540, no 25.540; el texto del Consejo de Estado es un informe, no un dictamen. - 17.00 (anexo A): art. 21, la ficha se apoya en la lectura equivocada del art. 36.2; por el propio criterio de la obra (un recurso desestimado cuenta como cumplimiento limpio) pasaría a CUMPLE; art. 32.1, la frase de la STC 198/2012; art. 6, las cifras del GRECO; art. 47, 24.540; defensa del Título X, «tres veces». Aprobado: el art. 21 pasa a CUMPLE. - 19.00: «hilemorfismo» es un término del siglo XIX; el ejemplo de Metafísica V, 2 está en 1013a; «si a un usurpador se le llama rey…» sale de Wikipedia, no de una fuente antigua; ningún texto egipcio dice «colapso de Maat»; Karikari fue depuesto por profanar las tumbas reales (Claridge); Rattray describe el taburete retirado; la frase sobre la «manipulación faccional» no se ha localizado; el tucuyricuy solo «daba cuenta» a los superiores (Garcilaso); Martin y Grube, sin leer; 1QS dice «la pureza de los Muchos», no «baño de purificación»; lo de los sumos sacerdotes asmoneos no está en la Británica; ISSAI 300: la traducción oficial dice «revisión independiente, objetiva y confiable… y sobre si existen áreas de mejora»; el art. 33 del Reglamento financiero dice «óptima relación» y «actividades acometidas», y el Reglamento 2018/1046 está derogado por el 2024/2509; la frase del manual del Tribunal de Cuentas Europeo no se ha localizado; la STC 18/1981 habla de «ciertos matices», no de presunción de inocencia. - 22.00: el apremio está en el art. 100 de la Ley 39/2015; la lista del art. 517 LEC no es cerrada; el art. 169 LGT es el embargo; la «justificación oficial» no está en ninguna ley; el recargo del 5 % es anterior a la providencia, y solo el del 20 % se suma a los intereses; STC 150/1990: «la dificultad», no «importantes dificultades»; el pasaje de las actas es de la STC 76/1990 («opiniones»); UGT: los 58 años son de un ejemplo de hostelería; 65.486 son compraventas de vivienda nueva; los 40.000 M€ de intereses se superaron en 2025. - 28.00: la audiencia del 544 ter, en 72 horas como máximo; la prohibición de mediación está hoy en el art. 89.9 LOPJ; 2T 2025, no acordadas el 32,3 %; Memoria 2017, «sentencias condenatorias», y el 0,0082 % es un promedio (2026: 0,007 %); STS 901/2016 no es un caso de violencia de género; art. 456, la pena de prisión solo si se imputó un delito grave; art. 80, «no superiores a dos años»; Torrejón: el piso del hijo fallecido, alquilado. Hallado al corregir la Biblioteca (6-oct, libreta 72, punto 141): la Memoria de la Fiscalía de 2017 escribe «un 0,18 %», pero 194 de 1.055.912 es el 0,018 % (corregido en 7.7); la nota de prensa del CGPJ da 25.540 lanzamientos en un titular y calcula sobre esa cifra el 26,6 % de Cataluña, pero sus propios datos y la suma por causas dan 24.540; el ejemplo de UGT es el de un trabajador de la hostelería de Madrid (15.675,70 € netos al año, el 40 % del sueldo, una vivienda de 364.860 €); el GRECO de 2024 llama «asunto de preocupación crítica» al bloqueo del CGPJ, no a la politización. Resuelto el 6-oct (Kiko: «SI A TODO»): el «5 de 184 centros» es la prueba de la propia sentencia del TSJ de Cataluña, anterior al fallo; la ejecución está en suspenso desde julio de 2022 (7.3, n.º 3); el art. 3.1 sigue como incumple. Torrejón: entrevista de ABC de 20-8-2025; los hechos, el 13 de agosto. Nuevo, aprobado por Kiko el 5-oct: la cuarta reforma (art. 69.3, 2026); la cita de Jackson de 1945 y su discurso de apertura; el procedimiento de destitución ashanti según Rattray y los casos de 2024-2026; 1QS en hebreo; Neferti y Jajeperreseneb. No entra: los diez casos de deslegitimación por el pueblo (19.00, 13 a 23) y el veredicto de la convergencia (19.00, 11 y 12): van a 9.2, según el índice; Maya (Martin y Grube, sin leer); la sentencia de la AP de Málaga (solo un blog); la frase de Scheppele en sus palabras (de pago); los 42.059 M€ (solo prensa). Remisiones: Núremberg (1.4); el contrato social y Montesquieu (6.1 y 6.5); el amparo, el recargo y el art. 53.3 (5.1, n.º 15, 16 y 19); la amnistía fiscal y la plusvalía (5.1, n.º 9); la Gran Ley de la Paz y Mencio (3.2, P1); Maat (4.2); la costumbre y el desuso (1.7); el Fondo de Reserva (5.1, n.º 2; 8.6); la vivienda (8.7 y 8.8). Conceptos que ancla: el método de Núremberg (7.2); la corrupción de la forma (7.5); el intento frenado (7.4). Corregido el 7-oct-2026 (capítulo 11, parte 6): Mt 11:15 en 7.5, con las palabras de la Reina-Valera Antigua, «para oir» (c9g); decía «para oír», de la de 1960. Cambio del 7-oct-2026 (investigación final de flecos; Kiko, «sí»): el art. 159 sigue incumpliéndose, pero sin declaración formal externa (ni los mandatos cumplidos ni el Auto 177/2022 cumplen la definición de 7.1), y el recuento baja de 24 a 23 (en el bien común 14 y en el organigrama 9). Anotado en el registro, en el 07 y en las libretas.</w:t>
      </w:r>
    </w:p>
    <w:p>
      <w:pPr>
        <w:pBdr>
          <w:left w:val="single" w:sz="24" w:space="6" w:color="E2DED6"/>
        </w:pBdr>
        <w:shd w:val="clear" w:color="auto" w:fill="F1EEE8"/>
        <w:spacing w:before="80" w:after="160"/>
        <w:ind w:left="142" w:right="142"/>
      </w:pPr>
      <w:r>
        <w:rPr>
          <w:b/>
        </w:rPr>
        <w:t>En pocas palabras:</w:t>
      </w:r>
    </w:p>
    <w:p>
      <w:pPr>
        <w:pStyle w:val="ListBullet"/>
      </w:pPr>
      <w:r>
        <w:t>Si la Constitución es la traducción escrita del contrato social, la pregunta de si se cumple se puede partir en 169 preguntas comprobables, una por artículo: la norma, el hecho y su fuente.</w:t>
      </w:r>
    </w:p>
    <w:p>
      <w:pPr>
        <w:pStyle w:val="ListBullet"/>
      </w:pPr>
      <w:r>
        <w:t>La auditoría da 93 artículos que se cumplen, 69 que no y 7 pendientes. En 23 de los 69 ya hay una declaración formal de un tribunal o de un organismo externo.</w:t>
      </w:r>
    </w:p>
    <w:p>
      <w:pPr>
        <w:pStyle w:val="ListBullet"/>
      </w:pPr>
      <w:r>
        <w:t>El incumplimiento no se reparte igual: recae en el 62,1 % de los artículos que afectan al ciudadano y en el 27,2 % de los que organizan el poder. Y cuando el freno de otro poder actúa, corrige al poder en el 26,32 % de los casos, y protege al ciudadano en el 4,65 %.</w:t>
      </w:r>
    </w:p>
    <w:p>
      <w:pPr>
        <w:pStyle w:val="ListBullet"/>
      </w:pPr>
      <w:r>
        <w:t>Cada pieza, sola, es defendible. Juntas, forman un cuerpo que ninguna explica sola.</w:t>
      </w:r>
    </w:p>
    <w:p>
      <w:pPr>
        <w:pStyle w:val="ListBullet"/>
      </w:pPr>
      <w:r>
        <w:t>Una norma puede seguir en pie y haberse vaciado: es la corrupción de la forma. Y se mide como mide el propio Tribunal de Cuentas: por los resultados.</w:t>
      </w:r>
    </w:p>
    <w:p>
      <w:pPr>
        <w:pStyle w:val="ListBullet"/>
      </w:pPr>
      <w:r>
        <w:t>El cobro del Estado está blindado, y sus deberes con el ciudadano, aplazados: lo uno se ejecuta sin juez; lo otro no se puede pedir a un juez sin una ley que lo desarrolle.</w:t>
      </w:r>
    </w:p>
    <w:p>
      <w:pPr>
        <w:pStyle w:val="ListBullet"/>
      </w:pPr>
      <w:r>
        <w:t>Algunos diseños legales enfrentan a la gente sin que nadie actúe de mala fe: obligan a decidir deprisa con la prueba incompleta.</w:t>
      </w:r>
    </w:p>
    <w:p>
      <w:pPr>
        <w:pStyle w:val="ListBullet"/>
      </w:pPr>
      <w:r>
        <w:t>Nada de esto es la tiranía sistemática que la teoría pide para el derecho de resistencia (</w:t>
      </w:r>
      <w:r>
        <w:t>6.5</w:t>
      </w:r>
      <w:r>
        <w:t>): los frenos actúan, a veces. Es una asimetría medida.</w:t>
      </w:r>
    </w:p>
    <w:p>
      <w:pPr>
        <w:pStyle w:val="Heading2"/>
      </w:pPr>
      <w:r>
        <w:t>7.0 Propósito</w:t>
      </w:r>
    </w:p>
    <w:p>
      <w:r>
        <w:t xml:space="preserve">El </w:t>
      </w:r>
      <w:r>
        <w:t>capítulo 6</w:t>
      </w:r>
      <w:r>
        <w:t xml:space="preserve"> dejó la teoría: el contrato social es una idea, y la separación de poderes, el freno (</w:t>
      </w:r>
      <w:r>
        <w:t>6.1</w:t>
      </w:r>
      <w:r>
        <w:t xml:space="preserve"> y </w:t>
      </w:r>
      <w:r>
        <w:t>6.5</w:t>
      </w:r>
      <w:r>
        <w:t>). Este capítulo la lleva a los hechos de España, con la Constitución en la mano, artículo por artículo.</w:t>
      </w:r>
    </w:p>
    <w:p>
      <w:r>
        <w:rPr>
          <w:b/>
        </w:rPr>
        <w:t>Cómo se lee.</w:t>
      </w:r>
      <w:r>
        <w:t xml:space="preserve"> Cada caso va con la norma literal, el hecho verificado y su fuente; la lectura de conjunto, aparte y marcada. La auditoría completa de los 169 artículos está en el </w:t>
      </w:r>
      <w:r>
        <w:t>anexo A</w:t>
      </w:r>
      <w:r>
        <w:t>: aquí van el método, los resultados y los casos que mejor los muestran.</w:t>
      </w:r>
    </w:p>
    <w:p>
      <w:r>
        <w:rPr>
          <w:b/>
        </w:rPr>
        <w:t>Lo que este capítulo no hace.</w:t>
      </w:r>
      <w:r>
        <w:t xml:space="preserve"> No dicta el veredicto sobre España: eso es el </w:t>
      </w:r>
      <w:r>
        <w:t>capítulo 9</w:t>
      </w:r>
      <w:r>
        <w:t>. Tampoco atribuye intención a nadie: mide.</w:t>
      </w:r>
    </w:p>
    <w:p>
      <w:r>
        <w:t>Este capítulo dice:</w:t>
      </w:r>
    </w:p>
    <w:p>
      <w:pPr>
        <w:pStyle w:val="ListBullet"/>
      </w:pPr>
      <w:r>
        <w:rPr>
          <w:b/>
        </w:rPr>
        <w:t>7.1</w:t>
      </w:r>
      <w:r>
        <w:t xml:space="preserve"> el método: auditar el contrato social;</w:t>
      </w:r>
    </w:p>
    <w:p>
      <w:pPr>
        <w:pStyle w:val="ListBullet"/>
      </w:pPr>
      <w:r>
        <w:rPr>
          <w:b/>
        </w:rPr>
        <w:t>7.2</w:t>
      </w:r>
      <w:r>
        <w:t xml:space="preserve"> el método de Núremberg y sus quince casos;</w:t>
      </w:r>
    </w:p>
    <w:p>
      <w:pPr>
        <w:pStyle w:val="ListBullet"/>
      </w:pPr>
      <w:r>
        <w:rPr>
          <w:b/>
        </w:rPr>
        <w:t>7.3</w:t>
      </w:r>
      <w:r>
        <w:t xml:space="preserve"> once casos más, y los que rompen el patrón;</w:t>
      </w:r>
    </w:p>
    <w:p>
      <w:pPr>
        <w:pStyle w:val="ListBullet"/>
      </w:pPr>
      <w:r>
        <w:rPr>
          <w:b/>
        </w:rPr>
        <w:t>7.4</w:t>
      </w:r>
      <w:r>
        <w:t xml:space="preserve"> el bien común frente al organigrama del poder, en cifras;</w:t>
      </w:r>
    </w:p>
    <w:p>
      <w:pPr>
        <w:pStyle w:val="ListBullet"/>
      </w:pPr>
      <w:r>
        <w:rPr>
          <w:b/>
        </w:rPr>
        <w:t>7.5</w:t>
      </w:r>
      <w:r>
        <w:t xml:space="preserve"> la corrupción de la forma;</w:t>
      </w:r>
    </w:p>
    <w:p>
      <w:pPr>
        <w:pStyle w:val="ListBullet"/>
      </w:pPr>
      <w:r>
        <w:rPr>
          <w:b/>
        </w:rPr>
        <w:t>7.6</w:t>
      </w:r>
      <w:r>
        <w:t xml:space="preserve"> el cobro blindado y el deber aplazado;</w:t>
      </w:r>
    </w:p>
    <w:p>
      <w:pPr>
        <w:pStyle w:val="ListBullet"/>
      </w:pPr>
      <w:r>
        <w:rPr>
          <w:b/>
        </w:rPr>
        <w:t>7.7</w:t>
      </w:r>
      <w:r>
        <w:t xml:space="preserve"> y el diseño legal que enfrenta a la gente.</w:t>
      </w:r>
    </w:p>
    <w:p>
      <w:pPr>
        <w:pStyle w:val="Heading2"/>
      </w:pPr>
      <w:r>
        <w:t>7.1 El método: auditar el contrato social</w:t>
      </w:r>
    </w:p>
    <w:p>
      <w:pPr>
        <w:pBdr>
          <w:left w:val="single" w:sz="24" w:space="6" w:color="E2DED6"/>
        </w:pBdr>
        <w:shd w:val="clear" w:color="auto" w:fill="F1EEE8"/>
        <w:spacing w:before="80" w:after="160"/>
        <w:ind w:left="142" w:right="142"/>
      </w:pPr>
      <w:r>
        <w:rPr>
          <w:b/>
        </w:rPr>
        <w:t>La idea: «¿se cumple el contrato social?» no tiene respuesta comprobable así formulada. Pero si la Constitución es su traducción escrita, la pregunta se parte en 169 preguntas que sí la tienen.</w:t>
      </w:r>
    </w:p>
    <w:p>
      <w:r>
        <w:rPr>
          <w:b/>
        </w:rPr>
        <w:t>De la filosofía al dato.</w:t>
      </w:r>
      <w:r>
        <w:t xml:space="preserve"> Preguntar si se cumple el contrato social es una pregunta filosófica, y cualquier respuesta directa sería una opinión. Si la Constitución traduce por escrito ese pacto (</w:t>
      </w:r>
      <w:r>
        <w:t>6.5</w:t>
      </w:r>
      <w:r>
        <w:t xml:space="preserve">), la pregunta se descompone: «¿se cumple este mandato concreto, en los hechos, con fuente?». Y así, artículo por artículo, los 169. </w:t>
      </w:r>
      <w:r>
        <w:t>[14.00-1.1, 2.1 y 3.1]</w:t>
      </w:r>
    </w:p>
    <w:p>
      <w:r>
        <w:rPr>
          <w:b/>
        </w:rPr>
        <w:t>El procedimiento.</w:t>
      </w:r>
    </w:p>
    <w:p>
      <w:pPr>
        <w:pStyle w:val="ListBullet"/>
      </w:pPr>
      <w:r>
        <w:t>La norma, en su texto literal; el hecho, verificado; la fuente, exacta. Sin interpretación por artículo.</w:t>
      </w:r>
    </w:p>
    <w:p>
      <w:pPr>
        <w:pStyle w:val="ListBullet"/>
      </w:pPr>
      <w:r>
        <w:t>La lectura de conjunto, si la hay, aparte y marcada como lectura, nunca como dato.</w:t>
      </w:r>
    </w:p>
    <w:p>
      <w:pPr>
        <w:pStyle w:val="ListBullet"/>
      </w:pPr>
      <w:r>
        <w:t>Cada artículo cuenta una sola vez. Los que se auditaron por apartados toman el estado del más grave: si incumple un apartado, el artículo incumple.</w:t>
      </w:r>
    </w:p>
    <w:p>
      <w:r>
        <w:t>[14.00-4.1 y 5.2; 18.00-2.4]</w:t>
      </w:r>
    </w:p>
    <w:p>
      <w:r>
        <w:rPr>
          <w:b/>
        </w:rPr>
        <w:t>El resultado.</w:t>
      </w:r>
      <w:r>
        <w:t xml:space="preserve"> De los 169 artículos, 93 se cumplen sin incidencia relevante, 69 no se cumplen, con el hecho y la fuente que lo documentan, y 7 quedan pendientes, por falta de dato suficiente. En 23 de los 69 incumplimientos ya existe una declaración formal externa: una sentencia del Tribunal Constitucional, una condena del Tribunal Europeo de Derechos Humanos o del Tribunal de Justicia de la UE, o la calificación expresa de un organismo como el GRECO (Grupo de Estados contra la Corrupción del Consejo de Europa). No es una valoración de la obra. </w:t>
      </w:r>
      <w:r>
        <w:t>[14.00-4.1; anexo A; cifras con el art. 21 reclasificado (7.3) y los arts. 7, 110 y 111 pasados a pendiente]</w:t>
      </w:r>
    </w:p>
    <w:p>
      <w:r>
        <w:rPr>
          <w:b/>
        </w:rPr>
        <w:t>Por títulos.</w:t>
      </w:r>
      <w:r>
        <w:t xml:space="preserve"> El agregado esconde una asimetría:</w:t>
      </w:r>
    </w:p>
    <w:p>
      <w:pPr>
        <w:pStyle w:val="ListBullet"/>
      </w:pPr>
      <w:r>
        <w:rPr>
          <w:b/>
        </w:rPr>
        <w:t>El Título I</w:t>
      </w:r>
      <w:r>
        <w:t>, los derechos y deberes fundamentales, lo que la Constitución debe directamente al ciudadano, incumple en 25 de sus 46 artículos: el 54,3 %.</w:t>
      </w:r>
    </w:p>
    <w:p>
      <w:pPr>
        <w:pStyle w:val="ListBullet"/>
      </w:pPr>
      <w:r>
        <w:rPr>
          <w:b/>
        </w:rPr>
        <w:t>El Título III</w:t>
      </w:r>
      <w:r>
        <w:t>, las Cortes Generales, incumple en 8 de 31: el 25,8 %.</w:t>
      </w:r>
    </w:p>
    <w:p>
      <w:pPr>
        <w:pStyle w:val="ListBullet"/>
      </w:pPr>
      <w:r>
        <w:rPr>
          <w:b/>
        </w:rPr>
        <w:t>El Título II</w:t>
      </w:r>
      <w:r>
        <w:t>, la Corona, en 3 de 10: el 30 %.</w:t>
      </w:r>
    </w:p>
    <w:p>
      <w:pPr>
        <w:pStyle w:val="ListBullet"/>
      </w:pPr>
      <w:r>
        <w:rPr>
          <w:b/>
        </w:rPr>
        <w:t>El Título IX</w:t>
      </w:r>
      <w:r>
        <w:t>, el Tribunal Constitucional, en 1 de 7: el 14,3 %, el más bajo.</w:t>
      </w:r>
    </w:p>
    <w:p>
      <w:r>
        <w:t>[14.00-4.2; anexo A]</w:t>
      </w:r>
    </w:p>
    <w:p>
      <w:r>
        <w:rPr>
          <w:b/>
        </w:rPr>
        <w:t>Lo que no es.</w:t>
      </w:r>
      <w:r>
        <w:t xml:space="preserve"> No es el escenario de tiranía sistemática que la teoría exige para hablar de ruptura del pacto (</w:t>
      </w:r>
      <w:r>
        <w:t>6.5</w:t>
      </w:r>
      <w:r>
        <w:t>). Los contrapesos siguen activos y, en casos verificados, han funcionado: el Constitucional desestimó el recurso contra la ley que abrió el matrimonio a las parejas del mismo sexo (</w:t>
      </w:r>
      <w:r>
        <w:t>7.3</w:t>
      </w:r>
      <w:r>
        <w:t>); la plusvalía municipal se anuló (</w:t>
      </w:r>
      <w:r>
        <w:t>5.1</w:t>
      </w:r>
      <w:r>
        <w:t>, n.º 9); el Supremo condenó a un Fiscal General del Estado en ejercicio; el Tribunal de Justicia de la UE declaró insuficiente el modelo español de temporalidad en el empleo público (</w:t>
      </w:r>
      <w:r>
        <w:t>anexo A</w:t>
      </w:r>
      <w:r>
        <w:t xml:space="preserve">, arts. 124 y 103.3). Ninguno de los 69 incumplimientos equivale a un rey que disuelve el Parlamento. </w:t>
      </w:r>
      <w:r>
        <w:t>[14.00-4.3]</w:t>
      </w:r>
    </w:p>
    <w:p>
      <w:r>
        <w:rPr>
          <w:b/>
        </w:rPr>
        <w:t>El valor del método.</w:t>
      </w:r>
      <w:r>
        <w:t xml:space="preserve"> La conclusión es moderada; el aporte es el método. Se puede discutir durante horas si España «cumple su contrato social», porque es una discusión de valores. No se puede discutir del mismo modo si el Fondo de Compensación Interterritorial ha caído del 0,2 % al 0,02 % del PIB: es un hecho con fuente, que cualquiera puede comprobar (</w:t>
      </w:r>
      <w:r>
        <w:t>anexo A</w:t>
      </w:r>
      <w:r>
        <w:t xml:space="preserve">, art. 158.2). El método, paso a paso, para repetirlo con la Constitución de cualquier país, está en el </w:t>
      </w:r>
      <w:r>
        <w:t>anexo G</w:t>
      </w:r>
      <w:r>
        <w:t xml:space="preserve">. </w:t>
      </w:r>
      <w:r>
        <w:t>[14.00-5.1, 5.2 y 7.1]</w:t>
      </w:r>
    </w:p>
    <w:p>
      <w:r>
        <w:rPr>
          <w:b/>
        </w:rPr>
        <w:t>Conclusión, lo que arrojan los datos:</w:t>
      </w:r>
      <w:r>
        <w:t xml:space="preserve"> la Constitución se puede auditar artículo por artículo, con fuente, sin opinar. Se cumplen 93 de 169 artículos, y en 23 de los 69 incumplidos ya hay declaración formal externa. Y aparece una asimetría medible: el sistema resuelve mejor sus conflictos internos que sus obligaciones con el ciudadano. Lo que no prueba: una ruptura del pacto en el sentido que la teoría clásica reserva para su último recurso. </w:t>
      </w:r>
      <w:r>
        <w:t>[14.00-4.4]</w:t>
      </w:r>
    </w:p>
    <w:p>
      <w:pPr>
        <w:pStyle w:val="Heading2"/>
      </w:pPr>
      <w:r>
        <w:t>7.2 El método de Núremberg</w:t>
      </w:r>
    </w:p>
    <w:p>
      <w:pPr>
        <w:pBdr>
          <w:left w:val="single" w:sz="24" w:space="6" w:color="E2DED6"/>
        </w:pBdr>
        <w:shd w:val="clear" w:color="auto" w:fill="F1EEE8"/>
        <w:spacing w:before="80" w:after="160"/>
        <w:ind w:left="142" w:right="142"/>
      </w:pPr>
      <w:r>
        <w:rPr>
          <w:b/>
        </w:rPr>
        <w:t>La idea: el poder no se juzga con relatos, sino con sus propios documentos. Quince normas, cada una frente al hecho que le sigue.</w:t>
      </w:r>
    </w:p>
    <w:p>
      <w:r>
        <w:rPr>
          <w:b/>
        </w:rPr>
        <w:t>El origen.</w:t>
      </w:r>
      <w:r>
        <w:t xml:space="preserve"> En Núremberg, el fiscal Robert H. Jackson escribió al presidente de Estados Unidos, el 6 de junio de 1945: «si no escribimos el registro de este movimiento con claridad y precisión, no podremos culpar al futuro si, en días de paz, encuentra increíbles las acusaciones generales hechas durante la guerra. Debemos probar hechos increíbles con pruebas creíbles»</w:t>
      </w:r>
      <w:r>
        <w:t xml:space="preserve"> [original: «Unless we write the record of this movement with clarity and precision, we cannot blame the future if in days of peace it finds incredible the accusatory generalities uttered during the war. We must establish incredible events by credible evidence.»]</w:t>
      </w:r>
      <w:r>
        <w:t xml:space="preserve"> (Jackson, informe al presidente, 6-6-1945, Avalon Project)</w:t>
      </w:r>
      <w:r>
        <w:br/>
      </w:r>
      <w:r>
        <w:rPr>
          <w:b/>
        </w:rPr>
        <w:t>leída en su fuente · Jackson, informe al presidente, 6-6-1945, Avalon Project</w:t>
      </w:r>
      <w:r>
        <w:br/>
      </w:r>
      <w:r>
        <w:rPr>
          <w:b/>
        </w:rPr>
        <w:t>Archivo leído:</w:t>
      </w:r>
      <w:r>
        <w:t xml:space="preserve"> 15.00-1.1_Jackson_Report_to_President_1945-06-06_Avalon.html (c7c\15.00-1.1_Jackson_Report_to_President_1945-06-06_Avalon.html) · contraste del archivo de pasajes: ✔</w:t>
      </w:r>
      <w:r>
        <w:br/>
      </w:r>
      <w:r>
        <w:rPr>
          <w:b/>
        </w:rPr>
        <w:t>Lugar:</w:t>
      </w:r>
      <w:r>
        <w:t xml:space="preserve"> línea 94</w:t>
      </w:r>
      <w:r>
        <w:br/>
      </w:r>
      <w:r>
        <w:rPr>
          <w:b/>
        </w:rPr>
        <w:t>Dirección:</w:t>
      </w:r>
      <w:r>
        <w:t xml:space="preserve"> </w:t>
      </w:r>
      <w:r>
        <w:t>https://avalon.law.yale.edu/imt/jack08.asp</w:t>
      </w:r>
      <w:r>
        <w:br/>
      </w:r>
      <w:r>
        <w:rPr>
          <w:b/>
        </w:rPr>
        <w:t>Tal como está en la fuente:</w:t>
      </w:r>
      <w:r>
        <w:t xml:space="preserve"> Unless we write the record of this movement with clarity and precision, we cannot blame the future if in days of peace it finds incredible the accusatory generalities uttered during the war. We must establish incredible events by credible evidence.</w:t>
      </w:r>
      <w:r>
        <w:br/>
      </w:r>
      <w:r>
        <w:rPr>
          <w:b/>
        </w:rPr>
        <w:t>Traducción guardada:</w:t>
      </w:r>
      <w:r>
        <w:t xml:space="preserve"> Si no escribimos el registro de este movimiento con claridad y precisión, no podremos culpar al futuro si en tiempos de paz encuentra increíbles las acusaciones generales hechas durante la guerra. Debemos probar hechos increíbles con pruebas creíbles</w:t>
      </w:r>
      <w:r>
        <w:t>. Y en su discurso de apertura dijo al tribunal: «No les pediremos que condenen a estos hombres por el testimonio de sus enemigos. No hay cargo de la acusación que no pueda probarse con libros y registros»</w:t>
      </w:r>
      <w:r>
        <w:t xml:space="preserve"> [original: «We will not ask you to convict these men on the testimony of their foes. There is no count in the Indictment that cannot be proved by books and records.»]</w:t>
      </w:r>
      <w:r>
        <w:t xml:space="preserve"> (Jackson, discurso de apertura, 21-11-1945, Trial of the Major War Criminals, vol. II)</w:t>
      </w:r>
      <w:r>
        <w:br/>
      </w:r>
      <w:r>
        <w:rPr>
          <w:b/>
        </w:rPr>
        <w:t>leída en su fuente · Jackson, discurso de apertura, 21-11-1945, Trial of the Major War Criminals, vol. II</w:t>
      </w:r>
      <w:r>
        <w:br/>
      </w:r>
      <w:r>
        <w:rPr>
          <w:b/>
        </w:rPr>
        <w:t>Archivo leído:</w:t>
      </w:r>
      <w:r>
        <w:t xml:space="preserve"> 15.00-1.1_IMT_vol2_Jackson_opening_statement_1945-11-21_Avalon.html (c7c\15.00-1.1_IMT_vol2_Jackson_opening_statement_1945-11-21_Avalon.html) · contraste del archivo de pasajes: ✔</w:t>
      </w:r>
      <w:r>
        <w:br/>
      </w:r>
      <w:r>
        <w:rPr>
          <w:b/>
        </w:rPr>
        <w:t>Lugar:</w:t>
      </w:r>
      <w:r>
        <w:t xml:space="preserve"> línea 245</w:t>
      </w:r>
      <w:r>
        <w:br/>
      </w:r>
      <w:r>
        <w:rPr>
          <w:b/>
        </w:rPr>
        <w:t>Dirección:</w:t>
      </w:r>
      <w:r>
        <w:t xml:space="preserve"> </w:t>
      </w:r>
      <w:r>
        <w:t>https://avalon.law.yale.edu/imt/11-21-45.asp</w:t>
      </w:r>
      <w:r>
        <w:br/>
      </w:r>
      <w:r>
        <w:rPr>
          <w:b/>
        </w:rPr>
        <w:t>Tal como está en la fuente:</w:t>
      </w:r>
      <w:r>
        <w:t xml:space="preserve"> We will not ask you to convict these men on the testimony of their foes. There is no count in the Indictment that cannot be proved by books and records.</w:t>
      </w:r>
      <w:r>
        <w:br/>
      </w:r>
      <w:r>
        <w:rPr>
          <w:b/>
        </w:rPr>
        <w:t>Traducción guardada:</w:t>
      </w:r>
      <w:r>
        <w:t xml:space="preserve"> No les pediremos que condenen a estos hombres por el testimonio de sus enemigos. No hay cargo de la acusación que no pueda probarse con libros y registros</w:t>
      </w:r>
      <w:r>
        <w:t>. Uno de los fiscales lo contó después: Jackson pensaba llevar el juicio con testigos completados con documentos, y al ver la colección de documentos lo llevó «sobre todo con documentos completados con testigos»</w:t>
      </w:r>
      <w:r>
        <w:t xml:space="preserve"> [original: «primarily through documents supplemented by witnesses»]</w:t>
      </w:r>
      <w:r>
        <w:t xml:space="preserve"> (Whitney Harris, audiencia de la Fiscalía de la Corte Penal Internacional, 2003)</w:t>
      </w:r>
      <w:r>
        <w:br/>
      </w:r>
      <w:r>
        <w:rPr>
          <w:b/>
        </w:rPr>
        <w:t>leída en su fuente · Whitney Harris, audiencia de la Fiscalía de la Corte Penal Internacional, 2003</w:t>
      </w:r>
      <w:r>
        <w:br/>
      </w:r>
      <w:r>
        <w:rPr>
          <w:b/>
        </w:rPr>
        <w:t>Archivo leído:</w:t>
      </w:r>
      <w:r>
        <w:t xml:space="preserve"> 15.00-1.1_Whitney_Harris_2003_ICC_OTP_testimonio_Nuremberg.pdf (c7c\15.00-1.1_Whitney_Harris_2003_ICC_OTP_testimonio_Nuremberg.pdf) · contraste del archivo de pasajes: ✔</w:t>
      </w:r>
      <w:r>
        <w:br/>
      </w:r>
      <w:r>
        <w:rPr>
          <w:b/>
        </w:rPr>
        <w:t>Lugar:</w:t>
      </w:r>
      <w:r>
        <w:t xml:space="preserve"> pdf p. 1 (txt l. 42-52)</w:t>
      </w:r>
      <w:r>
        <w:br/>
      </w:r>
      <w:r>
        <w:rPr>
          <w:b/>
        </w:rPr>
        <w:t>Dirección:</w:t>
      </w:r>
      <w:r>
        <w:t xml:space="preserve"> </w:t>
      </w:r>
      <w:r>
        <w:t>https://asp.icc-cpi.int/sites/asp/files/NR/rdonlyres/92EBBE55-57ED-4EC2-8F21-0D6F6AB5EAD1/143785/030714_otp_ph1s3_Whitney_Harris.pdf</w:t>
      </w:r>
      <w:r>
        <w:br/>
      </w:r>
      <w:r>
        <w:rPr>
          <w:b/>
        </w:rPr>
        <w:t>Tal como está en la fuente:</w:t>
      </w:r>
      <w:r>
        <w:t xml:space="preserve"> Justice Jackson had planned to conduct the trial … through witnesses supplemented with documents. But when he found that we had this great collection of documents, he changed the proceeding and we conducted the trial primarily through documents supplemented by witnesses.</w:t>
      </w:r>
      <w:r>
        <w:br/>
      </w:r>
      <w:r>
        <w:rPr>
          <w:b/>
        </w:rPr>
        <w:t>Traducción guardada:</w:t>
      </w:r>
      <w:r>
        <w:t xml:space="preserve"> Jackson pensaba llevar el juicio con testigos completados con documentos; al ver la gran colección de documentos, cambió y se llevó sobre todo con documentos completados con testigos</w:t>
      </w:r>
      <w:r>
        <w:t xml:space="preserve">. </w:t>
      </w:r>
      <w:r>
        <w:t>[15.00-1.1; Jackson leído en el Avalon Project; nuevo, aprobado por Kiko el 5-oct]</w:t>
      </w:r>
    </w:p>
    <w:p>
      <w:r>
        <w:rPr>
          <w:b/>
        </w:rPr>
        <w:t>El método de Núremberg.</w:t>
      </w:r>
      <w:r>
        <w:t xml:space="preserve"> Desde aquí, la edición llama así a juzgar al poder con sus propios textos: la norma, en su letra; el hecho verificado que le sigue; la fuente exacta. Sin clasificación ni interpretación por caso: el contraste habla solo. La lectura de conjunto, si la hay, va aparte y marcada. No equipara nada con aquel juicio: toma su método, a otra escala. Su principio, que responde la persona, se vio en </w:t>
      </w:r>
      <w:r>
        <w:t>1.4</w:t>
      </w:r>
      <w:r>
        <w:t xml:space="preserve">. </w:t>
      </w:r>
      <w:r>
        <w:t>[15.00-1.2]</w:t>
      </w:r>
    </w:p>
    <w:p>
      <w:pPr>
        <w:pStyle w:val="Heading3"/>
      </w:pPr>
      <w:r>
        <w:t>Quince normas frente a sus hechos</w:t>
      </w:r>
    </w:p>
    <w:p>
      <w:pPr>
        <w:spacing w:after="60"/>
        <w:ind w:left="510" w:hanging="397"/>
      </w:pPr>
      <w:r>
        <w:rPr>
          <w:b w:val="0"/>
        </w:rPr>
        <w:t xml:space="preserve">1. </w:t>
      </w:r>
      <w:r>
        <w:rPr>
          <w:b/>
        </w:rPr>
        <w:t>La asignación de los representantes.</w:t>
      </w:r>
      <w:r>
        <w:t xml:space="preserve"> «Los Diputados y Senadores percibirán una asignación que será fijada por las respectivas Cámaras»</w:t>
      </w:r>
      <w:r>
        <w:t xml:space="preserve"> (Constitución, art. 71.4)</w:t>
      </w:r>
      <w:r>
        <w:br/>
      </w:r>
      <w:r>
        <w:rPr>
          <w:b/>
        </w:rPr>
        <w:t>leída en su fuente · Constitución, art. 71.4</w:t>
      </w:r>
      <w:r>
        <w:br/>
      </w:r>
      <w:r>
        <w:rPr>
          <w:b/>
        </w:rPr>
        <w:t>Archivo leído:</w:t>
      </w:r>
      <w:r>
        <w:t xml:space="preserve"> constitucion_1978.html (c5\constitucion_1978.html) · contraste del archivo de pasajes: ✔</w:t>
      </w:r>
      <w:r>
        <w:br/>
      </w:r>
      <w:r>
        <w:rPr>
          <w:b/>
        </w:rPr>
        <w:t>Lugar:</w:t>
      </w:r>
      <w:r>
        <w:t xml:space="preserve"> Art. 71.4 (#a71)</w:t>
      </w:r>
      <w:r>
        <w:br/>
      </w:r>
      <w:r>
        <w:rPr>
          <w:b/>
        </w:rPr>
        <w:t>Dirección:</w:t>
      </w:r>
      <w:r>
        <w:t xml:space="preserve"> </w:t>
      </w:r>
      <w:r>
        <w:t>https://www.boe.es/buscar/act.php?id=BOE-A-1978-31229</w:t>
      </w:r>
      <w:r>
        <w:br/>
      </w:r>
      <w:r>
        <w:rPr>
          <w:b/>
        </w:rPr>
        <w:t>Tal como está en la fuente:</w:t>
      </w:r>
      <w:r>
        <w:t xml:space="preserve"> 4. Los Diputados y Senadores percibirán una asignación que será fijada por las respectivas Cámaras.</w:t>
      </w:r>
      <w:r>
        <w:t>. En 2026, la asignación «idéntica para todos los Diputados» es de 3.366,99 euros al mes, más complementos</w:t>
      </w:r>
      <w:r>
        <w:t xml:space="preserve"> (Congreso de los Diputados, régimen económico)</w:t>
      </w:r>
      <w:r>
        <w:t>. El Reino Unido creó en 2009 un organismo independiente, la IPSA</w:t>
      </w:r>
      <w:r>
        <w:t xml:space="preserve"> (Parliamentary Standards Act 2009, art. 3)</w:t>
      </w:r>
      <w:r>
        <w:t xml:space="preserve">, que fija los sueldos de los diputados desde 2011. </w:t>
      </w:r>
      <w:r>
        <w:t>[15.00-2.1 a 2.3]</w:t>
      </w:r>
    </w:p>
    <w:p>
      <w:pPr>
        <w:spacing w:after="60"/>
        <w:ind w:left="510" w:hanging="397"/>
      </w:pPr>
      <w:r>
        <w:rPr>
          <w:b w:val="0"/>
        </w:rPr>
        <w:t xml:space="preserve">2. </w:t>
      </w:r>
      <w:r>
        <w:rPr>
          <w:b/>
        </w:rPr>
        <w:t>El gobierno de los jueces.</w:t>
      </w:r>
      <w:r>
        <w:t xml:space="preserve"> De los veinte vocales del Consejo General del Poder Judicial, «doce entre Jueces y Magistrados»</w:t>
      </w:r>
      <w:r>
        <w:t xml:space="preserve"> (Constitución, art. 122.3)</w:t>
      </w:r>
      <w:r>
        <w:br/>
      </w:r>
      <w:r>
        <w:rPr>
          <w:b/>
        </w:rPr>
        <w:t>leída en su fuente · Constitución, art. 122.3</w:t>
      </w:r>
      <w:r>
        <w:br/>
      </w:r>
      <w:r>
        <w:rPr>
          <w:b/>
        </w:rPr>
        <w:t>Archivo leído:</w:t>
      </w:r>
      <w:r>
        <w:t xml:space="preserve"> constitucion_1978.html (c5\constitucion_1978.html) · contraste del archivo de pasajes: ✔</w:t>
      </w:r>
      <w:r>
        <w:br/>
      </w:r>
      <w:r>
        <w:rPr>
          <w:b/>
        </w:rPr>
        <w:t>Lugar:</w:t>
      </w:r>
      <w:r>
        <w:t xml:space="preserve"> Art. 122.3</w:t>
      </w:r>
      <w:r>
        <w:br/>
      </w:r>
      <w:r>
        <w:rPr>
          <w:b/>
        </w:rPr>
        <w:t>Dirección:</w:t>
      </w:r>
      <w:r>
        <w:t xml:space="preserve"> </w:t>
      </w:r>
      <w:r>
        <w:t>https://www.boe.es/buscar/act.php?id=BOE-A-1978-31229</w:t>
      </w:r>
      <w:r>
        <w:br/>
      </w:r>
      <w:r>
        <w:rPr>
          <w:b/>
        </w:rPr>
        <w:t>Tal como está en la fuente:</w:t>
      </w:r>
      <w:r>
        <w:t xml:space="preserve"> …De éstos, doce entre Jueces y Magistrados de todas las categorías judiciales, en los términos que establezca la ley orgánica; cuatro a propuesta del Congreso de los Diputados, y cuatro a propuesta del Senado, elegidos en ambos casos por mayoría de tres quintos de sus miembros, entre abogados y otros juristas…</w:t>
      </w:r>
      <w:r>
        <w:t>; hoy los veinte los eligen las Cortes (</w:t>
      </w:r>
      <w:r>
        <w:t>6.4</w:t>
      </w:r>
      <w:r>
        <w:t>). Su mandato caducó en diciembre de 2018 y no se renovó hasta junio de 2024 (</w:t>
      </w:r>
      <w:r>
        <w:t>anexo A</w:t>
      </w:r>
      <w:r>
        <w:t>, art. 122). El GRECO llamó a ese bloqueo «un asunto de preocupación crítica»</w:t>
      </w:r>
      <w:r>
        <w:t xml:space="preserve"> [original: «a matter of critical concern»]</w:t>
      </w:r>
      <w:r>
        <w:t xml:space="preserve"> (GRECO, Cuarta Ronda, segunda adenda al segundo informe de cumplimiento, 2024)</w:t>
      </w:r>
      <w:r>
        <w:br/>
      </w:r>
      <w:r>
        <w:rPr>
          <w:b/>
        </w:rPr>
        <w:t>leída en su fuente · GRECO, Cuarta Ronda, segunda adenda al segundo informe de cumplimiento, 2024</w:t>
      </w:r>
      <w:r>
        <w:br/>
      </w:r>
      <w:r>
        <w:rPr>
          <w:b/>
        </w:rPr>
        <w:t>Archivo leído:</w:t>
      </w:r>
      <w:r>
        <w:t xml:space="preserve"> 15.00_GRECO_RC4_2024_10_2a_adenda_2o_informe_cumplimiento_Espana_ENG.pdf (c7b\15.00_GRECO_RC4_2024_10_2a_adenda_2o_informe_cumplimiento_Espana_ENG.pdf) · contraste del archivo de pasajes: ✔</w:t>
      </w:r>
      <w:r>
        <w:br/>
      </w:r>
      <w:r>
        <w:rPr>
          <w:b/>
        </w:rPr>
        <w:t>Lugar:</w:t>
      </w:r>
      <w:r>
        <w:t xml:space="preserve"> Párr. 17, PDF 4</w:t>
      </w:r>
      <w:r>
        <w:br/>
      </w:r>
      <w:r>
        <w:rPr>
          <w:b/>
        </w:rPr>
        <w:t>Dirección:</w:t>
      </w:r>
      <w:r>
        <w:t xml:space="preserve"> </w:t>
      </w:r>
      <w:r>
        <w:t>https://rm.coe.int/grecorc4-2024-10-final-eng-2nd-add-to-the-2nd-compliance-report-spain-/1680b5482c</w:t>
      </w:r>
      <w:r>
        <w:br/>
      </w:r>
      <w:r>
        <w:rPr>
          <w:b/>
        </w:rPr>
        <w:t>Tal como está en la fuente:</w:t>
      </w:r>
      <w:r>
        <w:t xml:space="preserve"> The long-running deadlock in the designation of the CGPJ (for more than five years now) is a matter of critical concern, which needs to be addressed as a matter of priority.</w:t>
      </w:r>
      <w:r>
        <w:br/>
      </w:r>
      <w:r>
        <w:rPr>
          <w:b/>
        </w:rPr>
        <w:t>Traducción guardada:</w:t>
      </w:r>
      <w:r>
        <w:t xml:space="preserve"> El prolongado bloqueo en la designación del CGPJ —más de cinco años ya— es un asunto de preocupación crítica, que debe abordarse con carácter prioritario.</w:t>
      </w:r>
      <w:r>
        <w:t>. La reforma de 2024 encargó al nuevo Consejo una propuesta de reforma del sistema de elección en seis meses</w:t>
      </w:r>
      <w:r>
        <w:t xml:space="preserve"> (Ley Orgánica 3/2024, disposición adicional única)</w:t>
      </w:r>
      <w:r>
        <w:t xml:space="preserve">. </w:t>
      </w:r>
      <w:r>
        <w:t>[15.00-3.1 a 3.3]</w:t>
      </w:r>
    </w:p>
    <w:p>
      <w:pPr>
        <w:spacing w:after="60"/>
        <w:ind w:left="510" w:hanging="397"/>
      </w:pPr>
      <w:r>
        <w:rPr>
          <w:b w:val="0"/>
        </w:rPr>
        <w:t xml:space="preserve">3. </w:t>
      </w:r>
      <w:r>
        <w:rPr>
          <w:b/>
        </w:rPr>
        <w:t>El amparo.</w:t>
      </w:r>
      <w:r>
        <w:t xml:space="preserve"> Ya se vio: en 2025, de 9.089 recursos de amparo, 59 se admitieron a trámite (</w:t>
      </w:r>
      <w:r>
        <w:t>5.1</w:t>
      </w:r>
      <w:r>
        <w:t>, n.º 19). La primera causa de inadmisión fue la «falta de especial trascendencia constitucional», en 5.401 casos</w:t>
      </w:r>
      <w:r>
        <w:t xml:space="preserve"> (Tribunal Constitucional, Memoria 2025)</w:t>
      </w:r>
      <w:r>
        <w:t xml:space="preserve">: un filtro que no está en el art. 53.2 de la Constitución. </w:t>
      </w:r>
      <w:r>
        <w:t>[15.00-4.1 a 4.3]</w:t>
      </w:r>
    </w:p>
    <w:p>
      <w:pPr>
        <w:spacing w:after="60"/>
        <w:ind w:left="510" w:hanging="397"/>
      </w:pPr>
      <w:r>
        <w:rPr>
          <w:b w:val="0"/>
        </w:rPr>
        <w:t xml:space="preserve">4. </w:t>
      </w:r>
      <w:r>
        <w:rPr>
          <w:b/>
        </w:rPr>
        <w:t>La deuda, primero.</w:t>
      </w:r>
      <w:r>
        <w:t xml:space="preserve"> El pago de la deuda pública «gozará de prioridad absoluta»</w:t>
      </w:r>
      <w:r>
        <w:t xml:space="preserve"> (Constitución, art. 135.3)</w:t>
      </w:r>
      <w:r>
        <w:br/>
      </w:r>
      <w:r>
        <w:rPr>
          <w:b/>
        </w:rPr>
        <w:t>leída en su fuente · Constitución, art. 135.3</w:t>
      </w:r>
      <w:r>
        <w:br/>
      </w:r>
      <w:r>
        <w:rPr>
          <w:b/>
        </w:rPr>
        <w:t>Archivo leído:</w:t>
      </w:r>
      <w:r>
        <w:t xml:space="preserve"> ce.html (ant\c1\ce.html) · contraste del archivo de pasajes: ✔</w:t>
      </w:r>
      <w:r>
        <w:br/>
      </w:r>
      <w:r>
        <w:rPr>
          <w:b/>
        </w:rPr>
        <w:t>Lugar:</w:t>
      </w:r>
      <w:r>
        <w:t xml:space="preserve"> Constitución, art. 135.3</w:t>
      </w:r>
      <w:r>
        <w:br/>
      </w:r>
      <w:r>
        <w:rPr>
          <w:b/>
        </w:rPr>
        <w:t>Tal como está en la fuente:</w:t>
      </w:r>
      <w:r>
        <w:t xml:space="preserve"> gozará de prioridad absoluta</w:t>
      </w:r>
      <w:r>
        <w:t>, por la reforma de 2011, hecha sin referéndum. En 2025, las administraciones pagaron 40.314 millones en intereses e invirtieron 49.632</w:t>
      </w:r>
      <w:r>
        <w:t xml:space="preserve"> (Eurostat, cuentas de las administraciones públicas)</w:t>
      </w:r>
      <w:r>
        <w:t xml:space="preserve">: por cada 5 euros que se invierten, se pagan unos 4 en intereses, el 81 % (cálculo de la obra; </w:t>
      </w:r>
      <w:r>
        <w:t>8.6</w:t>
      </w:r>
      <w:r>
        <w:t xml:space="preserve">). </w:t>
      </w:r>
      <w:r>
        <w:t>[15.00-5.1 a 5.3]</w:t>
      </w:r>
    </w:p>
    <w:p>
      <w:pPr>
        <w:spacing w:after="60"/>
        <w:ind w:left="510" w:hanging="397"/>
      </w:pPr>
      <w:r>
        <w:rPr>
          <w:b w:val="0"/>
        </w:rPr>
        <w:t xml:space="preserve">5. </w:t>
      </w:r>
      <w:r>
        <w:rPr>
          <w:b/>
        </w:rPr>
        <w:t>La riqueza del país.</w:t>
      </w:r>
      <w:r>
        <w:t xml:space="preserve"> «Toda la riqueza del país en sus distintas formas y sea cual fuere su titularidad está subordinada al interés general»</w:t>
      </w:r>
      <w:r>
        <w:t xml:space="preserve"> (Constitución, art. 128.1)</w:t>
      </w:r>
      <w:r>
        <w:br/>
      </w:r>
      <w:r>
        <w:rPr>
          <w:b/>
        </w:rPr>
        <w:t>leída en su fuente · Constitución, art. 128.1</w:t>
      </w:r>
      <w:r>
        <w:br/>
      </w:r>
      <w:r>
        <w:rPr>
          <w:b/>
        </w:rPr>
        <w:t>Archivo leído:</w:t>
      </w:r>
      <w:r>
        <w:t xml:space="preserve"> c6 (ant\c1\ce.html) · contraste del archivo de pasajes: ✔</w:t>
      </w:r>
      <w:r>
        <w:br/>
      </w:r>
      <w:r>
        <w:rPr>
          <w:b/>
        </w:rPr>
        <w:t>Tal como está en la fuente:</w:t>
      </w:r>
      <w:r>
        <w:t xml:space="preserve"> Toda la riqueza del país en sus distintas formas y sea cual fuere su titularidad está subordinada al interés general.</w:t>
      </w:r>
      <w:r>
        <w:t>. El rescate bancario costó, «a 31 de diciembre de 2021», 71.833 millones; los recursos públicos «ciertamente empleados» fueron 50.621 millones</w:t>
      </w:r>
      <w:r>
        <w:t xml:space="preserve"> (Tribunal de Cuentas, Informe n.º 1.513, BOE de 15-7-2025)</w:t>
      </w:r>
      <w:r>
        <w:t>. En 2019, el Banco de España daba 5.225 millones recuperados</w:t>
      </w:r>
      <w:r>
        <w:t xml:space="preserve"> (Banco de España, nota de ayudas financieras, 2019)</w:t>
      </w:r>
      <w:r>
        <w:t xml:space="preserve">. </w:t>
      </w:r>
      <w:r>
        <w:t>[15.00-6.1 a 6.3]</w:t>
      </w:r>
    </w:p>
    <w:p>
      <w:pPr>
        <w:spacing w:after="60"/>
        <w:ind w:left="510" w:hanging="397"/>
      </w:pPr>
      <w:r>
        <w:rPr>
          <w:b w:val="0"/>
        </w:rPr>
        <w:t xml:space="preserve">6. </w:t>
      </w:r>
      <w:r>
        <w:rPr>
          <w:b/>
        </w:rPr>
        <w:t>La inviolabilidad.</w:t>
      </w:r>
      <w:r>
        <w:t xml:space="preserve"> «La persona del Rey es inviolable y no está sujeta a responsabilidad»</w:t>
      </w:r>
      <w:r>
        <w:t xml:space="preserve"> (Constitución, art. 56.3)</w:t>
      </w:r>
      <w:r>
        <w:br/>
      </w:r>
      <w:r>
        <w:rPr>
          <w:b/>
        </w:rPr>
        <w:t>leída en su fuente · Constitución, art. 56.3</w:t>
      </w:r>
      <w:r>
        <w:br/>
      </w:r>
      <w:r>
        <w:rPr>
          <w:b/>
        </w:rPr>
        <w:t>Archivo leído:</w:t>
      </w:r>
      <w:r>
        <w:t xml:space="preserve"> c6 (ant\c1\ce.html) · contraste del archivo de pasajes: ✔</w:t>
      </w:r>
      <w:r>
        <w:br/>
      </w:r>
      <w:r>
        <w:rPr>
          <w:b/>
        </w:rPr>
        <w:t>Tal como está en la fuente:</w:t>
      </w:r>
      <w:r>
        <w:t xml:space="preserve"> La persona del Rey es inviolable y no está sujeta a responsabilidad.</w:t>
      </w:r>
      <w:r>
        <w:t>. La Fiscalía del Supremo archivó en 2022 sus diligencias sobre el anterior Jefe del Estado: unas por prescripción, y lo anterior al 19 de junio de 2014 porque estaba «protegido por la inviolabilidad»</w:t>
      </w:r>
      <w:r>
        <w:t xml:space="preserve"> (Fiscalía General del Estado, nota de 2-3-2022)</w:t>
      </w:r>
      <w:r>
        <w:br/>
      </w:r>
      <w:r>
        <w:rPr>
          <w:b/>
        </w:rPr>
        <w:t>leída en su fuente · Fiscalía General del Estado, nota de 2-3-2022</w:t>
      </w:r>
      <w:r>
        <w:br/>
      </w:r>
      <w:r>
        <w:rPr>
          <w:b/>
        </w:rPr>
        <w:t>Archivo leído:</w:t>
      </w:r>
      <w:r>
        <w:t xml:space="preserve"> 15.00_FTS_documento_2022-03-02_copia_ElPais.pdf (c7b\15.00_FTS_documento_2022-03-02_copia_ElPais.pdf) · contraste del archivo de pasajes: ✔</w:t>
      </w:r>
      <w:r>
        <w:br/>
      </w:r>
      <w:r>
        <w:rPr>
          <w:b/>
        </w:rPr>
        <w:t>Lugar:</w:t>
      </w:r>
      <w:r>
        <w:t xml:space="preserve"> PDF 1</w:t>
      </w:r>
      <w:r>
        <w:br/>
      </w:r>
      <w:r>
        <w:rPr>
          <w:b/>
        </w:rPr>
        <w:t>Dirección:</w:t>
      </w:r>
      <w:r>
        <w:t xml:space="preserve"> </w:t>
      </w:r>
      <w:r>
        <w:t>https://as00.epimg.net/descargables/2022/03/02/48d3c16834fe28e7fd281f2e86e3e2fe.pdf</w:t>
      </w:r>
      <w:r>
        <w:br/>
      </w:r>
      <w:r>
        <w:rPr>
          <w:b/>
        </w:rPr>
        <w:t>Tal como está en la fuente:</w:t>
      </w:r>
      <w:r>
        <w:t xml:space="preserve"> La posible responsabilidad penal de los ejercicios 2008 a 2011 estaría extinguida por la prescripción del delito. No así la correspondiente al ejercicio de 2012 que, … hasta el 19 de junio de 2014 S.M. D. Juan Carlos de Borbón estaba protegido por la inviolabilidad que el artículo 56.3 de la Constitución española reconoce al Jefe del Estado</w:t>
      </w:r>
      <w:r>
        <w:t>; en 2025, el Supremo inadmitió una querella con el mismo límite</w:t>
      </w:r>
      <w:r>
        <w:t xml:space="preserve"> (auto del Tribunal Supremo de 24-4-2025)</w:t>
      </w:r>
      <w:r>
        <w:t xml:space="preserve">. Ningún tribunal ha examinado nada anterior a esa fecha. </w:t>
      </w:r>
      <w:r>
        <w:t>[15.00-7.1 a 7.3]</w:t>
      </w:r>
    </w:p>
    <w:p>
      <w:pPr>
        <w:spacing w:after="60"/>
        <w:ind w:left="510" w:hanging="397"/>
      </w:pPr>
      <w:r>
        <w:rPr>
          <w:b w:val="0"/>
        </w:rPr>
        <w:t xml:space="preserve">7. </w:t>
      </w:r>
      <w:r>
        <w:rPr>
          <w:b/>
        </w:rPr>
        <w:t>La transparencia de la Corona.</w:t>
      </w:r>
      <w:r>
        <w:t xml:space="preserve"> Las reglas de la Casa del Rey las fija un real decreto propio: el de 2022 obliga a su personal de alta dirección a presentar «una declaración de bienes y derechos patrimoniales» y añade la publicidad a su contratación</w:t>
      </w:r>
      <w:r>
        <w:t xml:space="preserve"> (Real Decreto 297/2022)</w:t>
      </w:r>
      <w:r>
        <w:t xml:space="preserve">. No una ley. </w:t>
      </w:r>
      <w:r>
        <w:t>[15.00-8.1 a 8.3]</w:t>
      </w:r>
    </w:p>
    <w:p>
      <w:pPr>
        <w:spacing w:after="60"/>
        <w:ind w:left="510" w:hanging="397"/>
      </w:pPr>
      <w:r>
        <w:rPr>
          <w:b w:val="0"/>
        </w:rPr>
        <w:t xml:space="preserve">8. </w:t>
      </w:r>
      <w:r>
        <w:rPr>
          <w:b/>
        </w:rPr>
        <w:t>La crítica al Jefe del Estado.</w:t>
      </w:r>
      <w:r>
        <w:t xml:space="preserve"> La Constitución protege «expresar y difundir libremente los pensamientos, ideas y opiniones» (art. 20.1). El Tribunal Europeo de Derechos Humanos condenó a España por castigar a dos personas que quemaron una fotografía de los Reyes: «no se trataba de un ataque personal dirigido contra el rey de España […] sino de una crítica a lo que el Rey representa, como Jefe y símbolo del aparato estatal»</w:t>
      </w:r>
      <w:r>
        <w:t xml:space="preserve"> (TEDH, Stern Taulats y Roura Capellera c. España, 13-3-2018, traducción del Ministerio de Justicia)</w:t>
      </w:r>
      <w:r>
        <w:br/>
      </w:r>
      <w:r>
        <w:rPr>
          <w:b/>
        </w:rPr>
        <w:t>leída en su fuente · TEDH, Stern Taulats y Roura Capellera c. España, 13-3-2018, traducción del Ministerio de J</w:t>
      </w:r>
      <w:r>
        <w:br/>
      </w:r>
      <w:r>
        <w:rPr>
          <w:b/>
        </w:rPr>
        <w:t>Archivo leído:</w:t>
      </w:r>
      <w:r>
        <w:t xml:space="preserve"> 15.00_TEDH_Stern_Taulats_Roura_Capellera_c_Espana_13-03-2018_traduccion_BMJ_MJusticia.pdf (c7a\15.00_TEDH_Stern_Taulats_Roura_Capellera_c_Espana_13-03-2018_traduccion_BMJ_MJusticia.pdf) · contraste del archivo de pasajes: ✔</w:t>
      </w:r>
      <w:r>
        <w:br/>
      </w:r>
      <w:r>
        <w:rPr>
          <w:b/>
        </w:rPr>
        <w:t>Lugar:</w:t>
      </w:r>
      <w:r>
        <w:t xml:space="preserve"> § 36 (p. 9)</w:t>
      </w:r>
      <w:r>
        <w:br/>
      </w:r>
      <w:r>
        <w:rPr>
          <w:b/>
        </w:rPr>
        <w:t>Dirección:</w:t>
      </w:r>
      <w:r>
        <w:t xml:space="preserve"> </w:t>
      </w:r>
      <w:r>
        <w:t>https://revistas.mjusticia.gob.es/index.php/BMJ/article/download/6173/6111/5994</w:t>
      </w:r>
      <w:r>
        <w:br/>
      </w:r>
      <w:r>
        <w:rPr>
          <w:b/>
        </w:rPr>
        <w:t>Tal como está en la fuente:</w:t>
      </w:r>
      <w:r>
        <w:t xml:space="preserve"> no se trataba de un ataque personal dirigido contra el rey de España, que tuviera como objeto menospreciar y vilipendiar a la persona de este último, sino de una crítica a lo que el Rey representa, como Jefe y símbolo del aparato estatal y de las fuerzas que [...]</w:t>
      </w:r>
      <w:r>
        <w:t xml:space="preserve">. </w:t>
      </w:r>
      <w:r>
        <w:t>[15.00-9.1 a 9.3]</w:t>
      </w:r>
    </w:p>
    <w:p>
      <w:pPr>
        <w:spacing w:after="60"/>
        <w:ind w:left="510" w:hanging="397"/>
      </w:pPr>
      <w:r>
        <w:rPr>
          <w:b w:val="0"/>
        </w:rPr>
        <w:t xml:space="preserve">9. </w:t>
      </w:r>
      <w:r>
        <w:rPr>
          <w:b/>
        </w:rPr>
        <w:t>El confinamiento.</w:t>
      </w:r>
      <w:r>
        <w:t xml:space="preserve"> El estado de alarma «no permite la suspensión de ningún derecho fundamental (art. 55.1 CE contrario sensu)». Y el Constitucional concluyó que prohibir circular a todas las personas, por cualquier sitio y en cualquier momento, salvo excepciones, «supone un vaciamiento de hecho o, si se quiere, una suspensión del derecho»</w:t>
      </w:r>
      <w:r>
        <w:t xml:space="preserve"> (STC 148/2021)</w:t>
      </w:r>
      <w:r>
        <w:br/>
      </w:r>
      <w:r>
        <w:rPr>
          <w:b/>
        </w:rPr>
        <w:t>leída en su fuente · STC 148/2021</w:t>
      </w:r>
      <w:r>
        <w:br/>
      </w:r>
      <w:r>
        <w:rPr>
          <w:b/>
        </w:rPr>
        <w:t>Archivo leído:</w:t>
      </w:r>
      <w:r>
        <w:t xml:space="preserve"> 15.00_BOE-A-2021-13032_STC_148-2021.html (c7a\15.00_BOE-A-2021-13032_STC_148-2021.html) · contraste del archivo de pasajes: ✔</w:t>
      </w:r>
      <w:r>
        <w:br/>
      </w:r>
      <w:r>
        <w:rPr>
          <w:b/>
        </w:rPr>
        <w:t>Lugar:</w:t>
      </w:r>
      <w:r>
        <w:t xml:space="preserve"> FJ 5, citando la STC 83/2016, FJ 8</w:t>
      </w:r>
      <w:r>
        <w:br/>
      </w:r>
      <w:r>
        <w:rPr>
          <w:b/>
        </w:rPr>
        <w:t>Dirección:</w:t>
      </w:r>
      <w:r>
        <w:t xml:space="preserve"> </w:t>
      </w:r>
      <w:r>
        <w:t>https://www.boe.es/buscar/doc.php?id=BOE-A-2021-13032</w:t>
      </w:r>
      <w:r>
        <w:br/>
      </w:r>
      <w:r>
        <w:rPr>
          <w:b/>
        </w:rPr>
        <w:t>Tal como está en la fuente:</w:t>
      </w:r>
      <w:r>
        <w:t xml:space="preserve"> una norma que prohíbe circular a todas las personas, por cualquier sitio y en cualquier momento [...] supone un vaciamiento de hecho o, si se quiere, una suspensión del derecho, proscritos como se ha reiterado ya en el estado de alarma</w:t>
      </w:r>
      <w:r>
        <w:t>. Del segundo estado de alarma anuló, entre otros, la delegación en las autoridades autonómicas</w:t>
      </w:r>
      <w:r>
        <w:t xml:space="preserve"> (STC 183/2021)</w:t>
      </w:r>
      <w:r>
        <w:t xml:space="preserve">. </w:t>
      </w:r>
      <w:r>
        <w:t>[15.00-10.1 a 10.3]</w:t>
      </w:r>
    </w:p>
    <w:p>
      <w:pPr>
        <w:spacing w:after="60"/>
        <w:ind w:left="510" w:hanging="397"/>
      </w:pPr>
      <w:r>
        <w:rPr>
          <w:b w:val="0"/>
        </w:rPr>
        <w:t xml:space="preserve">10. </w:t>
      </w:r>
      <w:r>
        <w:rPr>
          <w:b/>
        </w:rPr>
        <w:t>Los tributos anulados.</w:t>
      </w:r>
      <w:r>
        <w:t xml:space="preserve"> Ya se vio: la amnistía fiscal y la plusvalía se anularon, y lo pagado y firme no se devolvió (</w:t>
      </w:r>
      <w:r>
        <w:t>5.1</w:t>
      </w:r>
      <w:r>
        <w:t>, n.º 9). Además de lo firme, quedaron consolidadas las liquidaciones no impugnadas y las autoliquidaciones sin rectificación pedida a la fecha de la sentencia</w:t>
      </w:r>
      <w:r>
        <w:t xml:space="preserve"> (STC 182/2021, FJ 6)</w:t>
      </w:r>
      <w:r>
        <w:t xml:space="preserve">. </w:t>
      </w:r>
      <w:r>
        <w:t>[15.00-11.1 a 11.3]</w:t>
      </w:r>
    </w:p>
    <w:p>
      <w:pPr>
        <w:spacing w:after="60"/>
        <w:ind w:left="510" w:hanging="397"/>
      </w:pPr>
      <w:r>
        <w:rPr>
          <w:b w:val="0"/>
        </w:rPr>
        <w:t xml:space="preserve">11. </w:t>
      </w:r>
      <w:r>
        <w:rPr>
          <w:b/>
        </w:rPr>
        <w:t>La Administración.</w:t>
      </w:r>
      <w:r>
        <w:t xml:space="preserve"> La Administración «sirve con objetividad los intereses generales»</w:t>
      </w:r>
      <w:r>
        <w:t xml:space="preserve"> (Constitución, art. 103.1)</w:t>
      </w:r>
      <w:r>
        <w:br/>
      </w:r>
      <w:r>
        <w:rPr>
          <w:b/>
        </w:rPr>
        <w:t>leída en su fuente · Constitución, art. 103.1</w:t>
      </w:r>
      <w:r>
        <w:br/>
      </w:r>
      <w:r>
        <w:rPr>
          <w:b/>
        </w:rPr>
        <w:t>Archivo leído:</w:t>
      </w:r>
      <w:r>
        <w:t xml:space="preserve"> c6 (ant\c1\ce.html) · contraste del archivo de pasajes: ✔</w:t>
      </w:r>
      <w:r>
        <w:br/>
      </w:r>
      <w:r>
        <w:rPr>
          <w:b/>
        </w:rPr>
        <w:t>Tal como está en la fuente:</w:t>
      </w:r>
      <w:r>
        <w:t xml:space="preserve"> La Administración Pública sirve con objetividad los intereses generales</w:t>
      </w:r>
      <w:r>
        <w:t>. El Tribunal de Cuentas fiscalizó la contratación menor en 2026</w:t>
      </w:r>
      <w:r>
        <w:t xml:space="preserve"> (Informe n.º 1.670, aprobado el 26-2-2026)</w:t>
      </w:r>
      <w:r>
        <w:t>, y sobre la Cuenta General de 2024 advirtió que la Seguridad Social tiene un patrimonio neto negativo de 106.138,7 millones y que el resultado presupuestario consolidado está «sobrevalorado en 4.090,3 millones»</w:t>
      </w:r>
      <w:r>
        <w:t xml:space="preserve"> (Tribunal de Cuentas, Declaración sobre la Cuenta General del Estado de 2024)</w:t>
      </w:r>
      <w:r>
        <w:br/>
      </w:r>
      <w:r>
        <w:rPr>
          <w:b/>
        </w:rPr>
        <w:t>pasaje guardado</w:t>
      </w:r>
      <w:r>
        <w:br/>
      </w:r>
      <w:r>
        <w:rPr>
          <w:b/>
        </w:rPr>
        <w:t>Archivo leído:</w:t>
      </w:r>
      <w:r>
        <w:t xml:space="preserve"> …pdf.txt) (c5\tcu_declaracion_cge2024_n1677.pdf) · contraste del archivo de pasajes: ✔</w:t>
      </w:r>
      <w:r>
        <w:br/>
      </w:r>
      <w:r>
        <w:rPr>
          <w:b/>
        </w:rPr>
        <w:t>Lugar:</w:t>
      </w:r>
      <w:r>
        <w:t xml:space="preserve"> (a) PDF 51</w:t>
      </w:r>
      <w:r>
        <w:br/>
      </w:r>
      <w:r>
        <w:rPr>
          <w:b/>
        </w:rPr>
        <w:t>Tal como está en la fuente:</w:t>
      </w:r>
      <w:r>
        <w:t xml:space="preserve"> 2.4. El resultado presupuestario consolidado está sobrevalorado en 4.090,3 millones de euros</w:t>
      </w:r>
      <w:r>
        <w:t xml:space="preserve">. </w:t>
      </w:r>
      <w:r>
        <w:t>[15.00-12.1 a 12.3]</w:t>
      </w:r>
    </w:p>
    <w:p>
      <w:pPr>
        <w:spacing w:after="60"/>
        <w:ind w:left="510" w:hanging="397"/>
      </w:pPr>
      <w:r>
        <w:rPr>
          <w:b w:val="0"/>
        </w:rPr>
        <w:t xml:space="preserve">12. </w:t>
      </w:r>
      <w:r>
        <w:rPr>
          <w:b/>
        </w:rPr>
        <w:t>Los territorios.</w:t>
      </w:r>
      <w:r>
        <w:t xml:space="preserve"> «Las diferencias entre los Estatutos de las distintas Comunidades Autónomas no podrán implicar, en ningún caso, privilegios económicos o sociales»</w:t>
      </w:r>
      <w:r>
        <w:t xml:space="preserve"> (Constitución, art. 138.2)</w:t>
      </w:r>
      <w:r>
        <w:br/>
      </w:r>
      <w:r>
        <w:rPr>
          <w:b/>
        </w:rPr>
        <w:t>leída en su fuente · Constitución, art. 138.2</w:t>
      </w:r>
      <w:r>
        <w:br/>
      </w:r>
      <w:r>
        <w:rPr>
          <w:b/>
        </w:rPr>
        <w:t>Archivo leído:</w:t>
      </w:r>
      <w:r>
        <w:t xml:space="preserve"> ce.html (ant\c1\ce.html) · contraste del archivo de pasajes: ✔</w:t>
      </w:r>
      <w:r>
        <w:br/>
      </w:r>
      <w:r>
        <w:rPr>
          <w:b/>
        </w:rPr>
        <w:t>Lugar:</w:t>
      </w:r>
      <w:r>
        <w:t xml:space="preserve"> Constitución, art. 138.2</w:t>
      </w:r>
      <w:r>
        <w:br/>
      </w:r>
      <w:r>
        <w:rPr>
          <w:b/>
        </w:rPr>
        <w:t>Tal como está en la fuente:</w:t>
      </w:r>
      <w:r>
        <w:t xml:space="preserve"> Las diferencias entre los Estatutos de las distintas Comunidades Autónomas no podrán implicar, en ningún caso, privilegios económicos o sociales</w:t>
      </w:r>
      <w:r>
        <w:t>. La ley de financiación regula solo las comunidades «de régimen común»</w:t>
      </w:r>
      <w:r>
        <w:t xml:space="preserve"> (Ley 22/2009, art. 1)</w:t>
      </w:r>
      <w:r>
        <w:t xml:space="preserve">; el País Vasco y Navarra tienen su Concierto y su Convenio (Leyes 12/2002 y 28/1990). </w:t>
      </w:r>
      <w:r>
        <w:t>[15.00-13.1 a 13.3]</w:t>
      </w:r>
    </w:p>
    <w:p>
      <w:pPr>
        <w:spacing w:after="60"/>
        <w:ind w:left="510" w:hanging="397"/>
      </w:pPr>
      <w:r>
        <w:rPr>
          <w:b w:val="0"/>
        </w:rPr>
        <w:t xml:space="preserve">13. </w:t>
      </w:r>
      <w:r>
        <w:rPr>
          <w:b/>
        </w:rPr>
        <w:t>La juventud.</w:t>
      </w:r>
      <w:r>
        <w:t xml:space="preserve"> Los poderes públicos «promoverán las condiciones para la participación libre y eficaz de la juventud» (art. 48). «Solo el 14,5 % de la juventud estaba emancipada», «el peor dato de emancipación desde que existen registros»; la edad media de emancipación es de 30,2 años, y alquilar en solitario supone «el 98,7 % del salario de una persona joven»</w:t>
      </w:r>
      <w:r>
        <w:t xml:space="preserve"> (Consejo de la Juventud de España, Observatorio de Emancipación, 2025)</w:t>
      </w:r>
      <w:r>
        <w:br/>
      </w:r>
      <w:r>
        <w:rPr>
          <w:b/>
        </w:rPr>
        <w:t>leída en su fuente · Consejo de la Juventud de España, Observatorio de Emancipación, 2025</w:t>
      </w:r>
      <w:r>
        <w:br/>
      </w:r>
      <w:r>
        <w:rPr>
          <w:b/>
        </w:rPr>
        <w:t>Archivo leído:</w:t>
      </w:r>
      <w:r>
        <w:t xml:space="preserve"> 15.00_CJE_Observatorio_Emancipacion_2025_balance_general.pdf (c7b\15.00_CJE_Observatorio_Emancipacion_2025_balance_general.pdf) · contraste del archivo de pasajes: ✔</w:t>
      </w:r>
      <w:r>
        <w:br/>
      </w:r>
      <w:r>
        <w:rPr>
          <w:b/>
        </w:rPr>
        <w:t>Lugar:</w:t>
      </w:r>
      <w:r>
        <w:t xml:space="preserve"> Consejo de la Juventud de España, Observatorio de Emancipación, 2025</w:t>
      </w:r>
      <w:r>
        <w:br/>
      </w:r>
      <w:r>
        <w:rPr>
          <w:b/>
        </w:rPr>
        <w:t>Tal como está en la fuente:</w:t>
      </w:r>
      <w:r>
        <w:t xml:space="preserve"> el 98,7 % del salario de una persona joven</w:t>
      </w:r>
      <w:r>
        <w:t xml:space="preserve">. </w:t>
      </w:r>
      <w:r>
        <w:t>[15.00-14.1 a 14.3]</w:t>
      </w:r>
    </w:p>
    <w:p>
      <w:pPr>
        <w:spacing w:after="60"/>
        <w:ind w:left="510" w:hanging="397"/>
      </w:pPr>
      <w:r>
        <w:rPr>
          <w:b w:val="0"/>
        </w:rPr>
        <w:t xml:space="preserve">14. </w:t>
      </w:r>
      <w:r>
        <w:rPr>
          <w:b/>
        </w:rPr>
        <w:t>La reforma de la Constitución.</w:t>
      </w:r>
      <w:r>
        <w:t xml:space="preserve"> En casi cuarenta y ocho años se ha reformado cuatro veces: el art. 13.2 en 1992, el 135 en 2011, el 49 en 2024 y el 69.3 en 2026</w:t>
      </w:r>
      <w:r>
        <w:t xml:space="preserve"> (BOE, reformas de 27-8-1992, 27-9-2011, 15-2-2024 y 19-5-2026)</w:t>
      </w:r>
      <w:r>
        <w:t>. De la de 2024 dijo el Gobierno que era «la tercera desde la entrada en vigor de la Constitución, pero la primera de contenido social»</w:t>
      </w:r>
      <w:r>
        <w:t xml:space="preserve"> (La Moncloa, nota de 18-1-2024)</w:t>
      </w:r>
      <w:r>
        <w:br/>
      </w:r>
      <w:r>
        <w:rPr>
          <w:b/>
        </w:rPr>
        <w:t>leída en su fuente · La Moncloa, nota de 18-1-2024</w:t>
      </w:r>
      <w:r>
        <w:br/>
      </w:r>
      <w:r>
        <w:rPr>
          <w:b/>
        </w:rPr>
        <w:t>Archivo leído:</w:t>
      </w:r>
      <w:r>
        <w:t xml:space="preserve"> 15.00_LaMoncloa_nota_2024-01-18_Congreso_aprueba_reforma_art49.html (c7b\15.00_LaMoncloa_nota_2024-01-18_Congreso_aprueba_reforma_art49.html) · contraste del archivo de pasajes: ✔</w:t>
      </w:r>
      <w:r>
        <w:br/>
      </w:r>
      <w:r>
        <w:rPr>
          <w:b/>
        </w:rPr>
        <w:t>Dirección:</w:t>
      </w:r>
      <w:r>
        <w:t xml:space="preserve"> </w:t>
      </w:r>
      <w:r>
        <w:t>https://www.lamoncloa.gob.es/serviciosdeprensa/notasprensa/presidencia-justicia-relaciones-cortes/Paginas/2024/180124-congreso-aprobada-reforma-constitucion.aspx</w:t>
      </w:r>
      <w:r>
        <w:br/>
      </w:r>
      <w:r>
        <w:rPr>
          <w:b/>
        </w:rPr>
        <w:t>Tal como está en la fuente:</w:t>
      </w:r>
      <w:r>
        <w:t xml:space="preserve"> Esta modificación es la tercera desde la entrada en vigor de la Constitución, pero la primera de contenido social.</w:t>
      </w:r>
      <w:r>
        <w:t xml:space="preserve">. </w:t>
      </w:r>
      <w:r>
        <w:t>[15.00-15.1 a 15.3]</w:t>
      </w:r>
    </w:p>
    <w:p>
      <w:pPr>
        <w:spacing w:after="60"/>
        <w:ind w:left="510" w:hanging="397"/>
      </w:pPr>
      <w:r>
        <w:rPr>
          <w:b w:val="0"/>
        </w:rPr>
        <w:t xml:space="preserve">15. </w:t>
      </w:r>
      <w:r>
        <w:rPr>
          <w:b/>
        </w:rPr>
        <w:t>El freno que funcionó.</w:t>
      </w:r>
      <w:r>
        <w:t xml:space="preserve"> La Sala de lo Penal del Supremo planteó una cuestión de inconstitucionalidad contra la ley de amnistía de 2024. El Constitucional declaró inconstitucional su art. 1.1 «con el alcance y los efectos» que fija la sentencia, y nulo un párrafo del 1.3, y desestimó el resto</w:t>
      </w:r>
      <w:r>
        <w:t xml:space="preserve"> (STC 137/2025)</w:t>
      </w:r>
      <w:r>
        <w:t>; y estimó en parte la cuestión del Supremo «en los términos ya establecidos» en esa sentencia</w:t>
      </w:r>
      <w:r>
        <w:t xml:space="preserve"> (STC 164/2025)</w:t>
      </w:r>
      <w:r>
        <w:t xml:space="preserve">. Aquí, el contrapeso funcionó. </w:t>
      </w:r>
      <w:r>
        <w:t>[15.00-16.1 a 16.3]</w:t>
      </w:r>
    </w:p>
    <w:p>
      <w:r>
        <w:rPr>
          <w:b/>
        </w:rPr>
        <w:t>Lo que dibujan juntos.</w:t>
      </w:r>
      <w:r>
        <w:t xml:space="preserve"> Ninguno de los catorce primeros, leído por separado, prueba más de lo que dice. Leídos juntos, dibujan algo que ninguno explica solo: el poder que decide su propio sueldo no encuentra freno; el órgano que debe frenarlo tarda años en renovarse bajo el reparto de los mismos partidos; y cuando el ciudadano busca ese freno por la vía que la Constitución le da, se le admite una vez de cada ciento cincuenta, mientras el pago a quien presta al Estado tiene, por escrito, prioridad absoluta. Y el decimoquinto rompe el patrón: el sistema todavía se frena a sí mismo alguna vez. No es un mecanismo vaciado del todo. </w:t>
      </w:r>
      <w:r>
        <w:t>[15.00-18.1 y 18.2]</w:t>
      </w:r>
    </w:p>
    <w:p>
      <w:r>
        <w:rPr>
          <w:b/>
        </w:rPr>
        <w:t>Lectura del autor:</w:t>
      </w:r>
      <w:r>
        <w:t xml:space="preserve"> la jurista Kim Lane Scheppele llamó </w:t>
      </w:r>
      <w:r>
        <w:rPr>
          <w:i/>
        </w:rPr>
        <w:t>Frankenstate</w:t>
      </w:r>
      <w:r>
        <w:t xml:space="preserve"> (el Estado de Frankenstein) a lo que se construye con piezas legales sueltas, cada una normal en su contexto, que unidas forman un cuerpo monstruoso</w:t>
      </w:r>
      <w:r>
        <w:t xml:space="preserve"> (Scheppele, «The Rule of Law and the Frankenstate» (El Estado de derecho y el Estado de Frankenstein), Governance, 2013; la descripción, por fuente secundaria)</w:t>
      </w:r>
      <w:r>
        <w:t xml:space="preserve">. No hace falta un monstruo diseñado en la sombra: basta con que cada pieza, una a una, parezca razonable, y con que nadie, en ninguna sala, se siente a mirarlas todas juntas. </w:t>
      </w:r>
      <w:r>
        <w:t>[15.00-18.3 y 18.4]</w:t>
      </w:r>
    </w:p>
    <w:p>
      <w:pPr>
        <w:pStyle w:val="Heading2"/>
      </w:pPr>
      <w:r>
        <w:t>7.3 La Constitución y los hechos</w:t>
      </w:r>
    </w:p>
    <w:p>
      <w:pPr>
        <w:pBdr>
          <w:left w:val="single" w:sz="24" w:space="6" w:color="E2DED6"/>
        </w:pBdr>
        <w:shd w:val="clear" w:color="auto" w:fill="F1EEE8"/>
        <w:spacing w:before="80" w:after="160"/>
        <w:ind w:left="142" w:right="142"/>
      </w:pPr>
      <w:r>
        <w:rPr>
          <w:b/>
        </w:rPr>
        <w:t>La idea: once casos más con el mismo método. Dos rompen el patrón, y uno, leído en su original, no es lo que parecía.</w:t>
      </w:r>
    </w:p>
    <w:p>
      <w:pPr>
        <w:spacing w:after="60"/>
        <w:ind w:left="510" w:hanging="397"/>
      </w:pPr>
      <w:r>
        <w:rPr>
          <w:b w:val="0"/>
        </w:rPr>
        <w:t xml:space="preserve">1. </w:t>
      </w:r>
      <w:r>
        <w:rPr>
          <w:b/>
        </w:rPr>
        <w:t>La reunión ante el Parlamento.</w:t>
      </w:r>
      <w:r>
        <w:t xml:space="preserve"> «Se reconoce el derecho de reunión pacífica y sin armas»</w:t>
      </w:r>
      <w:r>
        <w:t xml:space="preserve"> (Constitución, art. 21.1)</w:t>
      </w:r>
      <w:r>
        <w:br/>
      </w:r>
      <w:r>
        <w:rPr>
          <w:b/>
        </w:rPr>
        <w:t>leída en su fuente · Constitución, art. 21.1</w:t>
      </w:r>
      <w:r>
        <w:br/>
      </w:r>
      <w:r>
        <w:rPr>
          <w:b/>
        </w:rPr>
        <w:t>Archivo leído:</w:t>
      </w:r>
      <w:r>
        <w:t xml:space="preserve"> ce.html (ant\c1\ce.html) · contraste del archivo de pasajes: ✔</w:t>
      </w:r>
      <w:r>
        <w:br/>
      </w:r>
      <w:r>
        <w:rPr>
          <w:b/>
        </w:rPr>
        <w:t>Lugar:</w:t>
      </w:r>
      <w:r>
        <w:t xml:space="preserve"> Constitución, art. 21.1</w:t>
      </w:r>
      <w:r>
        <w:br/>
      </w:r>
      <w:r>
        <w:rPr>
          <w:b/>
        </w:rPr>
        <w:t>Tal como está en la fuente:</w:t>
      </w:r>
      <w:r>
        <w:t xml:space="preserve"> Se reconoce el derecho de reunión pacífica y sin armas</w:t>
      </w:r>
      <w:r>
        <w:t>. La ley de seguridad ciudadana sanciona como infracción grave, con multa de 601 a 30.000 euros, «la perturbación grave de la seguridad ciudadana que se produzca con ocasión de reuniones o manifestaciones frente a las sedes del Congreso de los Diputados, el Senado y las asambleas legislativas de las comunidades autónomas, aunque no estuvieran reunidas»</w:t>
      </w:r>
      <w:r>
        <w:t xml:space="preserve"> (Ley Orgánica 4/2015, arts. 36.2 y 39.1)</w:t>
      </w:r>
      <w:r>
        <w:br/>
      </w:r>
      <w:r>
        <w:rPr>
          <w:b/>
        </w:rPr>
        <w:t>leída en su fuente · Ley Orgánica 4/2015, arts. 36.2 y 39.1</w:t>
      </w:r>
      <w:r>
        <w:br/>
      </w:r>
      <w:r>
        <w:rPr>
          <w:b/>
        </w:rPr>
        <w:t>Archivo leído:</w:t>
      </w:r>
      <w:r>
        <w:t xml:space="preserve"> 16.00_BOE-A-2015-3442_LO_4-2015_seguridad_ciudadana_consolidada.html; 16.00_STC_172-2020_HJ.html (c7a\16.00_BOE-A-2015-3442_LO_4-2015_seguridad_ciudadana_consolidada.html; c7a\16.00_STC_172-2020_HJ.html) · contraste del archivo de pasajes: ✔</w:t>
      </w:r>
      <w:r>
        <w:br/>
      </w:r>
      <w:r>
        <w:rPr>
          <w:b/>
        </w:rPr>
        <w:t>Lugar:</w:t>
      </w:r>
      <w:r>
        <w:t xml:space="preserve"> Art. 36.2</w:t>
      </w:r>
      <w:r>
        <w:br/>
      </w:r>
      <w:r>
        <w:rPr>
          <w:b/>
        </w:rPr>
        <w:t>Dirección:</w:t>
      </w:r>
      <w:r>
        <w:t xml:space="preserve"> </w:t>
      </w:r>
      <w:r>
        <w:t>https://www.boe.es/buscar/act.php?id=BOE-A-2015-3442</w:t>
      </w:r>
      <w:r>
        <w:t xml:space="preserve"> ; </w:t>
      </w:r>
      <w:r>
        <w:t>https://hj.tribunalconstitucional.es/es/Resolucion/Show/26498</w:t>
      </w:r>
      <w:r>
        <w:br/>
      </w:r>
      <w:r>
        <w:rPr>
          <w:b/>
        </w:rPr>
        <w:t>Tal como está en la fuente:</w:t>
      </w:r>
      <w:r>
        <w:t xml:space="preserve"> La perturbación grave de la seguridad ciudadana que se produzca con ocasión de reuniones o manifestaciones frente a las sedes del Congreso [...] aunque no estuvieran reunidas, cuando no constituya infracción penal.</w:t>
      </w:r>
      <w:r>
        <w:t>. Reunirse sin comunicarlo es una infracción leve, de 100 a 600 euros</w:t>
      </w:r>
      <w:r>
        <w:t xml:space="preserve"> (art. 37.1)</w:t>
      </w:r>
      <w:r>
        <w:t>. El Constitucional anuló solo el inciso «no autorizado» del art. 36.23 y desestimó el resto del recurso</w:t>
      </w:r>
      <w:r>
        <w:t xml:space="preserve"> (STC 172/2020)</w:t>
      </w:r>
      <w:r>
        <w:t xml:space="preserve">. Leído en el original, este caso no muestra un incumplimiento: castiga la perturbación grave, no la protesta pacífica. </w:t>
      </w:r>
      <w:r>
        <w:t>[16.00-2.1 a 2.3; corregido al leer la ley]</w:t>
      </w:r>
    </w:p>
    <w:p>
      <w:pPr>
        <w:spacing w:after="60"/>
        <w:ind w:left="510" w:hanging="397"/>
      </w:pPr>
      <w:r>
        <w:rPr>
          <w:b w:val="0"/>
        </w:rPr>
        <w:t xml:space="preserve">2. </w:t>
      </w:r>
      <w:r>
        <w:rPr>
          <w:b/>
        </w:rPr>
        <w:t>La lengua, en la ley.</w:t>
      </w:r>
      <w:r>
        <w:t xml:space="preserve"> «El castellano es la lengua española oficial del Estado. Todos los españoles tienen el deber de conocerla y el derecho a usarla» (art. 3.1). La ley de 2013 decía: «El castellano es lengua vehicular de la enseñanza en todo el Estado»</w:t>
      </w:r>
      <w:r>
        <w:t xml:space="preserve"> (Ley Orgánica 8/2013)</w:t>
      </w:r>
      <w:r>
        <w:br/>
      </w:r>
      <w:r>
        <w:rPr>
          <w:b/>
        </w:rPr>
        <w:t>leída en su fuente · Ley Orgánica 8/2013</w:t>
      </w:r>
      <w:r>
        <w:br/>
      </w:r>
      <w:r>
        <w:rPr>
          <w:b/>
        </w:rPr>
        <w:t>Archivo leído:</w:t>
      </w:r>
      <w:r>
        <w:t xml:space="preserve"> 16.00_BOE-A-2020-17264_LO_3-2020_LOMLOE_original.html; 16.00_BOE-A-2013-12886_LO_8-2013_LOMCE_original.html; 16.00_STC_49-2023_LOMLOE_rec1828-2021_PP_HJ.html; 16.00_STC_34-2023_LOMLOE_rec1760-2021_Vox_HJ.html (c7a\16.00_BOE-A-2013-12886_LO_8-2013_LOMCE_original.html; c7a\16.00_STC_49-2023_LOMLOE_rec1828-2021_PP_HJ.html) · contraste del archivo de pasajes: ✔</w:t>
      </w:r>
      <w:r>
        <w:br/>
      </w:r>
      <w:r>
        <w:rPr>
          <w:b/>
        </w:rPr>
        <w:t>Lugar:</w:t>
      </w:r>
      <w:r>
        <w:t xml:space="preserve"> LOMCE, DA 38.ª.1</w:t>
      </w:r>
      <w:r>
        <w:br/>
      </w:r>
      <w:r>
        <w:rPr>
          <w:b/>
        </w:rPr>
        <w:t>Dirección:</w:t>
      </w:r>
      <w:r>
        <w:t xml:space="preserve"> </w:t>
      </w:r>
      <w:r>
        <w:t>https://www.boe.es/buscar/doc.php?id=BOE-A-2020-17264</w:t>
      </w:r>
      <w:r>
        <w:t xml:space="preserve"> ; </w:t>
      </w:r>
      <w:r>
        <w:t>https://www.boe.es/buscar/doc.php?id=BOE-A-2013-12886</w:t>
      </w:r>
      <w:r>
        <w:t xml:space="preserve"> ; </w:t>
      </w:r>
      <w:r>
        <w:t>https://hj.tribunalconstitucional.es/es/Resolucion/Show/29440</w:t>
      </w:r>
      <w:r>
        <w:t xml:space="preserve"> ; </w:t>
      </w:r>
      <w:r>
        <w:t>…/Show/29394</w:t>
      </w:r>
      <w:r>
        <w:br/>
      </w:r>
      <w:r>
        <w:rPr>
          <w:b/>
        </w:rPr>
        <w:t>Tal como está en la fuente:</w:t>
      </w:r>
      <w:r>
        <w:t xml:space="preserve"> El castellano es lengua vehicular de la enseñanza en todo el Estado</w:t>
      </w:r>
      <w:r>
        <w:t>; la de 2020 suprimió esa frase</w:t>
      </w:r>
      <w:r>
        <w:t xml:space="preserve"> (Ley Orgánica 3/2020)</w:t>
      </w:r>
      <w:r>
        <w:t>, y el Constitucional desestimó el recurso contra ella</w:t>
      </w:r>
      <w:r>
        <w:t xml:space="preserve"> (STC 49/2023)</w:t>
      </w:r>
      <w:r>
        <w:t xml:space="preserve">. </w:t>
      </w:r>
      <w:r>
        <w:t>[16.00-3.1 a 3.3]</w:t>
      </w:r>
    </w:p>
    <w:p>
      <w:pPr>
        <w:spacing w:after="60"/>
        <w:ind w:left="510" w:hanging="397"/>
      </w:pPr>
      <w:r>
        <w:rPr>
          <w:b w:val="0"/>
        </w:rPr>
        <w:t xml:space="preserve">3. </w:t>
      </w:r>
      <w:r>
        <w:rPr>
          <w:b/>
        </w:rPr>
        <w:t>La lengua, en la escuela.</w:t>
      </w:r>
      <w:r>
        <w:t xml:space="preserve"> En Cataluña, el Tribunal Superior fijó en 2020 un mínimo del 25 % de enseñanza en castellano en todo el sistema, y el Supremo inadmitió el recurso de la Generalitat</w:t>
      </w:r>
      <w:r>
        <w:t xml:space="preserve"> (nota del CGPJ, diciembre de 2020; providencia del Tribunal Supremo de 18-11-2021)</w:t>
      </w:r>
      <w:r>
        <w:t>. El Supremo ya había considerado razonable ese 25 % en 2015, en casos de familias concretas</w:t>
      </w:r>
      <w:r>
        <w:t xml:space="preserve"> (sentencias del Tribunal Supremo de 23 y 28 de abril de 2015)</w:t>
      </w:r>
      <w:r>
        <w:t>. La prueba del pleito fue una muestra: solo 5 de 184 centros impartían en castellano el 25 % de las materias</w:t>
      </w:r>
      <w:r>
        <w:t xml:space="preserve"> (sentencia del TSJ de Cataluña de 16-12-2020, fundamento tercero)</w:t>
      </w:r>
      <w:r>
        <w:t>; es la situación anterior a la sentencia. La sentencia es firme desde enero de 2022. En mayo, el Tribunal constató que la Generalitat «no había ejecutado la sentencia en el plazo voluntario»; tras un decreto ley y una ley catalanas de ese año, declaró que el modelo que imponen «bloquea la ejecución de la sentencia», planteó una cuestión de inconstitucionalidad y dejó el pleito «en suspenso»</w:t>
      </w:r>
      <w:r>
        <w:t xml:space="preserve"> (auto del TSJ de Cataluña de 28-7-2022)</w:t>
      </w:r>
      <w:r>
        <w:t xml:space="preserve">. A 6 de octubre de 2026, el Constitucional no la ha resuelto. </w:t>
      </w:r>
      <w:r>
        <w:t>[16.00-4.1 a 4.3; la sentencia y el auto, leídos en su original el 6-oct]</w:t>
      </w:r>
    </w:p>
    <w:p>
      <w:pPr>
        <w:spacing w:after="60"/>
        <w:ind w:left="510" w:hanging="397"/>
      </w:pPr>
      <w:r>
        <w:rPr>
          <w:b w:val="0"/>
        </w:rPr>
        <w:t xml:space="preserve">4. </w:t>
      </w:r>
      <w:r>
        <w:rPr>
          <w:b/>
        </w:rPr>
        <w:t>El matrimonio.</w:t>
      </w:r>
      <w:r>
        <w:t xml:space="preserve"> «El hombre y la mujer tienen derecho a contraer matrimonio con plena igualdad jurídica» (art. 32.1). El Constitucional desestimó el recurso contra la ley de 2005 que lo abrió a las parejas del mismo sexo: es «una opción no excluida por el constituyente»</w:t>
      </w:r>
      <w:r>
        <w:t xml:space="preserve"> (STC 198/2012, FJ 9)</w:t>
      </w:r>
      <w:r>
        <w:br/>
      </w:r>
      <w:r>
        <w:rPr>
          <w:b/>
        </w:rPr>
        <w:t>leída en su fuente · STC 198/2012, FJ 9</w:t>
      </w:r>
      <w:r>
        <w:br/>
      </w:r>
      <w:r>
        <w:rPr>
          <w:b/>
        </w:rPr>
        <w:t>Archivo leído:</w:t>
      </w:r>
      <w:r>
        <w:t xml:space="preserve"> 16.00_BOE-A-2012-14602_STC_198-2012.html (c7a\16.00_BOE-A-2012-14602_STC_198-2012.html) · contraste del archivo de pasajes: ✔</w:t>
      </w:r>
      <w:r>
        <w:br/>
      </w:r>
      <w:r>
        <w:rPr>
          <w:b/>
        </w:rPr>
        <w:t>Lugar:</w:t>
      </w:r>
      <w:r>
        <w:t xml:space="preserve"> La frase está en los antecedentes (antecedente 1, alegaciones de los recurrentes)</w:t>
      </w:r>
      <w:r>
        <w:br/>
      </w:r>
      <w:r>
        <w:rPr>
          <w:b/>
        </w:rPr>
        <w:t>Dirección:</w:t>
      </w:r>
      <w:r>
        <w:t xml:space="preserve"> </w:t>
      </w:r>
      <w:r>
        <w:t>https://www.boe.es/buscar/doc.php?id=BOE-A-2012-14602</w:t>
      </w:r>
      <w:r>
        <w:br/>
      </w:r>
      <w:r>
        <w:rPr>
          <w:b/>
        </w:rPr>
        <w:t>Tal como está en la fuente:</w:t>
      </w:r>
      <w:r>
        <w:t xml:space="preserve"> no cabe realizar reproche de inconstitucionalidad a la opción escogida por el legislador en este caso, dentro del margen de apreciación que la Constitución le reconoce, porque es una opción no excluida por el constituyente</w:t>
      </w:r>
      <w:r>
        <w:t xml:space="preserve">. Pasaron siete años entre el recurso y la sentencia. </w:t>
      </w:r>
      <w:r>
        <w:t>[16.00-5.1 a 5.3]</w:t>
      </w:r>
    </w:p>
    <w:p>
      <w:pPr>
        <w:spacing w:after="60"/>
        <w:ind w:left="510" w:hanging="397"/>
      </w:pPr>
      <w:r>
        <w:rPr>
          <w:b w:val="0"/>
        </w:rPr>
        <w:t xml:space="preserve">5. </w:t>
      </w:r>
      <w:r>
        <w:rPr>
          <w:b/>
        </w:rPr>
        <w:t>La prisión permanente revisable.</w:t>
      </w:r>
      <w:r>
        <w:t xml:space="preserve"> Las penas «estarán orientadas hacia la reeducación y reinserción social» (art. 25.2). El Constitucional la avaló en 2021, con un voto particular de tres magistrados, exigiendo que la pena ofrezca al condenado «una expectativa o esperanza realista, no meramente teórica, de alcanzar algún día la libertad»</w:t>
      </w:r>
      <w:r>
        <w:t xml:space="preserve"> (STC 169/2021, FJ 4)</w:t>
      </w:r>
      <w:r>
        <w:br/>
      </w:r>
      <w:r>
        <w:rPr>
          <w:b/>
        </w:rPr>
        <w:t>leída en su fuente · STC 169/2021, FJ 4</w:t>
      </w:r>
      <w:r>
        <w:br/>
      </w:r>
      <w:r>
        <w:rPr>
          <w:b/>
        </w:rPr>
        <w:t>Archivo leído:</w:t>
      </w:r>
      <w:r>
        <w:t xml:space="preserve"> 16.00_STC_169-2021_HJ.html; 16.00_TEDH_Kafkaris_c_Chypre_GC_12-02-2008_texto_frances_copia_Dalloz.pdf (c7a\16.00_STC_169-2021_HJ.html) · contraste del archivo de pasajes: ✔</w:t>
      </w:r>
      <w:r>
        <w:br/>
      </w:r>
      <w:r>
        <w:rPr>
          <w:b/>
        </w:rPr>
        <w:t>Lugar:</w:t>
      </w:r>
      <w:r>
        <w:t xml:space="preserve"> STC, FJ 4</w:t>
      </w:r>
      <w:r>
        <w:br/>
      </w:r>
      <w:r>
        <w:rPr>
          <w:b/>
        </w:rPr>
        <w:t>Dirección:</w:t>
      </w:r>
      <w:r>
        <w:t xml:space="preserve"> </w:t>
      </w:r>
      <w:r>
        <w:t>https://hj.tribunalconstitucional.es/es/Resolucion/Show/26820</w:t>
      </w:r>
      <w:r>
        <w:t xml:space="preserve"> ; </w:t>
      </w:r>
      <w:r>
        <w:t>https://actu.dalloz-etudiant.fr/fileadmin/actualites/pdfs/NOVEMBRE_2013/AFFAIRE_KAFKARIS_c._CHYPRE.pdf</w:t>
      </w:r>
      <w:r>
        <w:br/>
      </w:r>
      <w:r>
        <w:rPr>
          <w:b/>
        </w:rPr>
        <w:t>Tal como está en la fuente:</w:t>
      </w:r>
      <w:r>
        <w:t xml:space="preserve"> Adaptada esta doctrina a nuestra realidad jurídica, el test de humanidad exige comprobar [...] (ii) debe ofrecer al interno una expectativa o esperanza realista, no meramente teórica, de alcanzar algún día la libertad</w:t>
      </w:r>
      <w:r>
        <w:t>, adaptando la doctrina europea de la pena «reducible de derecho y de hecho»</w:t>
      </w:r>
      <w:r>
        <w:t xml:space="preserve"> [original: «de jure et de facto compressible»]</w:t>
      </w:r>
      <w:r>
        <w:t xml:space="preserve"> (TEDH, Kafkaris c. Chipre, 2008)</w:t>
      </w:r>
      <w:r>
        <w:br/>
      </w:r>
      <w:r>
        <w:rPr>
          <w:b/>
        </w:rPr>
        <w:t>leída en su fuente · TEDH, Kafkaris c. Chipre, 2008</w:t>
      </w:r>
      <w:r>
        <w:br/>
      </w:r>
      <w:r>
        <w:rPr>
          <w:b/>
        </w:rPr>
        <w:t>Archivo leído:</w:t>
      </w:r>
      <w:r>
        <w:t xml:space="preserve"> 16.00_STC_169-2021_HJ.html; 16.00_TEDH_Kafkaris_c_Chypre_GC_12-02-2008_texto_frances_copia_Dalloz.pdf (c5_grandes\diccionariodelal0000unse_q9u2.txt) · contraste del archivo de pasajes: ✔</w:t>
      </w:r>
      <w:r>
        <w:br/>
      </w:r>
      <w:r>
        <w:rPr>
          <w:b/>
        </w:rPr>
        <w:t>Lugar:</w:t>
      </w:r>
      <w:r>
        <w:t xml:space="preserve"> STC, FJ 4</w:t>
      </w:r>
      <w:r>
        <w:br/>
      </w:r>
      <w:r>
        <w:rPr>
          <w:b/>
        </w:rPr>
        <w:t>Dirección:</w:t>
      </w:r>
      <w:r>
        <w:t xml:space="preserve"> </w:t>
      </w:r>
      <w:r>
        <w:t>https://hj.tribunalconstitucional.es/es/Resolucion/Show/26820</w:t>
      </w:r>
      <w:r>
        <w:t xml:space="preserve"> ; </w:t>
      </w:r>
      <w:r>
        <w:t>https://actu.dalloz-etudiant.fr/fileadmin/actualites/pdfs/NOVEMBRE_2013/AFFAIRE_KAFKARIS_c._CHYPRE.pdf</w:t>
      </w:r>
      <w:r>
        <w:br/>
      </w:r>
      <w:r>
        <w:rPr>
          <w:b/>
        </w:rPr>
        <w:t>Tal como está en la fuente:</w:t>
      </w:r>
      <w:r>
        <w:t xml:space="preserve"> reducible de derecho y de hecho</w:t>
      </w:r>
      <w:r>
        <w:t>. Un estudio de 2023 se tituló «constitucionalidad declarada, inconstitucionalidad manifiesta»</w:t>
      </w:r>
      <w:r>
        <w:t xml:space="preserve"> (Gómez Garrido, Revista Jurídica de la Universidad Autónoma de Madrid, n.º 48, 2023; por el título)</w:t>
      </w:r>
      <w:r>
        <w:br/>
      </w:r>
      <w:r>
        <w:rPr>
          <w:b/>
        </w:rPr>
        <w:t>leída en su fuente · Gómez Garrido, Revista Jurídica de la Universidad Autónoma de Madrid, n.º 48, 2023; por el</w:t>
      </w:r>
      <w:r>
        <w:br/>
      </w:r>
      <w:r>
        <w:rPr>
          <w:b/>
        </w:rPr>
        <w:t>Archivo leído:</w:t>
      </w:r>
      <w:r>
        <w:t xml:space="preserve"> 16.00_Dialnet_ficha_RJUAM48_2023_Gomez_Garrido_PPR.html (c7b\16.00_Dialnet_ficha_RJUAM48_2023_Gomez_Garrido_PPR.html) · contraste del archivo de pasajes: ✔</w:t>
      </w:r>
      <w:r>
        <w:br/>
      </w:r>
      <w:r>
        <w:rPr>
          <w:b/>
        </w:rPr>
        <w:t>Lugar:</w:t>
      </w:r>
      <w:r>
        <w:t xml:space="preserve"> Título y localización</w:t>
      </w:r>
      <w:r>
        <w:br/>
      </w:r>
      <w:r>
        <w:rPr>
          <w:b/>
        </w:rPr>
        <w:t>Dirección:</w:t>
      </w:r>
      <w:r>
        <w:t xml:space="preserve"> </w:t>
      </w:r>
      <w:r>
        <w:t>https://dialnet.unirioja.es/servlet/articulo?codigo=9249353</w:t>
      </w:r>
      <w:r>
        <w:t xml:space="preserve"> (texto completo en </w:t>
      </w:r>
      <w:r>
        <w:t>https://revistas.uam.es/revistajuridica/article/view/18619</w:t>
      </w:r>
      <w:r>
        <w:t>)</w:t>
      </w:r>
      <w:r>
        <w:br/>
      </w:r>
      <w:r>
        <w:rPr>
          <w:b/>
        </w:rPr>
        <w:t>Tal como está en la fuente:</w:t>
      </w:r>
      <w:r>
        <w:t xml:space="preserve"> Prisión permanente revisable: constitucionalidad declarada, inconstitucionalidad manifiesta … Celia Gómez Garrido … Revista jurídica Universidad Autónoma de Madrid, ISSN 1575-720X, Nº. 48, 2023, págs. 87-104</w:t>
      </w:r>
      <w:r>
        <w:t xml:space="preserve">. </w:t>
      </w:r>
      <w:r>
        <w:t>[16.00-6.1 a 6.3]</w:t>
      </w:r>
    </w:p>
    <w:p>
      <w:pPr>
        <w:spacing w:after="60"/>
        <w:ind w:left="510" w:hanging="397"/>
      </w:pPr>
      <w:r>
        <w:rPr>
          <w:b w:val="0"/>
        </w:rPr>
        <w:t xml:space="preserve">6. </w:t>
      </w:r>
      <w:r>
        <w:rPr>
          <w:b/>
        </w:rPr>
        <w:t>El voto desde el exterior.</w:t>
      </w:r>
      <w:r>
        <w:t xml:space="preserve"> La propia ley que suprimió el voto rogado reconoce que, en las elecciones generales de 2011 a 2019, «menos del 10 por ciento» de los electores residentes fuera lo solicitaron (con la excepción de noviembre de 2019, el 10,61 %), cuando antes la participación oscilaba entre el 22,99 % y el 31,88 %</w:t>
      </w:r>
      <w:r>
        <w:t xml:space="preserve"> (Ley Orgánica 12/2022, preámbulo)</w:t>
      </w:r>
      <w:r>
        <w:t xml:space="preserve">. </w:t>
      </w:r>
      <w:r>
        <w:t>[16.00-7.1 a 7.3]</w:t>
      </w:r>
    </w:p>
    <w:p>
      <w:pPr>
        <w:spacing w:after="60"/>
        <w:ind w:left="510" w:hanging="397"/>
      </w:pPr>
      <w:r>
        <w:rPr>
          <w:b w:val="0"/>
        </w:rPr>
        <w:t xml:space="preserve">7. </w:t>
      </w:r>
      <w:r>
        <w:rPr>
          <w:b/>
        </w:rPr>
        <w:t>La soberanía.</w:t>
      </w:r>
      <w:r>
        <w:t xml:space="preserve"> El Constitucional declaró nulas las leyes catalanas de consultas y del referéndum de autodeterminación</w:t>
      </w:r>
      <w:r>
        <w:t xml:space="preserve"> (SSTC 31/2015 y 114/2017)</w:t>
      </w:r>
      <w:r>
        <w:t>, y estimó íntegramente el recurso contra la ley catalana de consultas de 2010</w:t>
      </w:r>
      <w:r>
        <w:t xml:space="preserve"> (STC 51/2017)</w:t>
      </w:r>
      <w:r>
        <w:t>. Son intentos frenados (</w:t>
      </w:r>
      <w:r>
        <w:t>7.4</w:t>
      </w:r>
      <w:r>
        <w:t xml:space="preserve">). </w:t>
      </w:r>
      <w:r>
        <w:t>[16.00-8.1 a 8.3]</w:t>
      </w:r>
    </w:p>
    <w:p>
      <w:pPr>
        <w:spacing w:after="60"/>
        <w:ind w:left="510" w:hanging="397"/>
      </w:pPr>
      <w:r>
        <w:rPr>
          <w:b w:val="0"/>
        </w:rPr>
        <w:t xml:space="preserve">8. </w:t>
      </w:r>
      <w:r>
        <w:rPr>
          <w:b/>
        </w:rPr>
        <w:t>La financiación de los partidos.</w:t>
      </w:r>
      <w:r>
        <w:t xml:space="preserve"> «Su estructura interna y funcionamiento deberán ser democráticos» (art. 6). En 2009, el GRECO dirigió a España seis recomendaciones sobre la financiación de los partidos; en 2011 no se había cumplido del todo ninguna, y en 2016 se habían cumplido cinco</w:t>
      </w:r>
      <w:r>
        <w:t xml:space="preserve"> (GRECO, Tercera Ronda, informe de cumplimiento de 2011 y segunda adenda de 2016)</w:t>
      </w:r>
      <w:r>
        <w:t>. Y pidió que las fundaciones vinculadas no se usen «como una vía paralela de financiación fraudulenta»</w:t>
      </w:r>
      <w:r>
        <w:t xml:space="preserve"> [original: «as a parallel avenue for fraudulent funding»]</w:t>
      </w:r>
      <w:r>
        <w:t xml:space="preserve"> (segunda adenda, 2016)</w:t>
      </w:r>
      <w:r>
        <w:br/>
      </w:r>
      <w:r>
        <w:rPr>
          <w:b/>
        </w:rPr>
        <w:t>leída en su fuente · segunda adenda, 2016</w:t>
      </w:r>
      <w:r>
        <w:br/>
      </w:r>
      <w:r>
        <w:rPr>
          <w:b/>
        </w:rPr>
        <w:t>Archivo leído:</w:t>
      </w:r>
      <w:r>
        <w:t xml:space="preserve"> 16.00_GRECO_RC-III_2015_16E_2a_adenda_2o_informe_cumplimiento_Espana_2016.pdf (c7b\16.00_GRECO_RC-III_2015_16E_2a_adenda_2o_informe_cumplimiento_Espana_2016.pdf) · contraste del archivo de pasajes: ✔</w:t>
      </w:r>
      <w:r>
        <w:br/>
      </w:r>
      <w:r>
        <w:rPr>
          <w:b/>
        </w:rPr>
        <w:t>Lugar:</w:t>
      </w:r>
      <w:r>
        <w:t xml:space="preserve"> PDF 12, párr. 62</w:t>
      </w:r>
      <w:r>
        <w:br/>
      </w:r>
      <w:r>
        <w:rPr>
          <w:b/>
        </w:rPr>
        <w:t>Dirección:</w:t>
      </w:r>
      <w:r>
        <w:t xml:space="preserve"> </w:t>
      </w:r>
      <w:r>
        <w:t>https://rm.coe.int/16806cac21</w:t>
      </w:r>
      <w:r>
        <w:br/>
      </w:r>
      <w:r>
        <w:rPr>
          <w:b/>
        </w:rPr>
        <w:t>Tal como está en la fuente:</w:t>
      </w:r>
      <w:r>
        <w:t xml:space="preserve"> it must be ensured that political foundations and associations are not used as a parallel avenue for fraudulent funding of routine and campaign activities of political parties in spite of the applicable restrictions and thresholds set by law for the latter.</w:t>
      </w:r>
      <w:r>
        <w:br/>
      </w:r>
      <w:r>
        <w:rPr>
          <w:b/>
        </w:rPr>
        <w:t>Traducción guardada:</w:t>
      </w:r>
      <w:r>
        <w:t xml:space="preserve"> debe garantizarse que las fundaciones y asociaciones políticas no se utilicen como vía paralela para la financiación fraudulenta de las actividades ordinarias y de campaña de los partidos, a pesar de las restricciones y umbrales que la ley fija para estos.</w:t>
      </w:r>
      <w:r>
        <w:t xml:space="preserve">. </w:t>
      </w:r>
      <w:r>
        <w:t>[16.00-9.1 a 9.3]</w:t>
      </w:r>
    </w:p>
    <w:p>
      <w:pPr>
        <w:spacing w:after="60"/>
        <w:ind w:left="510" w:hanging="397"/>
      </w:pPr>
      <w:r>
        <w:rPr>
          <w:b w:val="0"/>
        </w:rPr>
        <w:t xml:space="preserve">9. </w:t>
      </w:r>
      <w:r>
        <w:rPr>
          <w:b/>
        </w:rPr>
        <w:t>El Defensor del Pueblo.</w:t>
      </w:r>
      <w:r>
        <w:t xml:space="preserve"> Puede formular «advertencias, recomendaciones, recordatorios de sus deberes legales y sugerencias»; si no le responden, lo pone en conocimiento del ministro, y si tampoco, lo incluye en su informe «con mención de los nombres de las autoridades o funcionarios»</w:t>
      </w:r>
      <w:r>
        <w:t xml:space="preserve"> (Ley Orgánica 3/1981, art. 30)</w:t>
      </w:r>
      <w:r>
        <w:br/>
      </w:r>
      <w:r>
        <w:rPr>
          <w:b/>
        </w:rPr>
        <w:t>leída en su fuente · Ley Orgánica 3/1981, art. 30</w:t>
      </w:r>
      <w:r>
        <w:br/>
      </w:r>
      <w:r>
        <w:rPr>
          <w:b/>
        </w:rPr>
        <w:t>Archivo leído:</w:t>
      </w:r>
      <w:r>
        <w:t xml:space="preserve"> 16.00_BOE-A-1981-10325_LO_3-1981_Defensor_del_Pueblo_consolidada.html (c7a\16.00_BOE-A-1981-10325_LO_3-1981_Defensor_del_Pueblo_consolidada.html) · contraste del archivo de pasajes: ✔</w:t>
      </w:r>
      <w:r>
        <w:br/>
      </w:r>
      <w:r>
        <w:rPr>
          <w:b/>
        </w:rPr>
        <w:t>Lugar:</w:t>
      </w:r>
      <w:r>
        <w:t xml:space="preserve"> Art. 30.1</w:t>
      </w:r>
      <w:r>
        <w:br/>
      </w:r>
      <w:r>
        <w:rPr>
          <w:b/>
        </w:rPr>
        <w:t>Dirección:</w:t>
      </w:r>
      <w:r>
        <w:t xml:space="preserve"> </w:t>
      </w:r>
      <w:r>
        <w:t>https://www.boe.es/buscar/act.php?id=BOE-A-1981-10325</w:t>
      </w:r>
      <w:r>
        <w:br/>
      </w:r>
      <w:r>
        <w:rPr>
          <w:b/>
        </w:rPr>
        <w:t>Tal como está en la fuente:</w:t>
      </w:r>
      <w:r>
        <w:t xml:space="preserve"> podrá poner en conocimiento del Ministro del Departamento afectado, o sobre la máxima autoridad de la Administración afectada [...] Si tampoco obtuviera una justificación adecuada, incluirá tal asunto en su informe anual o especial con mención de los nombres de las autoridades o funcionarios</w:t>
      </w:r>
      <w:r>
        <w:t xml:space="preserve">. No tiene otra sanción. </w:t>
      </w:r>
      <w:r>
        <w:t>[16.00-10.1 a 10.3]</w:t>
      </w:r>
    </w:p>
    <w:p>
      <w:pPr>
        <w:spacing w:after="60"/>
        <w:ind w:left="510" w:hanging="397"/>
      </w:pPr>
      <w:r>
        <w:rPr>
          <w:b w:val="0"/>
        </w:rPr>
        <w:t xml:space="preserve">10. </w:t>
      </w:r>
      <w:r>
        <w:rPr>
          <w:b/>
        </w:rPr>
        <w:t>La vivienda.</w:t>
      </w:r>
      <w:r>
        <w:t xml:space="preserve"> En 2025 se practicaron 24.540 lanzamientos, un 11 % menos que en 2024; las ejecuciones hipotecarias presentadas pasaron de 23.164 a 31.416</w:t>
      </w:r>
      <w:r>
        <w:t xml:space="preserve"> (CGPJ, efectos de la crisis en los órganos judiciales, 2025)</w:t>
      </w:r>
      <w:r>
        <w:t>. En el primer trimestre de 2026, 4.005 lanzamientos</w:t>
      </w:r>
      <w:r>
        <w:t xml:space="preserve"> (CGPJ, primer trimestre de 2026)</w:t>
      </w:r>
      <w:r>
        <w:t xml:space="preserve">. </w:t>
      </w:r>
      <w:r>
        <w:t>[16.00-11.1 a 11.3]</w:t>
      </w:r>
    </w:p>
    <w:p>
      <w:pPr>
        <w:spacing w:after="60"/>
        <w:ind w:left="510" w:hanging="397"/>
      </w:pPr>
      <w:r>
        <w:rPr>
          <w:b w:val="0"/>
        </w:rPr>
        <w:t xml:space="preserve">11. </w:t>
      </w:r>
      <w:r>
        <w:rPr>
          <w:b/>
        </w:rPr>
        <w:t>La sucesión a la Corona.</w:t>
      </w:r>
      <w:r>
        <w:t xml:space="preserve"> En el mismo grado, se prefiere «el varón a la mujer» (art. 57.1). El Consejo de Estado aconsejó en 2006 reformarlo: los arts. 14 y 57.1 «tienen ámbitos de aplicación distintos en el texto constitucional y no se interfieren mutuamente», y la conveniencia de la reforma no viene de una contradicción jurídica, «sino del progresivo deterioro» que ha sufrido «en la conciencia social todo tipo de postergación femenina»</w:t>
      </w:r>
      <w:r>
        <w:t xml:space="preserve"> (Consejo de Estado, informe sobre modificaciones de la Constitución, 16-2-2006)</w:t>
      </w:r>
      <w:r>
        <w:br/>
      </w:r>
      <w:r>
        <w:rPr>
          <w:b/>
        </w:rPr>
        <w:t>leída en su fuente · Consejo de Estado, informe sobre modificaciones de la Constitución, 16-2-2006</w:t>
      </w:r>
      <w:r>
        <w:br/>
      </w:r>
      <w:r>
        <w:rPr>
          <w:b/>
        </w:rPr>
        <w:t>Archivo leído:</w:t>
      </w:r>
      <w:r>
        <w:t xml:space="preserve"> 16.00_Consejo_de_Estado_Informe_modificaciones_Constitucion_16-02-2006.pdf (c7a\16.00_Consejo_de_Estado_Informe_modificaciones_Constitucion_16-02-2006.pdf) · contraste del archivo de pasajes: ✔</w:t>
      </w:r>
      <w:r>
        <w:br/>
      </w:r>
      <w:r>
        <w:rPr>
          <w:b/>
        </w:rPr>
        <w:t>Lugar:</w:t>
      </w:r>
      <w:r>
        <w:t xml:space="preserve"> P. 32 (PDF p. 33)</w:t>
      </w:r>
      <w:r>
        <w:br/>
      </w:r>
      <w:r>
        <w:rPr>
          <w:b/>
        </w:rPr>
        <w:t>Dirección:</w:t>
      </w:r>
      <w:r>
        <w:t xml:space="preserve"> </w:t>
      </w:r>
      <w:r>
        <w:t>https://www.consejo-estado.es/wp-content/uploads/2021/02/MODIFICACIONES-CONSTITUCION-ESP-1.pdf</w:t>
      </w:r>
      <w:r>
        <w:br/>
      </w:r>
      <w:r>
        <w:rPr>
          <w:b/>
        </w:rPr>
        <w:t>Tal como está en la fuente:</w:t>
      </w:r>
      <w:r>
        <w:t xml:space="preserve"> Los dos preceptos, el artículo 14 y el artículo 57.1, tienen ámbitos de aplicación distintos en el texto constitucional y no se interfieren mutuamente. La conveniencia de reformar el segundo no se deriva [...] de ninguna contradicción jurídica con el primero, sino del progresivo deterioro que ha sufrido en la conciencia social todo tipo de postergación femenina.</w:t>
      </w:r>
      <w:r>
        <w:t xml:space="preserve">. No se ha reformado. </w:t>
      </w:r>
      <w:r>
        <w:t>[16.00-12.1 a 12.3]</w:t>
      </w:r>
    </w:p>
    <w:p>
      <w:r>
        <w:rPr>
          <w:b/>
        </w:rPr>
        <w:t>Lo que rompe el patrón.</w:t>
      </w:r>
      <w:r>
        <w:t xml:space="preserve"> Hay que decirlo con el mismo relieve: el Constitucional avaló una ley que amplió un derecho, el del matrimonio; y el Consejo de Estado señaló con precisión una desigualdad escrita en la Constitución, aunque su consejo no se siguiera. Y un caso, el de la reunión ante el Parlamento, resultó, leído en su original, no ser un incumplimiento. El sistema no es una maquinaria que solo produzca fallos. </w:t>
      </w:r>
      <w:r>
        <w:t>[16.00-14.2]</w:t>
      </w:r>
    </w:p>
    <w:p>
      <w:r>
        <w:rPr>
          <w:b/>
        </w:rPr>
        <w:t>Conclusión, lo que arrojan los datos:</w:t>
      </w:r>
      <w:r>
        <w:t xml:space="preserve"> ninguno de estos casos, por separado, prueba más de lo que dice. Juntos extienden el mismo patrón de </w:t>
      </w:r>
      <w:r>
        <w:t>7.2</w:t>
      </w:r>
      <w:r>
        <w:t xml:space="preserve"> a otros terrenos: el voto de quien vive fuera, la lengua, la igualdad en la Corona, la vivienda. Ninguna pieza sola sostiene una acusación; juntas, dibujan un cuerpo hecho de partes legales, cada una defendible. </w:t>
      </w:r>
      <w:r>
        <w:t>[16.00-14.1 y 14.3]</w:t>
      </w:r>
    </w:p>
    <w:p>
      <w:pPr>
        <w:pStyle w:val="Heading2"/>
      </w:pPr>
      <w:r>
        <w:t>7.4 El bien común frente al organigrama</w:t>
      </w:r>
    </w:p>
    <w:p>
      <w:pPr>
        <w:pBdr>
          <w:left w:val="single" w:sz="24" w:space="6" w:color="E2DED6"/>
        </w:pBdr>
        <w:shd w:val="clear" w:color="auto" w:fill="F1EEE8"/>
        <w:spacing w:before="80" w:after="160"/>
        <w:ind w:left="142" w:right="142"/>
      </w:pPr>
      <w:r>
        <w:rPr>
          <w:b/>
        </w:rPr>
        <w:t>La idea: separados en dos grupos, los mismos 169 artículos muestran que la Constitución se incumple el doble en lo que promete al ciudadano que en lo que organiza al poder. Y que el freno actúa cinco veces más cuando el poder se controla a sí mismo.</w:t>
      </w:r>
    </w:p>
    <w:p>
      <w:r>
        <w:rPr>
          <w:b/>
        </w:rPr>
        <w:t>Dos grupos.</w:t>
      </w:r>
      <w:r>
        <w:t xml:space="preserve"> Con la misma etiqueta que lleva cada ficha de la auditoría:</w:t>
      </w:r>
    </w:p>
    <w:p>
      <w:pPr>
        <w:pStyle w:val="ListBullet"/>
      </w:pPr>
      <w:r>
        <w:rPr>
          <w:b/>
        </w:rPr>
        <w:t>el bien común</w:t>
      </w:r>
      <w:r>
        <w:t xml:space="preserve"> (66 artículos): lo que afecta al ciudadano en su vida diaria: derechos y libertades, trabajo, sanidad, vivienda, educación, familia, seguridad social, tutela judicial, participación;</w:t>
      </w:r>
    </w:p>
    <w:p>
      <w:pPr>
        <w:pStyle w:val="ListBullet"/>
      </w:pPr>
      <w:r>
        <w:rPr>
          <w:b/>
        </w:rPr>
        <w:t>el organigrama del poder</w:t>
      </w:r>
      <w:r>
        <w:t xml:space="preserve"> (103 artículos): lo que regula el aparato del Estado: la Corona, las Cortes, el Gobierno, el Poder Judicial como institución, el reparto territorial, el Tribunal Constitucional, los procedimientos.</w:t>
      </w:r>
    </w:p>
    <w:p>
      <w:r>
        <w:t xml:space="preserve">Cada artículo cuenta una vez: 66 + 103 = 169. </w:t>
      </w:r>
      <w:r>
        <w:t>[18.00-1.1 a 2.4]</w:t>
      </w:r>
    </w:p>
    <w:p>
      <w:r>
        <w:rPr>
          <w:b/>
        </w:rPr>
        <w:t>El intento frenado.</w:t>
      </w:r>
      <w:r>
        <w:t xml:space="preserve"> Desde aquí, la edición llama así al cumplimiento que se sostiene porque un tribunal corrigió de verdad un intento de extralimitación: una anulación, una condena o una declaración de inconstitucionalidad ya dictadas. No basta una alegación ni una sospecha. Y un recurso desestimado no cuenta como intento frenado, sino como cumplimiento limpio, porque ningún tribunal confirmó la extralimitación. </w:t>
      </w:r>
      <w:r>
        <w:t>[18.00-2.5]</w:t>
      </w:r>
    </w:p>
    <w:p>
      <w:r>
        <w:rPr>
          <w:b/>
        </w:rPr>
        <w:t>Las cifras.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p>
        </w:tc>
        <w:tc>
          <w:tcPr>
            <w:tcW w:type="dxa" w:w="3061"/>
            <w:shd w:val="clear" w:color="auto" w:fill="F1EEE8"/>
          </w:tcPr>
          <w:p>
            <w:pPr>
              <w:spacing w:after="20" w:line="264" w:lineRule="auto"/>
            </w:pPr>
            <w:r>
              <w:rPr>
                <w:b/>
              </w:rPr>
            </w:r>
            <w:r>
              <w:rPr>
                <w:rFonts w:ascii="Segoe UI" w:hAnsi="Segoe UI" w:eastAsia="Segoe UI" w:cs="Segoe UI"/>
                <w:b/>
                <w:color w:val="1F1D1A"/>
                <w:sz w:val="18"/>
              </w:rPr>
              <w:t>Bien común (66)</w:t>
            </w:r>
          </w:p>
        </w:tc>
        <w:tc>
          <w:tcPr>
            <w:tcW w:type="dxa" w:w="3061"/>
            <w:shd w:val="clear" w:color="auto" w:fill="F1EEE8"/>
          </w:tcPr>
          <w:p>
            <w:pPr>
              <w:spacing w:after="20" w:line="264" w:lineRule="auto"/>
            </w:pPr>
            <w:r>
              <w:rPr>
                <w:b/>
              </w:rPr>
            </w:r>
            <w:r>
              <w:rPr>
                <w:rFonts w:ascii="Segoe UI" w:hAnsi="Segoe UI" w:eastAsia="Segoe UI" w:cs="Segoe UI"/>
                <w:b/>
                <w:color w:val="1F1D1A"/>
                <w:sz w:val="18"/>
              </w:rPr>
              <w:t>Organigrama (103)</w:t>
            </w:r>
          </w:p>
        </w:tc>
      </w:tr>
      <w:tr>
        <w:tc>
          <w:tcPr>
            <w:tcW w:type="dxa" w:w="3061"/>
          </w:tcPr>
          <w:p>
            <w:pPr>
              <w:spacing w:after="20" w:line="264" w:lineRule="auto"/>
            </w:pPr>
            <w:r/>
            <w:r>
              <w:rPr>
                <w:rFonts w:ascii="Segoe UI" w:hAnsi="Segoe UI" w:eastAsia="Segoe UI" w:cs="Segoe UI"/>
                <w:color w:val="1F1D1A"/>
                <w:sz w:val="18"/>
              </w:rPr>
              <w:t>Incumple</w:t>
            </w:r>
          </w:p>
        </w:tc>
        <w:tc>
          <w:tcPr>
            <w:tcW w:type="dxa" w:w="3061"/>
          </w:tcPr>
          <w:p>
            <w:pPr>
              <w:spacing w:after="20" w:line="264" w:lineRule="auto"/>
            </w:pPr>
            <w:r/>
            <w:r>
              <w:rPr>
                <w:rFonts w:ascii="Segoe UI" w:hAnsi="Segoe UI" w:eastAsia="Segoe UI" w:cs="Segoe UI"/>
                <w:color w:val="1F1D1A"/>
                <w:sz w:val="18"/>
              </w:rPr>
              <w:t>41 (62,1 %)</w:t>
            </w:r>
          </w:p>
        </w:tc>
        <w:tc>
          <w:tcPr>
            <w:tcW w:type="dxa" w:w="3061"/>
          </w:tcPr>
          <w:p>
            <w:pPr>
              <w:spacing w:after="20" w:line="264" w:lineRule="auto"/>
            </w:pPr>
            <w:r/>
            <w:r>
              <w:rPr>
                <w:rFonts w:ascii="Segoe UI" w:hAnsi="Segoe UI" w:eastAsia="Segoe UI" w:cs="Segoe UI"/>
                <w:color w:val="1F1D1A"/>
                <w:sz w:val="18"/>
              </w:rPr>
              <w:t>28 (27,2 %)</w:t>
            </w:r>
          </w:p>
        </w:tc>
      </w:tr>
      <w:tr>
        <w:tc>
          <w:tcPr>
            <w:tcW w:type="dxa" w:w="3061"/>
          </w:tcPr>
          <w:p>
            <w:pPr>
              <w:spacing w:after="20" w:line="264" w:lineRule="auto"/>
            </w:pPr>
            <w:r/>
            <w:r>
              <w:rPr>
                <w:rFonts w:ascii="Segoe UI" w:hAnsi="Segoe UI" w:eastAsia="Segoe UI" w:cs="Segoe UI"/>
                <w:color w:val="1F1D1A"/>
                <w:sz w:val="18"/>
              </w:rPr>
              <w:t>Cumple, limpio</w:t>
            </w:r>
          </w:p>
        </w:tc>
        <w:tc>
          <w:tcPr>
            <w:tcW w:type="dxa" w:w="3061"/>
          </w:tcPr>
          <w:p>
            <w:pPr>
              <w:spacing w:after="20" w:line="264" w:lineRule="auto"/>
            </w:pPr>
            <w:r/>
            <w:r>
              <w:rPr>
                <w:rFonts w:ascii="Segoe UI" w:hAnsi="Segoe UI" w:eastAsia="Segoe UI" w:cs="Segoe UI"/>
                <w:color w:val="1F1D1A"/>
                <w:sz w:val="18"/>
              </w:rPr>
              <w:t>21 (31,8 %)</w:t>
            </w:r>
          </w:p>
        </w:tc>
        <w:tc>
          <w:tcPr>
            <w:tcW w:type="dxa" w:w="3061"/>
          </w:tcPr>
          <w:p>
            <w:pPr>
              <w:spacing w:after="20" w:line="264" w:lineRule="auto"/>
            </w:pPr>
            <w:r/>
            <w:r>
              <w:rPr>
                <w:rFonts w:ascii="Segoe UI" w:hAnsi="Segoe UI" w:eastAsia="Segoe UI" w:cs="Segoe UI"/>
                <w:color w:val="1F1D1A"/>
                <w:sz w:val="18"/>
              </w:rPr>
              <w:t>60 (58,3 %)</w:t>
            </w:r>
          </w:p>
        </w:tc>
      </w:tr>
      <w:tr>
        <w:tc>
          <w:tcPr>
            <w:tcW w:type="dxa" w:w="3061"/>
          </w:tcPr>
          <w:p>
            <w:pPr>
              <w:spacing w:after="20" w:line="264" w:lineRule="auto"/>
            </w:pPr>
            <w:r/>
            <w:r>
              <w:rPr>
                <w:rFonts w:ascii="Segoe UI" w:hAnsi="Segoe UI" w:eastAsia="Segoe UI" w:cs="Segoe UI"/>
                <w:color w:val="1F1D1A"/>
                <w:sz w:val="18"/>
              </w:rPr>
              <w:t>Cumple, intento frenado</w:t>
            </w:r>
          </w:p>
        </w:tc>
        <w:tc>
          <w:tcPr>
            <w:tcW w:type="dxa" w:w="3061"/>
          </w:tcPr>
          <w:p>
            <w:pPr>
              <w:spacing w:after="20" w:line="264" w:lineRule="auto"/>
            </w:pPr>
            <w:r/>
            <w:r>
              <w:rPr>
                <w:rFonts w:ascii="Segoe UI" w:hAnsi="Segoe UI" w:eastAsia="Segoe UI" w:cs="Segoe UI"/>
                <w:color w:val="1F1D1A"/>
                <w:sz w:val="18"/>
              </w:rPr>
              <w:t>2 (3,0 %)</w:t>
            </w:r>
          </w:p>
        </w:tc>
        <w:tc>
          <w:tcPr>
            <w:tcW w:type="dxa" w:w="3061"/>
          </w:tcPr>
          <w:p>
            <w:pPr>
              <w:spacing w:after="20" w:line="264" w:lineRule="auto"/>
            </w:pPr>
            <w:r/>
            <w:r>
              <w:rPr>
                <w:rFonts w:ascii="Segoe UI" w:hAnsi="Segoe UI" w:eastAsia="Segoe UI" w:cs="Segoe UI"/>
                <w:color w:val="1F1D1A"/>
                <w:sz w:val="18"/>
              </w:rPr>
              <w:t>10 (9,7 %)</w:t>
            </w:r>
          </w:p>
        </w:tc>
      </w:tr>
      <w:tr>
        <w:tc>
          <w:tcPr>
            <w:tcW w:type="dxa" w:w="3061"/>
          </w:tcPr>
          <w:p>
            <w:pPr>
              <w:spacing w:after="20" w:line="264" w:lineRule="auto"/>
            </w:pPr>
            <w:r/>
            <w:r>
              <w:rPr>
                <w:rFonts w:ascii="Segoe UI" w:hAnsi="Segoe UI" w:eastAsia="Segoe UI" w:cs="Segoe UI"/>
                <w:color w:val="1F1D1A"/>
                <w:sz w:val="18"/>
              </w:rPr>
              <w:t>Pendiente</w:t>
            </w:r>
          </w:p>
        </w:tc>
        <w:tc>
          <w:tcPr>
            <w:tcW w:type="dxa" w:w="3061"/>
          </w:tcPr>
          <w:p>
            <w:pPr>
              <w:spacing w:after="20" w:line="264" w:lineRule="auto"/>
            </w:pPr>
            <w:r/>
            <w:r>
              <w:rPr>
                <w:rFonts w:ascii="Segoe UI" w:hAnsi="Segoe UI" w:eastAsia="Segoe UI" w:cs="Segoe UI"/>
                <w:color w:val="1F1D1A"/>
                <w:sz w:val="18"/>
              </w:rPr>
              <w:t>2 (3,0 %)</w:t>
            </w:r>
          </w:p>
        </w:tc>
        <w:tc>
          <w:tcPr>
            <w:tcW w:type="dxa" w:w="3061"/>
          </w:tcPr>
          <w:p>
            <w:pPr>
              <w:spacing w:after="20" w:line="264" w:lineRule="auto"/>
            </w:pPr>
            <w:r/>
            <w:r>
              <w:rPr>
                <w:rFonts w:ascii="Segoe UI" w:hAnsi="Segoe UI" w:eastAsia="Segoe UI" w:cs="Segoe UI"/>
                <w:color w:val="1F1D1A"/>
                <w:sz w:val="18"/>
              </w:rPr>
              <w:t>5 (4,9 %)</w:t>
            </w:r>
          </w:p>
        </w:tc>
      </w:tr>
      <w:tr>
        <w:tc>
          <w:tcPr>
            <w:tcW w:type="dxa" w:w="3061"/>
          </w:tcPr>
          <w:p>
            <w:pPr>
              <w:spacing w:after="20" w:line="264" w:lineRule="auto"/>
            </w:pPr>
            <w:r/>
            <w:r>
              <w:rPr>
                <w:rFonts w:ascii="Segoe UI" w:hAnsi="Segoe UI" w:eastAsia="Segoe UI" w:cs="Segoe UI"/>
                <w:color w:val="1F1D1A"/>
                <w:sz w:val="18"/>
              </w:rPr>
              <w:t>Incumplimientos con declaración formal externa</w:t>
            </w:r>
          </w:p>
        </w:tc>
        <w:tc>
          <w:tcPr>
            <w:tcW w:type="dxa" w:w="3061"/>
          </w:tcPr>
          <w:p>
            <w:pPr>
              <w:spacing w:after="20" w:line="264" w:lineRule="auto"/>
            </w:pPr>
            <w:r/>
            <w:r>
              <w:rPr>
                <w:rFonts w:ascii="Segoe UI" w:hAnsi="Segoe UI" w:eastAsia="Segoe UI" w:cs="Segoe UI"/>
                <w:color w:val="1F1D1A"/>
                <w:sz w:val="18"/>
              </w:rPr>
              <w:t>14</w:t>
            </w:r>
          </w:p>
        </w:tc>
        <w:tc>
          <w:tcPr>
            <w:tcW w:type="dxa" w:w="3061"/>
          </w:tcPr>
          <w:p>
            <w:pPr>
              <w:spacing w:after="20" w:line="264" w:lineRule="auto"/>
            </w:pPr>
            <w:r/>
            <w:r>
              <w:rPr>
                <w:rFonts w:ascii="Segoe UI" w:hAnsi="Segoe UI" w:eastAsia="Segoe UI" w:cs="Segoe UI"/>
                <w:color w:val="1F1D1A"/>
                <w:sz w:val="18"/>
              </w:rPr>
              <w:t>9</w:t>
            </w:r>
          </w:p>
        </w:tc>
      </w:tr>
    </w:tbl>
    <w:p>
      <w:pPr>
        <w:spacing w:after="80"/>
      </w:pPr>
    </w:p>
    <w:p>
      <w:r>
        <w:t>[18.00-3.1, 4.1 y 5.1 a 5.2; anexo A; con el art. 21 reclasificado y los arts. 7, 110 y 111 pasados a pendiente]</w:t>
      </w:r>
    </w:p>
    <w:p>
      <w:r>
        <w:rPr>
          <w:b/>
        </w:rPr>
        <w:t>El freno.</w:t>
      </w:r>
      <w:r>
        <w:t xml:space="preserve"> Montesquieu propuso un mecanismo, «que el poder frene al poder» (</w:t>
      </w:r>
      <w:r>
        <w:t>6.5</w:t>
      </w:r>
      <w:r>
        <w:t xml:space="preserve">), y eso se puede medir: de las veces que hubo una extralimitación real, ¿cuántas la corrigió otro poder? En el bien común, 2 de 43: el 4,65 %. En el organigrama, 10 de 38: el 26,32 %. El freno actúa más de cinco veces más a menudo cuando el poder se controla a sí mismo que cuando protege al ciudadano. </w:t>
      </w:r>
      <w:r>
        <w:t>[10.00-16.1 a 16.3 y 16.6; 18.00-8.4]</w:t>
      </w:r>
    </w:p>
    <w:p>
      <w:r>
        <w:rPr>
          <w:b/>
        </w:rPr>
        <w:t>La amenaza acumulada.</w:t>
      </w:r>
      <w:r>
        <w:t xml:space="preserve"> Sumando lo incumplido y lo frenado, el 65,2 % de los artículos del bien común ha estado alguna vez bajo una amenaza real, frente al 36,9 % de los del organigrama. Mide la fragilidad, no el desenlace: el intento frenado es, a la vez, prueba de amenaza y prueba de que los tribunales respondieron. </w:t>
      </w:r>
      <w:r>
        <w:t>[18.00-6.1 y 6.2]</w:t>
      </w:r>
    </w:p>
    <w:p>
      <w:r>
        <w:rPr>
          <w:b/>
        </w:rPr>
        <w:t>Los intentos frenados.</w:t>
      </w:r>
      <w:r>
        <w:t xml:space="preserve"> En el bien común: las leyes catalanas de consultas y de autodeterminación (art. 1) y disposiciones de la reforma local de 2013 (art. 140). En el organigrama, entre otros: las leyes catalanas de 2017 (art. 2); tres reglamentos y una ordenanza anulados en poco más de dos años (art. 97); el Gobierno en funciones de 2016, que sostuvo no estar sujeto al control de las Cortes, corregido por el Constitucional (art. 101); un convenio entre Cataluña y Murcia anulado por falta de autorización de las Cortes (art. 145.2); los catorce artículos del Estatut anulados total o parcialmente (art. 147). Las resoluciones, con su órgano y su fecha, en el </w:t>
      </w:r>
      <w:r>
        <w:t>anexo A</w:t>
      </w:r>
      <w:r>
        <w:t xml:space="preserve">. </w:t>
      </w:r>
      <w:r>
        <w:t>[18.00-3.4 y 4.5]</w:t>
      </w:r>
    </w:p>
    <w:p>
      <w:r>
        <w:rPr>
          <w:b/>
        </w:rPr>
        <w:t>Algunos ejemplos.</w:t>
      </w:r>
      <w:r>
        <w:t xml:space="preserve"> Del bien común, sin corrección: las condenas del Tribunal Europeo por no investigar torturas (art. 15); el confinamiento con el instrumento más débil (arts. 19 y 55); la condena por perseguir la crítica al Jefe del Estado (art. 20); la temporalidad en el empleo público (art. 103.3); los asuntos pendientes en la Justicia (art. 120.3). Del organigrama, sin corrección: los cinco años y medio sin renovar el Consejo General del Poder Judicial (art. 122) y el Fondo de Compensación Interterritorial en su mínimo (art. 158.2). Y cumplimiento limpio: la mayoría de edad (art. 12), el matrimonio (art. 32), las seis mociones de censura con el diseño constructivo (art. 113). </w:t>
      </w:r>
      <w:r>
        <w:t>[18.00-3.5, 3.6, 4.6 y 4.7]</w:t>
      </w:r>
    </w:p>
    <w:p>
      <w:r>
        <w:rPr>
          <w:b/>
        </w:rPr>
        <w:t>Lo que esto prueba y lo que no.</w:t>
      </w:r>
      <w:r>
        <w:t xml:space="preserve"> Prueba que la asimetría resiste dividir los 169 artículos en dos grupos y tres categorías y contarlos por separado. No prueba una intención unificada: un resultado medido no es una causa demostrada. Tampoco que el patrón de 1793 (</w:t>
      </w:r>
      <w:r>
        <w:t>6.1</w:t>
      </w:r>
      <w:r>
        <w:t xml:space="preserve">) sea un plan: doce correcciones reales lo contradicen. Y no mide la retórica: si el poder invocó la voluntad del pueblo mientras dejaba fuera la condición que la hacía general, eso exigiría leer discursos y debates caso por caso. </w:t>
      </w:r>
      <w:r>
        <w:t>[18.00-5.3; 10.00-16.4 y 16.5]</w:t>
      </w:r>
    </w:p>
    <w:p>
      <w:r>
        <w:rPr>
          <w:b/>
        </w:rPr>
        <w:t>Conclusión, lo que arrojan los datos:</w:t>
      </w:r>
      <w:r>
        <w:t xml:space="preserve"> el ciudadano encuentra su Constitución incumplida en más de tres de cada cinco artículos que le afectan directamente; el aparato del poder, en casi tres de cada diez de los de su propio funcionamiento. Y el freno de Montesquieu funciona en España, pero de forma desigual: protege más al poder que al ciudadano. </w:t>
      </w:r>
      <w:r>
        <w:t>[18.00-5.1; 10.00-16.5]</w:t>
      </w:r>
    </w:p>
    <w:p>
      <w:r>
        <w:rPr>
          <w:b/>
        </w:rPr>
        <w:t>Lectura del autor:</w:t>
      </w:r>
      <w:r>
        <w:t xml:space="preserve"> lo que se mide no es la intención ni el plan, sino la eficacia desigual del freno. Es lo que el lector puede llevarse: saber si su libertad, en el punto que le afecte, estuvo mejor o peor protegida que la del propio aparato del Estado. Hacia dónde apunta cada cosa, con lo recibido como centro, se mide en el </w:t>
      </w:r>
      <w:r>
        <w:t>anexo J</w:t>
      </w:r>
      <w:r>
        <w:t xml:space="preserve">. </w:t>
      </w:r>
      <w:r>
        <w:t>[10.00-16.5]</w:t>
      </w:r>
    </w:p>
    <w:p>
      <w:pPr>
        <w:pStyle w:val="Heading2"/>
      </w:pPr>
      <w:r>
        <w:t>7.5 La corrupción de la forma</w:t>
      </w:r>
    </w:p>
    <w:p>
      <w:pPr>
        <w:pBdr>
          <w:left w:val="single" w:sz="24" w:space="6" w:color="E2DED6"/>
        </w:pBdr>
        <w:shd w:val="clear" w:color="auto" w:fill="F1EEE8"/>
        <w:spacing w:before="80" w:after="160"/>
        <w:ind w:left="142" w:right="142"/>
      </w:pPr>
      <w:r>
        <w:rPr>
          <w:b/>
        </w:rPr>
        <w:t>La idea: algo puede conservar su nombre, su cargo y su título y haber perdido la sustancia que lo sostenía. Las tradiciones lo vieron; y el propio sistema auditado mide así: por los resultados.</w:t>
      </w:r>
    </w:p>
    <w:p>
      <w:r>
        <w:rPr>
          <w:b/>
        </w:rPr>
        <w:t>La forma y la materia.</w:t>
      </w:r>
      <w:r>
        <w:t xml:space="preserve"> Aristóteles lo explicó con una estatua: «por materia entiendo, por ejemplo, el bronce; por forma, la figura; y por lo que resulta de ambas, la estatua, el conjunto»</w:t>
      </w:r>
      <w:r>
        <w:t xml:space="preserve"> [original: «λέγω δὲ τὴν μὲν ὕλην οἷον τὸν χαλκόν, τὴν δὲ μορφὴν τὸ σχῆμα τῆς ἰδέας, τὸ δʼ ἐκ τούτων τὸν ἀνδριάντα τὸ σύνολον»]</w:t>
      </w:r>
      <w:r>
        <w:t xml:space="preserve"> (Aristóteles, Metafísica VII, 3, 1029a)</w:t>
      </w:r>
      <w:r>
        <w:br/>
      </w:r>
      <w:r>
        <w:rPr>
          <w:b/>
        </w:rPr>
        <w:t>leída en su fuente · Aristóteles, Metafísica VII, 3, 1029a</w:t>
      </w:r>
      <w:r>
        <w:br/>
      </w:r>
      <w:r>
        <w:rPr>
          <w:b/>
        </w:rPr>
        <w:t>Original donde está:</w:t>
      </w:r>
      <w:r>
        <w:t xml:space="preserve"> 19.00-1.1_Aristoteles_Metafisica_griego_Ross1924_Perseus_canonical-greekLit.xml.txt</w:t>
      </w:r>
      <w:r>
        <w:br/>
      </w:r>
      <w:r>
        <w:t>El pasaje literal no está en el archivo de pasajes con este comienzo; la auditoría lo halló en ese original.</w:t>
      </w:r>
      <w:r>
        <w:t xml:space="preserve">. Sin la forma, queda bronce fundido; sin el bronce, un dibujo en un papel. La estatua necesita las dos cosas. La filosofía posterior llamó a esto hilemorfismo, de </w:t>
      </w:r>
      <w:r>
        <w:rPr>
          <w:i/>
        </w:rPr>
        <w:t>hyle</w:t>
      </w:r>
      <w:r>
        <w:t xml:space="preserve">, materia, y </w:t>
      </w:r>
      <w:r>
        <w:rPr>
          <w:i/>
        </w:rPr>
        <w:t>morphé</w:t>
      </w:r>
      <w:r>
        <w:t xml:space="preserve">, forma. </w:t>
      </w:r>
      <w:r>
        <w:t>[19.00-1.1 y 1.2; Aristóteles leído en griego]</w:t>
      </w:r>
    </w:p>
    <w:p>
      <w:r>
        <w:rPr>
          <w:b/>
        </w:rPr>
        <w:t>La corrupción de la forma.</w:t>
      </w:r>
      <w:r>
        <w:t xml:space="preserve"> Desde aquí, la edición llama así a lo que conserva el nombre, el cargo o el título, la forma, pero ha perdido la sustancia que lo sostenía: la norma que sigue en el texto y ya no organiza la vida que prometía organizar. Es un diagnóstico de un acto o de una norma concreta, no una sentencia sobre la institución entera y para siempre. </w:t>
      </w:r>
      <w:r>
        <w:t>[19.00-0.1 y 24.1]</w:t>
      </w:r>
    </w:p>
    <w:p>
      <w:r>
        <w:rPr>
          <w:b/>
        </w:rPr>
        <w:t>Lo vieron tradiciones sin contacto documentado entre sí.</w:t>
      </w:r>
    </w:p>
    <w:p>
      <w:pPr>
        <w:pStyle w:val="ListBullet"/>
      </w:pPr>
      <w:r>
        <w:rPr>
          <w:b/>
        </w:rPr>
        <w:t>China.</w:t>
      </w:r>
      <w:r>
        <w:t xml:space="preserve"> Confucio: «si los nombres no son correctos, el lenguaje no se ajusta a la verdad de las cosas; si el lenguaje no se ajusta a la verdad de las cosas, los asuntos no se llevan a cabo»</w:t>
      </w:r>
      <w:r>
        <w:t xml:space="preserve"> [original: «名不正，則言不順；言不順，則事不成»]</w:t>
      </w:r>
      <w:r>
        <w:t>; y la cadena sigue hasta que el pueblo «no sabe dónde poner las manos ni los pies»</w:t>
      </w:r>
      <w:r>
        <w:t xml:space="preserve"> [original: «民無所措手足»]</w:t>
      </w:r>
      <w:r>
        <w:t xml:space="preserve"> (Confucio, Analectas XIII, 3; traducción de Legge)</w:t>
      </w:r>
      <w:r>
        <w:br/>
      </w:r>
      <w:r>
        <w:rPr>
          <w:b/>
        </w:rPr>
        <w:t>leída en su fuente · Confucio, Analectas XIII, 3; traducción de Legge</w:t>
      </w:r>
      <w:r>
        <w:br/>
      </w:r>
      <w:r>
        <w:rPr>
          <w:b/>
        </w:rPr>
        <w:t>Original donde está:</w:t>
      </w:r>
      <w:r>
        <w:t xml:space="preserve"> 19.00-2.1_Lunyu_XIII_Zilu_zhwikisource.html.txt</w:t>
      </w:r>
      <w:r>
        <w:br/>
      </w:r>
      <w:r>
        <w:t>El pasaje literal no está en el archivo de pasajes con este comienzo; la auditoría lo halló en ese original.</w:t>
      </w:r>
      <w:r>
        <w:t>. Es la rectificación de los nombres. Mencio llevó la idea al gobernante: el que daña la benevolencia y la justicia ya no es un soberano, sino «un simple individuo» (</w:t>
      </w:r>
      <w:r>
        <w:t>3.2</w:t>
      </w:r>
      <w:r>
        <w:t xml:space="preserve">, P1). </w:t>
      </w:r>
      <w:r>
        <w:t>[19.00-2.1 y 2.2]</w:t>
      </w:r>
    </w:p>
    <w:p>
      <w:pPr>
        <w:pStyle w:val="ListBullet"/>
      </w:pPr>
      <w:r>
        <w:rPr>
          <w:b/>
        </w:rPr>
        <w:t>Roma.</w:t>
      </w:r>
      <w:r>
        <w:t xml:space="preserve"> Séneca, a Nerón: «el tirano se distingue del rey por los hechos, no por el nombre»</w:t>
      </w:r>
      <w:r>
        <w:t xml:space="preserve"> [original: «Tyrannus autem a rege factis distat, non nomine»]</w:t>
      </w:r>
      <w:r>
        <w:t xml:space="preserve"> (Séneca, De clementia I, 12, 1)</w:t>
      </w:r>
      <w:r>
        <w:br/>
      </w:r>
      <w:r>
        <w:rPr>
          <w:b/>
        </w:rPr>
        <w:t>leída en su fuente · Séneca, De clementia I, 12, 1</w:t>
      </w:r>
      <w:r>
        <w:br/>
      </w:r>
      <w:r>
        <w:rPr>
          <w:b/>
        </w:rPr>
        <w:t>Archivo leído:</w:t>
      </w:r>
      <w:r>
        <w:t xml:space="preserve"> 19.00-4.1_Seneca_De_Clementia_latinlibrary.html (c7c\19.00-4.1_Seneca_De_Clementia_latinlibrary.html) · contraste del archivo de pasajes: ✔</w:t>
      </w:r>
      <w:r>
        <w:br/>
      </w:r>
      <w:r>
        <w:rPr>
          <w:b/>
        </w:rPr>
        <w:t>Lugar:</w:t>
      </w:r>
      <w:r>
        <w:t xml:space="preserve"> libro I, cap. XII 1 (txt l. 316-317)</w:t>
      </w:r>
      <w:r>
        <w:br/>
      </w:r>
      <w:r>
        <w:rPr>
          <w:b/>
        </w:rPr>
        <w:t>Dirección:</w:t>
      </w:r>
      <w:r>
        <w:t xml:space="preserve"> </w:t>
      </w:r>
      <w:r>
        <w:t>https://www.thelatinlibrary.com/sen/sen.clem.shtml</w:t>
      </w:r>
      <w:r>
        <w:br/>
      </w:r>
      <w:r>
        <w:rPr>
          <w:b/>
        </w:rPr>
        <w:t>Tal como está en la fuente:</w:t>
      </w:r>
      <w:r>
        <w:t xml:space="preserve"> 'Quid ergo? Non reges quoque occidere solent?' Sed quotiens id fieri publica utilitas persuadet; tyrannis saevitia cordi est. Tyrannus autem a rege factis distat, non nomine</w:t>
      </w:r>
      <w:r>
        <w:br/>
      </w:r>
      <w:r>
        <w:rPr>
          <w:b/>
        </w:rPr>
        <w:t>Traducción guardada:</w:t>
      </w:r>
      <w:r>
        <w:t xml:space="preserve"> ¿Y qué? ¿No suelen matar también los reyes? Sí, pero cuando lo aconseja el bien público; a los tiranos les agrada la crueldad. El tirano se distingue del rey por los hechos, no por el nombre</w:t>
      </w:r>
      <w:r>
        <w:t xml:space="preserve">. No es una pata independiente: viene de la tradición griega. </w:t>
      </w:r>
      <w:r>
        <w:t>[19.00-4.1 y 4.2]</w:t>
      </w:r>
    </w:p>
    <w:p>
      <w:pPr>
        <w:pStyle w:val="ListBullet"/>
      </w:pPr>
      <w:r>
        <w:rPr>
          <w:b/>
        </w:rPr>
        <w:t>El Nuevo Testamento.</w:t>
      </w:r>
      <w:r>
        <w:t xml:space="preserve"> «Teniendo apariencia de piedad, mas habiendo negado la eficacia de ella»</w:t>
      </w:r>
      <w:r>
        <w:t xml:space="preserve"> [original: «ἔχοντες μόρφωσιν εὐσεβείας τὴν δὲ δύναμιν αὐτῆς ἠρνημένοι»]</w:t>
      </w:r>
      <w:r>
        <w:t xml:space="preserve"> (2 Tim 3:5)</w:t>
      </w:r>
      <w:r>
        <w:br/>
      </w:r>
      <w:r>
        <w:rPr>
          <w:b/>
        </w:rPr>
        <w:t>leída en su fuente · 2 Tim 3:5</w:t>
      </w:r>
      <w:r>
        <w:br/>
      </w:r>
      <w:r>
        <w:rPr>
          <w:b/>
        </w:rPr>
        <w:t>Original donde está:</w:t>
      </w:r>
      <w:r>
        <w:t xml:space="preserve"> sblgnt_2Tim.txt</w:t>
      </w:r>
      <w:r>
        <w:br/>
      </w:r>
      <w:r>
        <w:t>El pasaje literal no está en el archivo de pasajes con este comienzo; la auditoría lo halló en ese original.</w:t>
      </w:r>
      <w:r>
        <w:t xml:space="preserve">. La palabra griega, </w:t>
      </w:r>
      <w:r>
        <w:rPr>
          <w:i/>
        </w:rPr>
        <w:t>mórphosis</w:t>
      </w:r>
      <w:r>
        <w:t xml:space="preserve">, es de la misma familia que la de Aristóteles. </w:t>
      </w:r>
      <w:r>
        <w:t>[19.00-5.1 y 5.2]</w:t>
      </w:r>
    </w:p>
    <w:p>
      <w:pPr>
        <w:pStyle w:val="ListBullet"/>
      </w:pPr>
      <w:r>
        <w:rPr>
          <w:b/>
        </w:rPr>
        <w:t>Egipto.</w:t>
      </w:r>
      <w:r>
        <w:t xml:space="preserve"> Ya se vio Maat (</w:t>
      </w:r>
      <w:r>
        <w:t>4.2</w:t>
      </w:r>
      <w:r>
        <w:t>). Textos del Imperio Medio describen la época de desorden con esa palabra: «la justicia ha sido expulsada, la iniquidad está en medio de la sala del consejo»</w:t>
      </w:r>
      <w:r>
        <w:t xml:space="preserve"> [original: «Righteousness is cast out, iniquity is in the midst of the council-hall»]</w:t>
      </w:r>
      <w:r>
        <w:t xml:space="preserve"> (Lamento de Jajeperreseneb, traducción de Breasted, 1912)</w:t>
      </w:r>
      <w:r>
        <w:br/>
      </w:r>
      <w:r>
        <w:rPr>
          <w:b/>
        </w:rPr>
        <w:t>leída en su fuente · Lamento de Jajeperreseneb, traducción de Breasted, 1912</w:t>
      </w:r>
      <w:r>
        <w:br/>
      </w:r>
      <w:r>
        <w:rPr>
          <w:b/>
        </w:rPr>
        <w:t>Archivo leído:</w:t>
      </w:r>
      <w:r>
        <w:t xml:space="preserve"> ya estaba Erman (flecos2); Breasted: 19.00-3.1_Breasted_1912_Development_of_Religion_and_Thought_djvu.txt (c7c\19.00-3.1_Breasted_1912_Development_of_Religion_and_Thought_djvu.txt) · contraste del archivo de pasajes: ✔</w:t>
      </w:r>
      <w:r>
        <w:br/>
      </w:r>
      <w:r>
        <w:rPr>
          <w:b/>
        </w:rPr>
        <w:t>Lugar:</w:t>
      </w:r>
      <w:r>
        <w:t xml:space="preserve"> Breasted p. 200 (l. 8690-8691)</w:t>
      </w:r>
      <w:r>
        <w:br/>
      </w:r>
      <w:r>
        <w:rPr>
          <w:b/>
        </w:rPr>
        <w:t>Dirección:</w:t>
      </w:r>
      <w:r>
        <w:t xml:space="preserve"> </w:t>
      </w:r>
      <w:r>
        <w:t>https://archive.org/details/developmentofrel00breauoft</w:t>
      </w:r>
      <w:r>
        <w:br/>
      </w:r>
      <w:r>
        <w:rPr>
          <w:b/>
        </w:rPr>
        <w:t>Tal como está en la fuente:</w:t>
      </w:r>
      <w:r>
        <w:t xml:space="preserve"> Righteousness is cast out, iniquity is in the midst of the council-hall.</w:t>
      </w:r>
      <w:r>
        <w:br/>
      </w:r>
      <w:r>
        <w:rPr>
          <w:b/>
        </w:rPr>
        <w:t>Traducción guardada:</w:t>
      </w:r>
      <w:r>
        <w:t xml:space="preserve"> La justicia ha sido expulsada, la iniquidad está en medio de la sala del consejo</w:t>
      </w:r>
      <w:r>
        <w:t>; y la Profecía de Neferti anuncia un rey con el que «la justicia volverá a su lugar, y la injusticia será expulsada»</w:t>
      </w:r>
      <w:r>
        <w:t xml:space="preserve"> [original: «Das Recht wird wieder an seine Stelle kommen und das Unrecht, das ist herausgejagt»]</w:t>
      </w:r>
      <w:r>
        <w:t xml:space="preserve"> (Erman, Die Literatur der Aegypter, 1923)</w:t>
      </w:r>
      <w:r>
        <w:br/>
      </w:r>
      <w:r>
        <w:rPr>
          <w:b/>
        </w:rPr>
        <w:t>leída en su fuente · Erman, Die Literatur der Aegypter, 1923</w:t>
      </w:r>
      <w:r>
        <w:br/>
      </w:r>
      <w:r>
        <w:rPr>
          <w:b/>
        </w:rPr>
        <w:t>Archivo leído:</w:t>
      </w:r>
      <w:r>
        <w:t xml:space="preserve"> 05.00_Maat_Erman_1923_Literatur_der_Aegypter_djvu.txt y …_archive.pdf (flecos2\05.00_Maat_Erman_1923_Literatur_der_Aegypter_djvu.txt) · contraste del archivo de pasajes: ✔</w:t>
      </w:r>
      <w:r>
        <w:br/>
      </w:r>
      <w:r>
        <w:rPr>
          <w:b/>
        </w:rPr>
        <w:t>Lugar:</w:t>
      </w:r>
      <w:r>
        <w:t xml:space="preserve"> p. 157 (pdf p. 179; djvu l. 9506-9507)</w:t>
      </w:r>
      <w:r>
        <w:br/>
      </w:r>
      <w:r>
        <w:rPr>
          <w:b/>
        </w:rPr>
        <w:t>Dirección:</w:t>
      </w:r>
      <w:r>
        <w:t xml:space="preserve"> </w:t>
      </w:r>
      <w:r>
        <w:t>https://archive.org/details/dieliteraturdera0000adol_a8y0</w:t>
      </w:r>
      <w:r>
        <w:br/>
      </w:r>
      <w:r>
        <w:rPr>
          <w:b/>
        </w:rPr>
        <w:t>Tal como está en la fuente:</w:t>
      </w:r>
      <w:r>
        <w:t xml:space="preserve"> Das Recht wird wieder an seine Stelle kommen und das Unrecht, das ist herausgejagt.</w:t>
      </w:r>
      <w:r>
        <w:br/>
      </w:r>
      <w:r>
        <w:rPr>
          <w:b/>
        </w:rPr>
        <w:t>Traducción guardada:</w:t>
      </w:r>
      <w:r>
        <w:t xml:space="preserve"> La justicia volverá a su lugar y la injusticia será expulsada</w:t>
      </w:r>
      <w:r>
        <w:t xml:space="preserve">. Son textos posteriores al colapso, que miran atrás, no de la época misma. Y no consta ningún faraón depuesto en vida por fallar a Maat. </w:t>
      </w:r>
      <w:r>
        <w:t>[19.00-3.1; nuevo, aprobado por Kiko el 5-oct]</w:t>
      </w:r>
    </w:p>
    <w:p>
      <w:r>
        <w:rPr>
          <w:b/>
        </w:rPr>
        <w:t>Y tradiciones que lo hicieron institución.</w:t>
      </w:r>
    </w:p>
    <w:p>
      <w:pPr>
        <w:pStyle w:val="ListBullet"/>
      </w:pPr>
      <w:r>
        <w:rPr>
          <w:b/>
        </w:rPr>
        <w:t>Los ashanti.</w:t>
      </w:r>
      <w:r>
        <w:t xml:space="preserve"> Cualquier persona del común podía iniciar el proceso para destituir a un jefe; el jefe era juzgado, y si se le destituía, se le retiraba el taburete, el símbolo del cargo</w:t>
      </w:r>
      <w:r>
        <w:t xml:space="preserve"> (Rattray, Ashanti Law and Constitution, 1929, pp. 145-146)</w:t>
      </w:r>
      <w:r>
        <w:t>. Alcanzaba a la cúspide: el rey Kofi Karikari fue depuesto en 1874, cuando se descubrió que había profanado las tumbas de sus antepasados</w:t>
      </w:r>
      <w:r>
        <w:t xml:space="preserve"> (Claridge, A History of the Gold Coast and Ashanti, 1915)</w:t>
      </w:r>
      <w:r>
        <w:t>. Y sigue vivo: en 2024, el Asantehene destituyó a tres jefes por su implicación en la minería ilegal; en 2025, a otro, con estas palabras: «Juraste con el Gran Juramento ser veraz, y fuiste contra él. No mereces seguir en el taburete»</w:t>
      </w:r>
      <w:r>
        <w:t xml:space="preserve"> [original: «You vowed with the Great Oath to be truthful but you went against it. You don't deserve to stay on the stool»]</w:t>
      </w:r>
      <w:r>
        <w:t>; y en julio de 2026, a un jefe que llevaba ochenta y nueve años en el cargo</w:t>
      </w:r>
      <w:r>
        <w:t xml:space="preserve"> (Graphic Online, 28-8-2024 y 1-3-2025; MyJoyOnline, 28-7-2026; fuente secundaria: prensa)</w:t>
      </w:r>
      <w:r>
        <w:t xml:space="preserve">. </w:t>
      </w:r>
      <w:r>
        <w:t>[19.00-6.1; Rattray y Claridge leídos en Internet Archive]</w:t>
      </w:r>
    </w:p>
    <w:p>
      <w:pPr>
        <w:pStyle w:val="ListBullet"/>
      </w:pPr>
      <w:r>
        <w:rPr>
          <w:b/>
        </w:rPr>
        <w:t>Los iroqueses.</w:t>
      </w:r>
      <w:r>
        <w:t xml:space="preserve"> El señor que no tiene en mente el bien del pueblo es despojado de su título, tras tres advertencias, por orden de las mujeres a quienes pertenece (</w:t>
      </w:r>
      <w:r>
        <w:t>3.2</w:t>
      </w:r>
      <w:r>
        <w:t xml:space="preserve">, P1; la fecha de la Gran Ley se discute y su texto escrito es reciente, de 1916). </w:t>
      </w:r>
      <w:r>
        <w:t>[19.00-7.1]</w:t>
      </w:r>
    </w:p>
    <w:p>
      <w:pPr>
        <w:pStyle w:val="ListBullet"/>
      </w:pPr>
      <w:r>
        <w:rPr>
          <w:b/>
        </w:rPr>
        <w:t>Los incas.</w:t>
      </w:r>
      <w:r>
        <w:t xml:space="preserve"> Había veedores que andaban en secreto por los distritos viendo «lo que mal hacían» los oficiales, «y daban cuenta dello a los superiores, a quien tocaba el castigo»: «Llamábanse Tucuricocc, que quiere decir el que lo mira todo»</w:t>
      </w:r>
      <w:r>
        <w:t xml:space="preserve"> (Garcilaso de la Vega, Comentarios reales II, 14)</w:t>
      </w:r>
      <w:r>
        <w:br/>
      </w:r>
      <w:r>
        <w:rPr>
          <w:b/>
        </w:rPr>
        <w:t>pasaje guardado · Garcilaso de la Vega, Comentarios reales II, 14</w:t>
      </w:r>
      <w:r>
        <w:br/>
      </w:r>
      <w:r>
        <w:rPr>
          <w:b/>
        </w:rPr>
        <w:t>Archivo leído:</w:t>
      </w:r>
      <w:r>
        <w:t xml:space="preserve"> 19.00-8.1_Garcilaso_Comentarios_Reales_ed_Urteaga_1918_t1_djvu.txt (c7c\19.00-8.1_Garcilaso_Comentarios_Reales_ed_Urteaga_1918_t1_djvu.txt) · contraste del archivo de pasajes: parcial</w:t>
      </w:r>
      <w:r>
        <w:br/>
      </w:r>
      <w:r>
        <w:rPr>
          <w:b/>
        </w:rPr>
        <w:t>Lugar:</w:t>
      </w:r>
      <w:r>
        <w:t xml:space="preserve"> pp. 118-119 (l. 6802-6813)</w:t>
      </w:r>
      <w:r>
        <w:br/>
      </w:r>
      <w:r>
        <w:rPr>
          <w:b/>
        </w:rPr>
        <w:t>Dirección:</w:t>
      </w:r>
      <w:r>
        <w:t xml:space="preserve"> </w:t>
      </w:r>
      <w:r>
        <w:t>https://archive.org/details/loscomentariosre01vega</w:t>
      </w:r>
      <w:r>
        <w:br/>
      </w:r>
      <w:r>
        <w:rPr>
          <w:b/>
        </w:rPr>
        <w:t>Tal como está en la fuente:</w:t>
      </w:r>
      <w:r>
        <w:t xml:space="preserve"> había veedores y pesquisadores que de secreto andaban en sus distritos viendo ó pesquisando lo que mal hacían los tales oficiales, y daban cuenta dello a los superiores, a quien tocaba el castigo de sus inferiores, para que lo castigasen. Llamábanse Tucuricocc, que quiere decir el que lo mira todo.</w:t>
      </w:r>
      <w:r>
        <w:t xml:space="preserve">. Vigilaban el poder delegado, no al Inca. </w:t>
      </w:r>
      <w:r>
        <w:t>[19.00-8.1]</w:t>
      </w:r>
    </w:p>
    <w:p>
      <w:pPr>
        <w:pStyle w:val="ListBullet"/>
      </w:pPr>
      <w:r>
        <w:rPr>
          <w:b/>
        </w:rPr>
        <w:t>Qumrán.</w:t>
      </w:r>
      <w:r>
        <w:t xml:space="preserve"> La Regla de la Comunidad castiga dentro de la propia comunidad, con penas graduadas: «si se encuentra entre ellos a un hombre que miente sobre sus bienes a sabiendas, lo apartarán de la pureza de los Muchos durante un año, y será castigado con la cuarta parte de su pan»</w:t>
      </w:r>
      <w:r>
        <w:t xml:space="preserve"> [original: «אם ימצא בם איש אשר ישקר בהון והואה יודע ויבדילהו מתוך טהרת רבים שנה אחת ונענשו את רביעית לחמו»]</w:t>
      </w:r>
      <w:r>
        <w:t xml:space="preserve"> (Regla de la Comunidad, 1QS VI, 24-25)</w:t>
      </w:r>
      <w:r>
        <w:br/>
      </w:r>
      <w:r>
        <w:rPr>
          <w:b/>
        </w:rPr>
        <w:t>pasaje guardado · Regla de la Comunidad, 1QS VI, 24-25</w:t>
      </w:r>
      <w:r>
        <w:br/>
      </w:r>
      <w:r>
        <w:rPr>
          <w:b/>
        </w:rPr>
        <w:t>Original donde está:</w:t>
      </w:r>
      <w:r>
        <w:t xml:space="preserve"> 19.00-10.1_1QS_hebreo_Abegg-Bowley-Cook_ETCBC_dss_tf1.9_CC-BY-NC.txt</w:t>
      </w:r>
      <w:r>
        <w:br/>
      </w:r>
      <w:r>
        <w:t>El pasaje literal no está en el archivo de pasajes con este comienzo; la auditoría lo halló en ese original.</w:t>
      </w:r>
      <w:r>
        <w:t>. No es un mecanismo para deponer a un jefe, sino un código escrito para que la comunidad se corrija por dentro. La mayoría de los estudiosos la identifica con los esenios, aunque no es unánime</w:t>
      </w:r>
      <w:r>
        <w:t xml:space="preserve"> (Encyclopaedia Britannica, «Essene»; fuente secundaria)</w:t>
      </w:r>
      <w:r>
        <w:t xml:space="preserve">. </w:t>
      </w:r>
      <w:r>
        <w:t>[19.00-10.1 y 10.2; 1QS leído en hebreo]</w:t>
      </w:r>
    </w:p>
    <w:p>
      <w:r>
        <w:rPr>
          <w:b/>
        </w:rPr>
        <w:t>El patrón, aplicado por el propio auditado.</w:t>
      </w:r>
      <w:r>
        <w:t xml:space="preserve"> No hace falta inventar el criterio: el sistema tiene el suyo.</w:t>
      </w:r>
    </w:p>
    <w:p>
      <w:pPr>
        <w:pStyle w:val="ListBullet"/>
      </w:pPr>
      <w:r>
        <w:rPr>
          <w:b/>
        </w:rPr>
        <w:t>La norma internacional.</w:t>
      </w:r>
      <w:r>
        <w:t xml:space="preserve"> La auditoría de desempeño es «una revisión independiente, objetiva y confiable sobre si las acciones, sistemas, operaciones, programas, actividades u organizaciones del gobierno operan de acuerdo con los principios de economía, eficiencia y eficacia, y sobre si existen áreas de mejora»</w:t>
      </w:r>
      <w:r>
        <w:t xml:space="preserve"> (INTOSAI, ISSAI 300, 2019, p. 8)</w:t>
      </w:r>
      <w:r>
        <w:br/>
      </w:r>
      <w:r>
        <w:rPr>
          <w:b/>
        </w:rPr>
        <w:t>leída en su fuente · INTOSAI, ISSAI 300, 2019, p. 8</w:t>
      </w:r>
      <w:r>
        <w:br/>
      </w:r>
      <w:r>
        <w:rPr>
          <w:b/>
        </w:rPr>
        <w:t>Archivo leído:</w:t>
      </w:r>
      <w:r>
        <w:t xml:space="preserve"> 19.00-25_INTOSAI_ISSAI_300_Performance_Audit_Principles_2019_en.pdf · 19.00-25_INTOSAI_ISSAI_300_Principios_Auditoria_de_Desempeno_2019_es.pdf (c7c\19.00-25_INTOSAI_ISSAI_300_Principios_Auditoria_de_Desempeno_2019_es.pdf) · contraste del archivo de pasajes: ✔</w:t>
      </w:r>
      <w:r>
        <w:br/>
      </w:r>
      <w:r>
        <w:rPr>
          <w:b/>
        </w:rPr>
        <w:t>Lugar:</w:t>
      </w:r>
      <w:r>
        <w:t xml:space="preserve"> es, p. 8, apartado 9 (txt l. 213-217)</w:t>
      </w:r>
      <w:r>
        <w:br/>
      </w:r>
      <w:r>
        <w:rPr>
          <w:b/>
        </w:rPr>
        <w:t>Dirección:</w:t>
      </w:r>
      <w:r>
        <w:t xml:space="preserve"> </w:t>
      </w:r>
      <w:r>
        <w:t>https://www.issai.org/wp-content/uploads/2019/08/ISSAI-300-Performance-Audit-Principles.pdf</w:t>
      </w:r>
      <w:r>
        <w:t xml:space="preserve"> · </w:t>
      </w:r>
      <w:r>
        <w:t>https://www.issai.org/wp-content/uploads/2019/08/ISSAI-300-Principios-de-la-Auditoria-de-Desempeno.pdf</w:t>
      </w:r>
      <w:r>
        <w:br/>
      </w:r>
      <w:r>
        <w:rPr>
          <w:b/>
        </w:rPr>
        <w:t>Tal como está en la fuente:</w:t>
      </w:r>
      <w:r>
        <w:t xml:space="preserve"> Tal como la llevan a cabo las EFS, la Auditoría de Desempeño es una revisión independiente, objetiva y confiable sobre si las acciones, sistemas, operaciones, programas, actividades u organizaciones del gobierno operan de acuerdo con los principios de economía, eficiencia y eficacia, y sobre si existen áreas de mejora.</w:t>
      </w:r>
      <w:r>
        <w:t>. No mide si se siguió el procedimiento: mide si se logró el resultado.</w:t>
      </w:r>
    </w:p>
    <w:p>
      <w:pPr>
        <w:pStyle w:val="ListBullet"/>
      </w:pPr>
      <w:r>
        <w:rPr>
          <w:b/>
        </w:rPr>
        <w:t>La ley europea.</w:t>
      </w:r>
      <w:r>
        <w:t xml:space="preserve"> La eficacia «se refiere a la medida en que se alcanzan los objetivos perseguidos mediante las actividades acometidas»</w:t>
      </w:r>
      <w:r>
        <w:t xml:space="preserve"> (Reglamento (UE, Euratom) 2024/2509, art. 33)</w:t>
      </w:r>
      <w:r>
        <w:br/>
      </w:r>
      <w:r>
        <w:rPr>
          <w:b/>
        </w:rPr>
        <w:t>leída en su fuente · Reglamento (UE, Euratom) 2024/2509, art. 33</w:t>
      </w:r>
      <w:r>
        <w:br/>
      </w:r>
      <w:r>
        <w:rPr>
          <w:b/>
        </w:rPr>
        <w:t>Archivo leído:</w:t>
      </w:r>
      <w:r>
        <w:t xml:space="preserve"> 19.00_EURLex_Reglamento_UE_2018-1046_financiero_ES.html; 19.00_EURLex_Reglamento_UE_2024-2509_financiero_refundido_ES.html (c7a\19.00_EURLex_Reglamento_UE_2018-1046_financiero_ES.html; c7a\19.00_EURLex_Reglamento_UE_2024-2509_financiero_refundido_ES.html) · contraste del archivo de pasajes: ✔</w:t>
      </w:r>
      <w:r>
        <w:br/>
      </w:r>
      <w:r>
        <w:rPr>
          <w:b/>
        </w:rPr>
        <w:t>Lugar:</w:t>
      </w:r>
      <w:r>
        <w:t xml:space="preserve"> Art. 33.1 (igual en ambos)</w:t>
      </w:r>
      <w:r>
        <w:br/>
      </w:r>
      <w:r>
        <w:rPr>
          <w:b/>
        </w:rPr>
        <w:t>Dirección:</w:t>
      </w:r>
      <w:r>
        <w:t xml:space="preserve"> </w:t>
      </w:r>
      <w:r>
        <w:t>https://eur-lex.europa.eu/legal-content/ES/TXT/HTML/?uri=CELEX:32018R1046</w:t>
      </w:r>
      <w:r>
        <w:t xml:space="preserve"> ; </w:t>
      </w:r>
      <w:r>
        <w:t>…CELEX:32024R2509</w:t>
      </w:r>
      <w:r>
        <w:br/>
      </w:r>
      <w:r>
        <w:rPr>
          <w:b/>
        </w:rPr>
        <w:t>Tal como está en la fuente:</w:t>
      </w:r>
      <w:r>
        <w:t xml:space="preserve"> b) el principio de eficiencia, que se refiere a la óptima relación entre los medios empleados, las actividades acometidas y la consecución de los objetivos; c) el principio de eficacia, que se refiere a la medida en que se alcanzan los objetivos perseguidos mediante las actividades acometidas.</w:t>
      </w:r>
      <w:r>
        <w:t>. Un reglamento de la Unión se aplica directamente en España (Tratado de Funcionamiento de la UE, art. 288).</w:t>
      </w:r>
    </w:p>
    <w:p>
      <w:pPr>
        <w:pStyle w:val="ListBullet"/>
      </w:pPr>
      <w:r>
        <w:rPr>
          <w:b/>
        </w:rPr>
        <w:t>El Tribunal de Cuentas.</w:t>
      </w:r>
      <w:r>
        <w:t xml:space="preserve"> Su propio manual define la fiscalización operativa como una revisión «realizada por personal cualificado» que verifica si las actuaciones «son concordantes con los principios de eficacia, eficiencia y economía»</w:t>
      </w:r>
      <w:r>
        <w:t xml:space="preserve"> (Tribunal de Cuentas, Manual de fiscalización operativa o de gestión, citado en la Revista Española de Control Externo, n.º 53, 2016)</w:t>
      </w:r>
      <w:r>
        <w:br/>
      </w:r>
      <w:r>
        <w:rPr>
          <w:b/>
        </w:rPr>
        <w:t>pasaje guardado · Tribunal de Cuentas, Manual de fiscalización operativa o de gestión, citado en la Revista</w:t>
      </w:r>
      <w:r>
        <w:br/>
      </w:r>
      <w:r>
        <w:rPr>
          <w:b/>
        </w:rPr>
        <w:t>Archivo leído:</w:t>
      </w:r>
      <w:r>
        <w:t xml:space="preserve"> 19.00-25_Genaro_Moya_2016_REC_XVIII_53_pp11-37_fiscalizacion_operativa_Dialnet.pdf (c7c\19.00-25_Genaro_Moya_2016_REC_XVIII_53_pp11-37_fiscalizacion_operativa_Dialnet.pdf) · contraste del archivo de pasajes: ✔</w:t>
      </w:r>
      <w:r>
        <w:br/>
      </w:r>
      <w:r>
        <w:rPr>
          <w:b/>
        </w:rPr>
        <w:t>Lugar:</w:t>
      </w:r>
      <w:r>
        <w:t xml:space="preserve"> p. 16 (pdf p. 18; txt l. 534-541)</w:t>
      </w:r>
      <w:r>
        <w:br/>
      </w:r>
      <w:r>
        <w:rPr>
          <w:b/>
        </w:rPr>
        <w:t>Dirección:</w:t>
      </w:r>
      <w:r>
        <w:t xml:space="preserve"> </w:t>
      </w:r>
      <w:r>
        <w:t>https://dialnet.unirioja.es/descarga/articulo/5636340.pdf</w:t>
      </w:r>
      <w:r>
        <w:br/>
      </w:r>
      <w:r>
        <w:rPr>
          <w:b/>
        </w:rPr>
        <w:t>Tal como está en la fuente:</w:t>
      </w:r>
      <w:r>
        <w:t xml:space="preserve"> nuestro Tribunal de Cuentas, en el mencionado Manual de Fiscalización Operativa o de Gestión, establece que la «fiscalización operativa consiste en la revisión independiente, objetiva y fiable, realizada por personal cualificado, que tiene por objeto verificar si las acciones, sistemas, operaciones, programas, actividades, organizaciones y recursos de la entidad fiscalizada son concordantes con los principios de eficacia, eficiencia y economía…»</w:t>
      </w:r>
      <w:r>
        <w:t>.</w:t>
      </w:r>
    </w:p>
    <w:p>
      <w:r>
        <w:t xml:space="preserve">Es decir: no por sus procedimientos, sino por sus frutos. </w:t>
      </w:r>
      <w:r>
        <w:t>[19.00-25.1 a 25.4]</w:t>
      </w:r>
    </w:p>
    <w:p>
      <w:r>
        <w:rPr>
          <w:b/>
        </w:rPr>
        <w:t>Siete casos de la Constitución, con su calificación exacta.</w:t>
      </w:r>
      <w:r>
        <w:t xml:space="preserve"> El criterio no permite declarar «el Estado está corrompido» como sentencia total; obliga a decir cuándo la forma se restauró y cuándo el defecto está en el diseño de origen y no en el incumplimiento. </w:t>
      </w:r>
      <w:r>
        <w:t>[19.00-24.1]</w:t>
      </w:r>
    </w:p>
    <w:p>
      <w:pPr>
        <w:spacing w:after="60"/>
        <w:ind w:left="510" w:hanging="397"/>
      </w:pPr>
      <w:r>
        <w:rPr>
          <w:b w:val="0"/>
        </w:rPr>
        <w:t xml:space="preserve">1. </w:t>
      </w:r>
      <w:r>
        <w:rPr>
          <w:b/>
        </w:rPr>
        <w:t>Art. 31.1, el IVA de los pequeños autónomos.</w:t>
      </w:r>
      <w:r>
        <w:t xml:space="preserve"> La Comisión Europea llevó a España ante el Tribunal de Justicia por no adoptar las disposiciones de la directiva que regula el régimen especial de las pequeñas empresas</w:t>
      </w:r>
      <w:r>
        <w:t xml:space="preserve"> (asunto C-504/26, Diario Oficial de la UE)</w:t>
      </w:r>
      <w:r>
        <w:t>. Corrupción por omisión. Sin resolver.</w:t>
      </w:r>
    </w:p>
    <w:p>
      <w:pPr>
        <w:spacing w:after="60"/>
        <w:ind w:left="510" w:hanging="397"/>
      </w:pPr>
      <w:r>
        <w:rPr>
          <w:b w:val="0"/>
        </w:rPr>
        <w:t xml:space="preserve">2. </w:t>
      </w:r>
      <w:r>
        <w:rPr>
          <w:b/>
        </w:rPr>
        <w:t>Art. 9.3, la Zona de Bajas Emisiones de Madrid.</w:t>
      </w:r>
      <w:r>
        <w:t xml:space="preserve"> El Tribunal Superior de Madrid la anuló por la «patente insuficiencia del informe de impacto económico»</w:t>
      </w:r>
      <w:r>
        <w:t xml:space="preserve"> (nota del CGPJ, 17-9-2024)</w:t>
      </w:r>
      <w:r>
        <w:br/>
      </w:r>
      <w:r>
        <w:rPr>
          <w:b/>
        </w:rPr>
        <w:t>leída en su fuente · nota del CGPJ, 17-9-2024</w:t>
      </w:r>
      <w:r>
        <w:br/>
      </w:r>
      <w:r>
        <w:rPr>
          <w:b/>
        </w:rPr>
        <w:t>Archivo leído:</w:t>
      </w:r>
      <w:r>
        <w:t xml:space="preserve"> 19.00_CGPJ_nota_TSJM_anula_ZBE_Madrid_17-09-2024.html; 19.00_CGPJ_nota_TS_inadmite_recurso_Ayto_Madrid_ZBE.html (c7a\19.00_CGPJ_nota_TSJM_anula_ZBE_Madrid_17-09-2024.html) · contraste del archivo de pasajes: ✔</w:t>
      </w:r>
      <w:r>
        <w:br/>
      </w:r>
      <w:r>
        <w:rPr>
          <w:b/>
        </w:rPr>
        <w:t>Lugar:</w:t>
      </w:r>
      <w:r>
        <w:t xml:space="preserve"> Nota 2024</w:t>
      </w:r>
      <w:r>
        <w:br/>
      </w:r>
      <w:r>
        <w:rPr>
          <w:b/>
        </w:rPr>
        <w:t>Dirección:</w:t>
      </w:r>
      <w:r>
        <w:t xml:space="preserve"> </w:t>
      </w:r>
      <w:r>
        <w:t>https://www.poderjudicial.es/portal/site/cgpj/menuitem.65d2c4456b6ddb628e635fc1dc432ea0/?vgnextoid=0e8973feecff1910VgnVCM1000004648ac0aRCRD&amp;vgnextchannel=ea1732cd1ddaa210VgnVCM100000cb34e20aRCRD&amp;vgnextfmt=default&amp;vgnextlocale=es_ES</w:t>
      </w:r>
      <w:r>
        <w:t xml:space="preserve"> ; </w:t>
      </w:r>
      <w:r>
        <w:t>https://www.poderjudicial.es/cgpj/es/Poder-Judicial/Noticias-Judiciales/El-Tribunal-Supremo-inadmite-el-recurso-presentado-por-el-Ayuntamiento-de-Madrid-contra-la-sentencia-que-anulo-determinados-articulos-de-la-Ordenanza-de-Movilidad-Sostenible-de-Madrid</w:t>
      </w:r>
      <w:r>
        <w:br/>
      </w:r>
      <w:r>
        <w:rPr>
          <w:b/>
        </w:rPr>
        <w:t>Tal como está en la fuente:</w:t>
      </w:r>
      <w:r>
        <w:t xml:space="preserve"> "se da una ""patente insuficiencia del informe de impacto económico"" de las medidas adoptadas en la Ordenanza"</w:t>
      </w:r>
      <w:r>
        <w:t>. Corrupción de la forma, declarada por sentencia. Restaurada solo hacia el futuro.</w:t>
      </w:r>
    </w:p>
    <w:p>
      <w:pPr>
        <w:spacing w:after="60"/>
        <w:ind w:left="510" w:hanging="397"/>
      </w:pPr>
      <w:r>
        <w:rPr>
          <w:b w:val="0"/>
        </w:rPr>
        <w:t xml:space="preserve">3. </w:t>
      </w:r>
      <w:r>
        <w:rPr>
          <w:b/>
        </w:rPr>
        <w:t>Art. 24.2, la presunción en lo sancionador.</w:t>
      </w:r>
      <w:r>
        <w:t xml:space="preserve"> La ley reconoce al presunto responsable el derecho «a la presunción de no existencia de responsabilidad administrativa mientras no se demuestre lo contrario»</w:t>
      </w:r>
      <w:r>
        <w:t xml:space="preserve"> (Ley 39/2015, art. 53.2.b)</w:t>
      </w:r>
      <w:r>
        <w:br/>
      </w:r>
      <w:r>
        <w:rPr>
          <w:b/>
        </w:rPr>
        <w:t>leída en su fuente · Ley 39/2015, art. 53.2.b</w:t>
      </w:r>
      <w:r>
        <w:br/>
      </w:r>
      <w:r>
        <w:rPr>
          <w:b/>
        </w:rPr>
        <w:t>Archivo leído:</w:t>
      </w:r>
      <w:r>
        <w:t xml:space="preserve"> ley39_2015_procedimiento.html; 19.00_STC_18-1981_HJ.html; 19.00_STC_42-1989_HJ.html (c5\ley39_2015_procedimiento.html) · contraste del archivo de pasajes: ✔</w:t>
      </w:r>
      <w:r>
        <w:br/>
      </w:r>
      <w:r>
        <w:rPr>
          <w:b/>
        </w:rPr>
        <w:t>Lugar:</w:t>
      </w:r>
      <w:r>
        <w:t xml:space="preserve"> Art. 53.2.b</w:t>
      </w:r>
      <w:r>
        <w:br/>
      </w:r>
      <w:r>
        <w:rPr>
          <w:b/>
        </w:rPr>
        <w:t>Dirección:</w:t>
      </w:r>
      <w:r>
        <w:t xml:space="preserve"> </w:t>
      </w:r>
      <w:r>
        <w:t>https://www.boe.es/buscar/act.php?id=BOE-A-2015-10565</w:t>
      </w:r>
      <w:r>
        <w:t xml:space="preserve"> ; </w:t>
      </w:r>
      <w:r>
        <w:t>https://hj.tribunalconstitucional.es/es/Resolucion/Show/18</w:t>
      </w:r>
      <w:r>
        <w:t xml:space="preserve"> ; </w:t>
      </w:r>
      <w:r>
        <w:t>…/Show/1248</w:t>
      </w:r>
      <w:r>
        <w:br/>
      </w:r>
      <w:r>
        <w:rPr>
          <w:b/>
        </w:rPr>
        <w:t>Tal como está en la fuente:</w:t>
      </w:r>
      <w:r>
        <w:t xml:space="preserve"> A la presunción de no existencia de responsabilidad administrativa mientras no se demuestre lo contrario.</w:t>
      </w:r>
      <w:r>
        <w:t>, y el Constitucional extendió «con ciertos matices» los principios del orden penal al derecho administrativo sancionador</w:t>
      </w:r>
      <w:r>
        <w:t xml:space="preserve"> (STC 18/1981)</w:t>
      </w:r>
      <w:r>
        <w:t>. La corrupción está donde la práctica invierte esa carga. Restauración parcial: hay que reclamarla caso por caso.</w:t>
      </w:r>
    </w:p>
    <w:p>
      <w:pPr>
        <w:spacing w:after="60"/>
        <w:ind w:left="510" w:hanging="397"/>
      </w:pPr>
      <w:r>
        <w:rPr>
          <w:b w:val="0"/>
        </w:rPr>
        <w:t xml:space="preserve">4. </w:t>
      </w:r>
      <w:r>
        <w:rPr>
          <w:b/>
        </w:rPr>
        <w:t>Art. 50, el Fondo de Reserva.</w:t>
      </w:r>
      <w:r>
        <w:t xml:space="preserve"> Pasó de 66.815 millones en 2011 a 5.043 en 2018, y a 31 de marzo de 2026 tenía 15.267 millones, su máximo en diez años</w:t>
      </w:r>
      <w:r>
        <w:t xml:space="preserve"> (Fondo de Reserva, informe a las Cortes, 2025; La Moncloa, 13-4-2026)</w:t>
      </w:r>
      <w:r>
        <w:t>. No fue apropiación indebida: se usó para pagar pensiones. Es un diseño sin blindaje. En recuperación.</w:t>
      </w:r>
    </w:p>
    <w:p>
      <w:pPr>
        <w:spacing w:after="60"/>
        <w:ind w:left="510" w:hanging="397"/>
      </w:pPr>
      <w:r>
        <w:rPr>
          <w:b w:val="0"/>
        </w:rPr>
        <w:t xml:space="preserve">5. </w:t>
      </w:r>
      <w:r>
        <w:rPr>
          <w:b/>
        </w:rPr>
        <w:t>Art. 39, la infancia.</w:t>
      </w:r>
      <w:r>
        <w:t xml:space="preserve"> En 2025, el 33,8 % de los menores de 18 años estaba en riesgo de pobreza o exclusión social, frente al 25,7 % del conjunto</w:t>
      </w:r>
      <w:r>
        <w:t xml:space="preserve"> (INE, Encuesta de Condiciones de Vida 2025)</w:t>
      </w:r>
      <w:r>
        <w:t>. Corrupción sin un acto que impugnar: un resultado sostenido de política pública. Sin resolver.</w:t>
      </w:r>
    </w:p>
    <w:p>
      <w:pPr>
        <w:spacing w:after="60"/>
        <w:ind w:left="510" w:hanging="397"/>
      </w:pPr>
      <w:r>
        <w:rPr>
          <w:b w:val="0"/>
        </w:rPr>
        <w:t xml:space="preserve">6. </w:t>
      </w:r>
      <w:r>
        <w:rPr>
          <w:b/>
        </w:rPr>
        <w:t>Art. 71.4, la asignación.</w:t>
      </w:r>
      <w:r>
        <w:t xml:space="preserve"> Aquí no hay corrupción de la forma: la Constitución autoriza expresamente que las Cámaras la fijen (</w:t>
      </w:r>
      <w:r>
        <w:t>7.2</w:t>
      </w:r>
      <w:r>
        <w:t>, n.º 1). Es una laguna de origen: corregirla exige reformar, no restaurar.</w:t>
      </w:r>
    </w:p>
    <w:p>
      <w:pPr>
        <w:spacing w:after="60"/>
        <w:ind w:left="510" w:hanging="397"/>
      </w:pPr>
      <w:r>
        <w:rPr>
          <w:b w:val="0"/>
        </w:rPr>
        <w:t xml:space="preserve">7. </w:t>
      </w:r>
      <w:r>
        <w:rPr>
          <w:b/>
        </w:rPr>
        <w:t>Art. 128.1, la expropiación en favor de un monopolio.</w:t>
      </w:r>
      <w:r>
        <w:t xml:space="preserve"> Según la información disponible, el Supremo avaló en 2026 que el justiprecio se calculara con la Ley de Expropiación Forzosa de 1954, sin ajuste por la posición de la beneficiaria</w:t>
      </w:r>
      <w:r>
        <w:t xml:space="preserve"> (fuente secundaria; no se ha podido leer la sentencia)</w:t>
      </w:r>
      <w:r>
        <w:t>. Si es así, el defecto no está en el acto, sino en una ley de setenta y dos años: forma envejecida.</w:t>
      </w:r>
    </w:p>
    <w:p>
      <w:r>
        <w:t>[19.00-26.1 a 32.1; Ley 39/2015 y STC 18/1981 leídas en el original]</w:t>
      </w:r>
    </w:p>
    <w:p>
      <w:r>
        <w:rPr>
          <w:b/>
        </w:rPr>
        <w:t>Lo que la tabla demuestra, y lo que no.</w:t>
      </w:r>
      <w:r>
        <w:t xml:space="preserve"> De los siete casos, dos están reparados o en reparación (la Zona de Bajas Emisiones y el Fondo de Reserva); dos son lagunas de diseño, no incumplimientos (la asignación y la expropiación); y tres siguen sin resolver (el IVA, la presunción en lo sancionador y la pobreza infantil). Una forma que falla, a veces se corrige y otras lleva su fallo escrito de origen: esa es la verdad completa. La misma estructura dentro del orden de las leyes, donde la ley se blinda frente a la costumbre que la deja sin vida, se vio en </w:t>
      </w:r>
      <w:r>
        <w:t>1.7</w:t>
      </w:r>
      <w:r>
        <w:t xml:space="preserve">. </w:t>
      </w:r>
      <w:r>
        <w:t>[19.00-33.1 y 34.1]</w:t>
      </w:r>
    </w:p>
    <w:p>
      <w:r>
        <w:rPr>
          <w:b/>
        </w:rPr>
        <w:t>Conclusión, lo que arrojan los datos:</w:t>
      </w:r>
      <w:r>
        <w:t xml:space="preserve"> la idea de que una forma sin sustancia es corrupción la sostienen tradiciones sin contacto documentado entre sí, y varias la hicieron institución: el taburete ashanti, el título iroqués, el veedor inca, la regla de Qumrán. Y es la medida del propio sistema: la norma internacional de auditoría, la ley europea y el Tribunal de Cuentas miden por los resultados. Aplicada a la Constitución, encuentra corrupciones puntuales y lagunas de origen, y también restauraciones. </w:t>
      </w:r>
      <w:r>
        <w:t>[19.00-0.1 y 33.1]</w:t>
      </w:r>
    </w:p>
    <w:p>
      <w:r>
        <w:rPr>
          <w:b/>
        </w:rPr>
        <w:t>Lectura del autor:</w:t>
      </w:r>
      <w:r>
        <w:t xml:space="preserve"> lo que este apartado mira es la lucha entre el parecer y el ser. Si las palabras no se sostienen en hechos, pierden su autoridad; y la forma puede seguir en pie mucho tiempo después de haberse vaciado. Por eso la vara no mira lo que una norma dice, sino lo que hace: «Por sus frutos los conoceréis» (Mt 7:16). «El que tiene oídos para oir, oiga» (Mt 11:15). Cuando la pérdida de sustancia llega al límite, el pueblo deja de sostener lo que ya no lo sostiene a él: se ve en </w:t>
      </w:r>
      <w:r>
        <w:t>9.2</w:t>
      </w:r>
      <w:r>
        <w:t xml:space="preserve">. </w:t>
      </w:r>
      <w:r>
        <w:t>[19.00-0.2 y 0.3]</w:t>
      </w:r>
    </w:p>
    <w:p>
      <w:pPr>
        <w:pStyle w:val="Heading2"/>
      </w:pPr>
      <w:r>
        <w:t>7.6 El cobro blindado y el deber aplazado</w:t>
      </w:r>
    </w:p>
    <w:p>
      <w:pPr>
        <w:pBdr>
          <w:left w:val="single" w:sz="24" w:space="6" w:color="E2DED6"/>
        </w:pBdr>
        <w:shd w:val="clear" w:color="auto" w:fill="F1EEE8"/>
        <w:spacing w:before="80" w:after="160"/>
        <w:ind w:left="142" w:right="142"/>
      </w:pPr>
      <w:r>
        <w:rPr>
          <w:b/>
        </w:rPr>
        <w:t>La idea: cuando el ciudadano incumple, el Estado cobra solo y deprisa; cuando incumple el Estado, el ciudadano no tiene un mecanismo igual. No hace falta suponer mala fe: bastan los artículos, las cifras y las sentencias.</w:t>
      </w:r>
    </w:p>
    <w:p>
      <w:r>
        <w:rPr>
          <w:b/>
        </w:rPr>
        <w:t>El encuadre.</w:t>
      </w:r>
      <w:r>
        <w:t xml:space="preserve"> No es una intención de nadie: es la acumulación de potestades y capas normativas creadas en momentos distintos, sin revisión de conjunto, con un resultado asimétrico. </w:t>
      </w:r>
      <w:r>
        <w:t>[22.00-0.1]</w:t>
      </w:r>
    </w:p>
    <w:p>
      <w:pPr>
        <w:pStyle w:val="Heading3"/>
      </w:pPr>
      <w:r>
        <w:t>El cobro</w:t>
      </w:r>
    </w:p>
    <w:p>
      <w:r>
        <w:rPr>
          <w:b/>
        </w:rPr>
        <w:t>Sin juez.</w:t>
      </w:r>
      <w:r>
        <w:t xml:space="preserve"> Un acreedor particular necesita un título ejecutivo (</w:t>
      </w:r>
      <w:r>
        <w:t>5.1</w:t>
      </w:r>
      <w:r>
        <w:t>, n.º 15). La Administración no: sus actos «se presumirán válidos y producirán efectos desde la fecha en que se dicten»</w:t>
      </w:r>
      <w:r>
        <w:t xml:space="preserve"> (Ley 39/2015, art. 39.1)</w:t>
      </w:r>
      <w:r>
        <w:br/>
      </w:r>
      <w:r>
        <w:rPr>
          <w:b/>
        </w:rPr>
        <w:t>leída en su fuente · Ley 39/2015, art. 39.1</w:t>
      </w:r>
      <w:r>
        <w:br/>
      </w:r>
      <w:r>
        <w:rPr>
          <w:b/>
        </w:rPr>
        <w:t>Archivo leído:</w:t>
      </w:r>
      <w:r>
        <w:t xml:space="preserve"> c5 (ídem) (ant\c1\l39.html) · contraste del archivo de pasajes: ✔</w:t>
      </w:r>
      <w:r>
        <w:br/>
      </w:r>
      <w:r>
        <w:rPr>
          <w:b/>
        </w:rPr>
        <w:t>Lugar:</w:t>
      </w:r>
      <w:r>
        <w:t xml:space="preserve"> Art. 39.1</w:t>
      </w:r>
      <w:r>
        <w:br/>
      </w:r>
      <w:r>
        <w:rPr>
          <w:b/>
        </w:rPr>
        <w:t>Tal como está en la fuente:</w:t>
      </w:r>
      <w:r>
        <w:t xml:space="preserve"> se presumirán válidos y producirán efectos desde la fecha en que se dicten</w:t>
      </w:r>
      <w:r>
        <w:t>, «serán inmediatamente ejecutivos»</w:t>
      </w:r>
      <w:r>
        <w:t xml:space="preserve"> (art. 98.1)</w:t>
      </w:r>
      <w:r>
        <w:br/>
      </w:r>
      <w:r>
        <w:rPr>
          <w:b/>
        </w:rPr>
        <w:t>leída en su fuente · art. 98.1</w:t>
      </w:r>
      <w:r>
        <w:br/>
      </w:r>
      <w:r>
        <w:rPr>
          <w:b/>
        </w:rPr>
        <w:t>Archivo leído:</w:t>
      </w:r>
      <w:r>
        <w:t xml:space="preserve"> ley39_2015_procedimiento.html (c5\ley39_2015_procedimiento.html) · contraste del archivo de pasajes: ✔</w:t>
      </w:r>
      <w:r>
        <w:br/>
      </w:r>
      <w:r>
        <w:rPr>
          <w:b/>
        </w:rPr>
        <w:t>Lugar:</w:t>
      </w:r>
      <w:r>
        <w:t xml:space="preserve"> Art. 98.1 (#a98)</w:t>
      </w:r>
      <w:r>
        <w:br/>
      </w:r>
      <w:r>
        <w:rPr>
          <w:b/>
        </w:rPr>
        <w:t>Dirección:</w:t>
      </w:r>
      <w:r>
        <w:t xml:space="preserve"> </w:t>
      </w:r>
      <w:r>
        <w:t>https://www.boe.es/buscar/act.php?id=BOE-A-2015-10565</w:t>
      </w:r>
      <w:r>
        <w:br/>
      </w:r>
      <w:r>
        <w:rPr>
          <w:b/>
        </w:rPr>
        <w:t>Tal como está en la fuente:</w:t>
      </w:r>
      <w:r>
        <w:t xml:space="preserve"> 1. Los actos de las Administraciones Públicas sujetos al Derecho Administrativo serán inmediatamente ejecutivos</w:t>
      </w:r>
      <w:r>
        <w:t>, y puede ejecutarlos ella misma, incluido el «apremio sobre el patrimonio»</w:t>
      </w:r>
      <w:r>
        <w:t xml:space="preserve"> (arts. 99 y 100.1.a)</w:t>
      </w:r>
      <w:r>
        <w:br/>
      </w:r>
      <w:r>
        <w:rPr>
          <w:b/>
        </w:rPr>
        <w:t>pasaje guardado</w:t>
      </w:r>
      <w:r>
        <w:br/>
      </w:r>
      <w:r>
        <w:rPr>
          <w:b/>
        </w:rPr>
        <w:t>Archivo leído:</w:t>
      </w:r>
      <w:r>
        <w:t xml:space="preserve"> c5 (ídem) (ant\c1\l39.html) · contraste del archivo de pasajes: ✔</w:t>
      </w:r>
      <w:r>
        <w:br/>
      </w:r>
      <w:r>
        <w:rPr>
          <w:b/>
        </w:rPr>
        <w:t>Lugar:</w:t>
      </w:r>
      <w:r>
        <w:t xml:space="preserve"> Art. 39.1</w:t>
      </w:r>
      <w:r>
        <w:br/>
      </w:r>
      <w:r>
        <w:rPr>
          <w:b/>
        </w:rPr>
        <w:t>Tal como está en la fuente:</w:t>
      </w:r>
      <w:r>
        <w:t xml:space="preserve"> a) Apremio sobre el patrimonio</w:t>
      </w:r>
      <w:r>
        <w:t>. Es un poder real, con un fin declarado, el interés general, y sujeto a recurso: contra la providencia de apremio caben los motivos de oposición tasados de la ley</w:t>
      </w:r>
      <w:r>
        <w:t xml:space="preserve"> (Ley General Tributaria, art. 167.3)</w:t>
      </w:r>
      <w:r>
        <w:t xml:space="preserve">. </w:t>
      </w:r>
      <w:r>
        <w:t>[22.00-1.1 a 1.3]</w:t>
      </w:r>
    </w:p>
    <w:p>
      <w:r>
        <w:rPr>
          <w:b/>
        </w:rPr>
        <w:t>El recargo en una sola dirección.</w:t>
      </w:r>
      <w:r>
        <w:t xml:space="preserve"> Al que paga tarde se le aplica un recargo: del 5 % si paga antes de que le notifiquen la providencia de apremio, del 10 % si paga en el plazo que esta le da, y del 20 % después, este último compatible con los intereses de demora</w:t>
      </w:r>
      <w:r>
        <w:t xml:space="preserve"> (Ley General Tributaria, art. 28)</w:t>
      </w:r>
      <w:r>
        <w:t>. Cuando es Hacienda la que devuelve tarde, «ésta abonará el interés de demora regulado en el artículo 26»</w:t>
      </w:r>
      <w:r>
        <w:t xml:space="preserve"> (art. 31.2)</w:t>
      </w:r>
      <w:r>
        <w:br/>
      </w:r>
      <w:r>
        <w:rPr>
          <w:b/>
        </w:rPr>
        <w:t>leída en su fuente · art. 31.2</w:t>
      </w:r>
      <w:r>
        <w:br/>
      </w:r>
      <w:r>
        <w:rPr>
          <w:b/>
        </w:rPr>
        <w:t>Archivo leído:</w:t>
      </w:r>
      <w:r>
        <w:t xml:space="preserve"> c5 (ídem) (c5\lgt_ley58_2003.html) · contraste del archivo de pasajes: ✔</w:t>
      </w:r>
      <w:r>
        <w:br/>
      </w:r>
      <w:r>
        <w:rPr>
          <w:b/>
        </w:rPr>
        <w:t>Lugar:</w:t>
      </w:r>
      <w:r>
        <w:t xml:space="preserve"> Art. 28.2: recargo ejecutivo del 5 %</w:t>
      </w:r>
      <w:r>
        <w:br/>
      </w:r>
      <w:r>
        <w:rPr>
          <w:b/>
        </w:rPr>
        <w:t>Tal como está en la fuente:</w:t>
      </w:r>
      <w:r>
        <w:t xml:space="preserve"> ésta abonará el interés de demora regulado en el artículo 26 de esta Ley</w:t>
      </w:r>
      <w:r>
        <w:t xml:space="preserve">: el mismo interés, pero ningún recargo. La asimetría está en el recargo, no en el interés. </w:t>
      </w:r>
      <w:r>
        <w:t>[22.00-2.1 a 2.3]</w:t>
      </w:r>
    </w:p>
    <w:p>
      <w:r>
        <w:rPr>
          <w:b/>
        </w:rPr>
        <w:t>El límite que existe.</w:t>
      </w:r>
      <w:r>
        <w:t xml:space="preserve"> El sistema tributario «en ningún caso, tendrá alcance confiscatorio» (art. 31.1). El Constitucional lo define: obliga a no agotar la riqueza imponible, lo que ocurriría «si mediante la aplicación de las diversas figuras tributarias vigentes, se llegara a privar al sujeto pasivo de sus rentas y propiedades», asumiendo «la dificultad de situar con criterios técnicamente operativos la frontera»</w:t>
      </w:r>
      <w:r>
        <w:t xml:space="preserve"> (STC 150/1990, FJ 9)</w:t>
      </w:r>
      <w:r>
        <w:br/>
      </w:r>
      <w:r>
        <w:rPr>
          <w:b/>
        </w:rPr>
        <w:t>leída en su fuente · STC 150/1990, FJ 9</w:t>
      </w:r>
      <w:r>
        <w:br/>
      </w:r>
      <w:r>
        <w:rPr>
          <w:b/>
        </w:rPr>
        <w:t>Archivo leído:</w:t>
      </w:r>
      <w:r>
        <w:t xml:space="preserve"> 22.00_STC_150-1990_HJ.html; 22.00_STC_233-1999_HJ.html (c7a\22.00_STC_150-1990_HJ.html) · contraste del archivo de pasajes: ✔</w:t>
      </w:r>
      <w:r>
        <w:br/>
      </w:r>
      <w:r>
        <w:rPr>
          <w:b/>
        </w:rPr>
        <w:t>Lugar:</w:t>
      </w:r>
      <w:r>
        <w:t xml:space="preserve"> 150/1990, FJ 9</w:t>
      </w:r>
      <w:r>
        <w:br/>
      </w:r>
      <w:r>
        <w:rPr>
          <w:b/>
        </w:rPr>
        <w:t>Dirección:</w:t>
      </w:r>
      <w:r>
        <w:t xml:space="preserve"> </w:t>
      </w:r>
      <w:r>
        <w:t>https://hj.tribunalconstitucional.es/es/Resolucion/Show/1575</w:t>
      </w:r>
      <w:r>
        <w:t xml:space="preserve"> ; </w:t>
      </w:r>
      <w:r>
        <w:t>…/Show/3975</w:t>
      </w:r>
      <w:r>
        <w:br/>
      </w:r>
      <w:r>
        <w:rPr>
          <w:b/>
        </w:rPr>
        <w:t>Tal como está en la fuente:</w:t>
      </w:r>
      <w:r>
        <w:t xml:space="preserve"> asumiendo la dificultad de situar con criterios técnicamente operativos la frontera en la que lo progresivo [...] degenera en confiscatorio</w:t>
      </w:r>
      <w:r>
        <w:t>. Y una vez funcionó: la plusvalía municipal era inconstitucional cuando «la cuota a satisfacer es superior al incremento patrimonial realmente obtenido por el contribuyente»</w:t>
      </w:r>
      <w:r>
        <w:t xml:space="preserve"> (STC 126/2019, FJ 5)</w:t>
      </w:r>
      <w:r>
        <w:br/>
      </w:r>
      <w:r>
        <w:rPr>
          <w:b/>
        </w:rPr>
        <w:t>leída en su fuente · STC 126/2019, FJ 5</w:t>
      </w:r>
      <w:r>
        <w:br/>
      </w:r>
      <w:r>
        <w:rPr>
          <w:b/>
        </w:rPr>
        <w:t>Archivo leído:</w:t>
      </w:r>
      <w:r>
        <w:t xml:space="preserve"> 22.00_STC_126-2019_HJ.html (c7a\22.00_STC_126-2019_HJ.html) · contraste del archivo de pasajes: ✔</w:t>
      </w:r>
      <w:r>
        <w:br/>
      </w:r>
      <w:r>
        <w:rPr>
          <w:b/>
        </w:rPr>
        <w:t>Dirección:</w:t>
      </w:r>
      <w:r>
        <w:t xml:space="preserve"> </w:t>
      </w:r>
      <w:r>
        <w:t>https://hj.tribunalconstitucional.es/es/Resolucion/Show/26072</w:t>
      </w:r>
      <w:r>
        <w:br/>
      </w:r>
      <w:r>
        <w:rPr>
          <w:b/>
        </w:rPr>
        <w:t>Tal como está en la fuente:</w:t>
      </w:r>
      <w:r>
        <w:t xml:space="preserve"> el art. 107.4 TRLHL debe serlo únicamente en aquellos casos en los que la cuota a satisfacer es superior al incremento patrimonial realmente obtenido por el contribuyente</w:t>
      </w:r>
      <w:r>
        <w:br/>
      </w:r>
      <w:r>
        <w:rPr>
          <w:b/>
        </w:rPr>
        <w:t>Traducción guardada:</w:t>
      </w:r>
      <w:r>
        <w:t xml:space="preserve"> FJ 5 a</w:t>
      </w:r>
      <w:r>
        <w:t xml:space="preserve">. </w:t>
      </w:r>
      <w:r>
        <w:t>[22.00-3.1 a 3.3]</w:t>
      </w:r>
    </w:p>
    <w:p>
      <w:r>
        <w:rPr>
          <w:b/>
        </w:rPr>
        <w:t>Las capas.</w:t>
      </w:r>
      <w:r>
        <w:t xml:space="preserve"> El mismo patrimonio puede pasar por varias sin coordinación entre ellas: la renta al ganarlo, el impuesto sobre bienes inmuebles cada año, el de sucesiones al heredarlo, la plusvalía si subió de valor. Es un fallo de coordinación entre administraciones, no una prueba de intención. Las cifras de la carga, en </w:t>
      </w:r>
      <w:r>
        <w:t>8.4</w:t>
      </w:r>
      <w:r>
        <w:t xml:space="preserve">. </w:t>
      </w:r>
      <w:r>
        <w:t>[22.00-4.1 y 4.2]</w:t>
      </w:r>
    </w:p>
    <w:p>
      <w:r>
        <w:rPr>
          <w:b/>
        </w:rPr>
        <w:t>La palabra del inspector.</w:t>
      </w:r>
      <w:r>
        <w:t xml:space="preserve"> Las diligencias de la inspección «tienen naturaleza de documentos públicos y hacen prueba de los hechos que motiven su formalización, salvo que se acredite lo contrario»</w:t>
      </w:r>
      <w:r>
        <w:t xml:space="preserve"> (Ley General Tributaria, art. 107.1)</w:t>
      </w:r>
      <w:r>
        <w:br/>
      </w:r>
      <w:r>
        <w:rPr>
          <w:b/>
        </w:rPr>
        <w:t>leída en su fuente · Ley General Tributaria, art. 107.1</w:t>
      </w:r>
      <w:r>
        <w:br/>
      </w:r>
      <w:r>
        <w:rPr>
          <w:b/>
        </w:rPr>
        <w:t>Archivo leído:</w:t>
      </w:r>
      <w:r>
        <w:t xml:space="preserve"> c5 (ídem) (c5\lgt_ley58_2003.html) · contraste del archivo de pasajes: ✔</w:t>
      </w:r>
      <w:r>
        <w:br/>
      </w:r>
      <w:r>
        <w:rPr>
          <w:b/>
        </w:rPr>
        <w:t>Lugar:</w:t>
      </w:r>
      <w:r>
        <w:t xml:space="preserve"> Art. 107.1</w:t>
      </w:r>
      <w:r>
        <w:br/>
      </w:r>
      <w:r>
        <w:rPr>
          <w:b/>
        </w:rPr>
        <w:t>Tal como está en la fuente:</w:t>
      </w:r>
      <w:r>
        <w:t xml:space="preserve"> Las diligencias extendidas en el curso de las actuaciones y los procedimientos tributarios tienen naturaleza de documentos públicos y hacen prueba de los hechos que motiven su formalización, salvo que se acredite lo contrario.</w:t>
      </w:r>
      <w:r>
        <w:t>. Admite prueba en contra, y tiene un límite que puso el Constitucional: «ese valor probatorio sólo puede referirse a los hechos comprobados directamente por el funcionario, quedando fuera de su alcance las calificaciones jurídicas, los juicios de valor o las simples opiniones»</w:t>
      </w:r>
      <w:r>
        <w:t xml:space="preserve"> (STC 76/1990, FJ 8)</w:t>
      </w:r>
      <w:r>
        <w:br/>
      </w:r>
      <w:r>
        <w:rPr>
          <w:b/>
        </w:rPr>
        <w:t>leída en su fuente · STC 76/1990, FJ 8</w:t>
      </w:r>
      <w:r>
        <w:br/>
      </w:r>
      <w:r>
        <w:rPr>
          <w:b/>
        </w:rPr>
        <w:t>Archivo leído:</w:t>
      </w:r>
      <w:r>
        <w:t xml:space="preserve"> 22.00_STC_76-1990_LGT_actas_HJ.html (c7a\22.00_STC_76-1990_LGT_actas_HJ.html) · contraste del archivo de pasajes: ✔</w:t>
      </w:r>
      <w:r>
        <w:br/>
      </w:r>
      <w:r>
        <w:rPr>
          <w:b/>
        </w:rPr>
        <w:t>Lugar:</w:t>
      </w:r>
      <w:r>
        <w:t xml:space="preserve"> STC 76/1990, de 26 de abril, FJ 8</w:t>
      </w:r>
      <w:r>
        <w:br/>
      </w:r>
      <w:r>
        <w:rPr>
          <w:b/>
        </w:rPr>
        <w:t>Dirección:</w:t>
      </w:r>
      <w:r>
        <w:t xml:space="preserve"> </w:t>
      </w:r>
      <w:r>
        <w:t>https://hj.tribunalconstitucional.es/es/Resolucion/Show/1501</w:t>
      </w:r>
      <w:r>
        <w:br/>
      </w:r>
      <w:r>
        <w:rPr>
          <w:b/>
        </w:rPr>
        <w:t>Tal como está en la fuente:</w:t>
      </w:r>
      <w:r>
        <w:t xml:space="preserve"> ese valor probatorio sólo puede referirse a los hechos comprobados directamente por el funcionario, quedando fuera de su alcance las calificaciones jurídicas, los juicios de valor o las simples opiniones que los inspectores consignen en las actas y diligencias</w:t>
      </w:r>
      <w:r>
        <w:t xml:space="preserve">. </w:t>
      </w:r>
      <w:r>
        <w:t>[22.00-5.1 a 5.3]</w:t>
      </w:r>
    </w:p>
    <w:p>
      <w:r>
        <w:rPr>
          <w:b/>
        </w:rPr>
        <w:t>Lo que queda para invertir.</w:t>
      </w:r>
      <w:r>
        <w:t xml:space="preserve"> En 2025, las administraciones pagaron 40.314 millones en intereses e invirtieron 49.632 (</w:t>
      </w:r>
      <w:r>
        <w:t>7.2</w:t>
      </w:r>
      <w:r>
        <w:t>, n.º 4). Además, el Estado aportó 13.347 millones a la Unión Europea</w:t>
      </w:r>
      <w:r>
        <w:t xml:space="preserve"> (IGAE, indicadores del Estado, diciembre de 2025)</w:t>
      </w:r>
      <w:r>
        <w:t>. Para 2026, la Autoridad Fiscal estima que el gasto en intereses del conjunto de las administraciones «alcanzará los 43.300 millones, el 2,5 % del PIB»</w:t>
      </w:r>
      <w:r>
        <w:t xml:space="preserve"> (AIReF, informe sobre los presupuestos iniciales de 2026)</w:t>
      </w:r>
      <w:r>
        <w:br/>
      </w:r>
      <w:r>
        <w:rPr>
          <w:b/>
        </w:rPr>
        <w:t>leída en su fuente · AIReF, informe sobre los presupuestos iniciales de 2026</w:t>
      </w:r>
      <w:r>
        <w:br/>
      </w:r>
      <w:r>
        <w:rPr>
          <w:b/>
        </w:rPr>
        <w:t>Archivo leído:</w:t>
      </w:r>
      <w:r>
        <w:t xml:space="preserve"> airef_informe_presupuestos_iniciales_2026.txt) (c5b\airef_informe_presupuestos_iniciales_2026.pdf) · contraste del archivo de pasajes: ✔</w:t>
      </w:r>
      <w:r>
        <w:br/>
      </w:r>
      <w:r>
        <w:rPr>
          <w:b/>
        </w:rPr>
        <w:t>Lugar:</w:t>
      </w:r>
      <w:r>
        <w:t xml:space="preserve"> PDF 59</w:t>
      </w:r>
      <w:r>
        <w:br/>
      </w:r>
      <w:r>
        <w:rPr>
          <w:b/>
        </w:rPr>
        <w:t>Tal como está en la fuente:</w:t>
      </w:r>
      <w:r>
        <w:t xml:space="preserve"> Para 2026, se estima que el gasto por intereses alcanzará los 43.300 millones, el 2,5 % del PIB y un tipo implícito del 2,6 %</w:t>
      </w:r>
      <w:r>
        <w:t xml:space="preserve">. El dato no prueba una intención: prueba que la capacidad de invertir está condicionada por el peso de la deuda. </w:t>
      </w:r>
      <w:r>
        <w:t>[22.00-6.1 a 6.3]</w:t>
      </w:r>
    </w:p>
    <w:p>
      <w:pPr>
        <w:pStyle w:val="Heading3"/>
      </w:pPr>
      <w:r>
        <w:t>El deber</w:t>
      </w:r>
    </w:p>
    <w:p>
      <w:r>
        <w:rPr>
          <w:b/>
        </w:rPr>
        <w:t>Dos clases de norma.</w:t>
      </w:r>
      <w:r>
        <w:t xml:space="preserve"> La Constitución habla en dos lenguajes. Los deberes del ciudadano son directamente exigibles; los mandatos a los poderes públicos del Capítulo III, «garantizarán», «promoverán», «Sólo podrán ser alegados ante la Jurisdicción ordinaria de acuerdo con lo que dispongan las leyes que los desarrollen»</w:t>
      </w:r>
      <w:r>
        <w:t xml:space="preserve"> (Constitución, art. 53.3)</w:t>
      </w:r>
      <w:r>
        <w:br/>
      </w:r>
      <w:r>
        <w:rPr>
          <w:b/>
        </w:rPr>
        <w:t>leída en su fuente · Constitución, art. 53.3</w:t>
      </w:r>
      <w:r>
        <w:br/>
      </w:r>
      <w:r>
        <w:rPr>
          <w:b/>
        </w:rPr>
        <w:t>Archivo leído:</w:t>
      </w:r>
      <w:r>
        <w:t xml:space="preserve"> constitucion_1978.html (c5\constitucion_1978.html) · contraste del archivo de pasajes: ✔</w:t>
      </w:r>
      <w:r>
        <w:br/>
      </w:r>
      <w:r>
        <w:rPr>
          <w:b/>
        </w:rPr>
        <w:t>Lugar:</w:t>
      </w:r>
      <w:r>
        <w:t xml:space="preserve"> Art. 53.3 (#a53)</w:t>
      </w:r>
      <w:r>
        <w:br/>
      </w:r>
      <w:r>
        <w:rPr>
          <w:b/>
        </w:rPr>
        <w:t>Dirección:</w:t>
      </w:r>
      <w:r>
        <w:t xml:space="preserve"> </w:t>
      </w:r>
      <w:r>
        <w:t>https://www.boe.es/buscar/act.php?id=BOE-A-1978-31229</w:t>
      </w:r>
      <w:r>
        <w:br/>
      </w:r>
      <w:r>
        <w:rPr>
          <w:b/>
        </w:rPr>
        <w:t>Tal como está en la fuente:</w:t>
      </w:r>
      <w:r>
        <w:t xml:space="preserve"> Sólo podrán ser alegados ante la Jurisdicción ordinaria de acuerdo con lo que dispongan</w:t>
      </w:r>
      <w:r>
        <w:t>. Ya se vio con la vivienda (</w:t>
      </w:r>
      <w:r>
        <w:t>5.1</w:t>
      </w:r>
      <w:r>
        <w:t xml:space="preserve">, n.º 16). Esa diferencia de fuerza es el primer dato. </w:t>
      </w:r>
      <w:r>
        <w:t>[22.00-9.1 y 9.2]</w:t>
      </w:r>
    </w:p>
    <w:p>
      <w:r>
        <w:rPr>
          <w:b/>
        </w:rPr>
        <w:t>Los deberes del ciudadano.</w:t>
      </w:r>
      <w:r>
        <w:t xml:space="preserve"> Se cumplen, y uno de forma forzada: el de contribuir, garantizado por el cobro ya visto. El de defender España sigue en el texto, pero la prestación del servicio militar se suspendió: la ley la fijó para el 31 de diciembre de 2002</w:t>
      </w:r>
      <w:r>
        <w:t xml:space="preserve"> (Ley 17/1999, disposición adicional decimotercera)</w:t>
      </w:r>
      <w:r>
        <w:t>, y un real decreto la adelantó: «Se adelanta al 31 de diciembre de 2001»</w:t>
      </w:r>
      <w:r>
        <w:t xml:space="preserve"> (Real Decreto 247/2001, art. 1)</w:t>
      </w:r>
      <w:r>
        <w:br/>
      </w:r>
      <w:r>
        <w:rPr>
          <w:b/>
        </w:rPr>
        <w:t>leída en su fuente · Real Decreto 247/2001, art. 1</w:t>
      </w:r>
      <w:r>
        <w:br/>
      </w:r>
      <w:r>
        <w:rPr>
          <w:b/>
        </w:rPr>
        <w:t>Archivo leído:</w:t>
      </w:r>
      <w:r>
        <w:t xml:space="preserve"> 22.00_BOE-A-1999-11194_Ley_17-1999_personal_FFAA_original.html; 22.00_BOE-A-2001-4711_RD_247-2001_suspension_servicio_militar.html (c7a\22.00_BOE-A-2001-4711_RD_247-2001_suspension_servicio_militar.html) · contraste del archivo de pasajes: ✔</w:t>
      </w:r>
      <w:r>
        <w:br/>
      </w:r>
      <w:r>
        <w:rPr>
          <w:b/>
        </w:rPr>
        <w:t>Lugar:</w:t>
      </w:r>
      <w:r>
        <w:t xml:space="preserve"> Ley 17/1999, DA 13.ª.1</w:t>
      </w:r>
      <w:r>
        <w:br/>
      </w:r>
      <w:r>
        <w:rPr>
          <w:b/>
        </w:rPr>
        <w:t>Dirección:</w:t>
      </w:r>
      <w:r>
        <w:t xml:space="preserve"> </w:t>
      </w:r>
      <w:r>
        <w:t>https://www.boe.es/buscar/doc.php?id=BOE-A-1999-11194</w:t>
      </w:r>
      <w:r>
        <w:t xml:space="preserve"> ; </w:t>
      </w:r>
      <w:r>
        <w:t>https://www.boe.es/buscar/doc.php?id=BOE-A-2001-4711</w:t>
      </w:r>
      <w:r>
        <w:br/>
      </w:r>
      <w:r>
        <w:rPr>
          <w:b/>
        </w:rPr>
        <w:t>Tal como está en la fuente:</w:t>
      </w:r>
      <w:r>
        <w:t xml:space="preserve"> Se adelanta al 31 de diciembre de 2001 la fecha de la suspensión de la prestación del servicio militar.</w:t>
      </w:r>
      <w:r>
        <w:t xml:space="preserve">. </w:t>
      </w:r>
      <w:r>
        <w:t>[22.00-10.1 y 10.2]</w:t>
      </w:r>
    </w:p>
    <w:p>
      <w:r>
        <w:rPr>
          <w:b/>
        </w:rPr>
        <w:t>Los deberes del Estado.</w:t>
      </w:r>
    </w:p>
    <w:p>
      <w:pPr>
        <w:pStyle w:val="ListBullet"/>
      </w:pPr>
      <w:r>
        <w:rPr>
          <w:b/>
        </w:rPr>
        <w:t>La familia y la infancia.</w:t>
      </w:r>
      <w:r>
        <w:t xml:space="preserve"> «Los poderes públicos aseguran la protección social, económica y jurídica de la familia» (art. 39.1). La pobreza infantil, 8,1 puntos por encima de la general (</w:t>
      </w:r>
      <w:r>
        <w:t>7.5</w:t>
      </w:r>
      <w:r>
        <w:t>, caso 5).</w:t>
      </w:r>
    </w:p>
    <w:p>
      <w:pPr>
        <w:pStyle w:val="ListBullet"/>
      </w:pPr>
      <w:r>
        <w:rPr>
          <w:b/>
        </w:rPr>
        <w:t>La vivienda.</w:t>
      </w:r>
      <w:r>
        <w:t xml:space="preserve"> «Todos los españoles tienen derecho a disfrutar de una vivienda digna y adecuada» (art. 47). En 2024 se vendieron 715.429 viviendas, y solo 65.486 eran nuevas</w:t>
      </w:r>
      <w:r>
        <w:t xml:space="preserve"> (Ministerio de Vivienda, Observatorio de Vivienda y Suelo, boletín anual 2024)</w:t>
      </w:r>
      <w:r>
        <w:t xml:space="preserve">. El precio, en años de renta, se ve en </w:t>
      </w:r>
      <w:r>
        <w:t>8.8</w:t>
      </w:r>
      <w:r>
        <w:t>.</w:t>
      </w:r>
    </w:p>
    <w:p>
      <w:pPr>
        <w:pStyle w:val="ListBullet"/>
      </w:pPr>
      <w:r>
        <w:rPr>
          <w:b/>
        </w:rPr>
        <w:t>Las pensiones.</w:t>
      </w:r>
      <w:r>
        <w:t xml:space="preserve"> La pensión no contributiva de 2026 es de 8.803,20 euros al año; el límite de la pensión pública, de 47.034,40</w:t>
      </w:r>
      <w:r>
        <w:t xml:space="preserve"> (Real Decreto 241/2026, arts. 21.1 y 3.1)</w:t>
      </w:r>
      <w:r>
        <w:t>. Quien ha presidido el Gobierno tiene, además, una pensión indemnizatoria, una dotación de oficina «en la cuantía que se consigne» en los Presupuestos y dos puestos de trabajo (</w:t>
      </w:r>
      <w:r>
        <w:t>C.4</w:t>
      </w:r>
      <w:r>
        <w:t>)</w:t>
      </w:r>
      <w:r>
        <w:t xml:space="preserve"> (Real Decreto 405/1992, arts. 3.1, 3.2 y 4.1, que remite al art. 10, número 5, norma primera, de la Ley 74/1980)</w:t>
      </w:r>
      <w:r>
        <w:t>.</w:t>
      </w:r>
    </w:p>
    <w:p>
      <w:r>
        <w:t>[22.00-11.1 a 11.4]</w:t>
      </w:r>
    </w:p>
    <w:p>
      <w:r>
        <w:rPr>
          <w:b/>
        </w:rPr>
        <w:t>Conclusión, lo que arrojan los datos:</w:t>
      </w:r>
      <w:r>
        <w:t xml:space="preserve"> no es que los deberes sean desiguales en el papel: la Constitución pide mucho al Estado. Es que el mecanismo para hacerlos cumplir es distinto. El incumplimiento del ciudadano se cobra con autotutela, embargo sin juez y recargo; el del Estado, en la vivienda o la infancia, no tiene un mecanismo que el ciudadano pueda activar solo, porque el art. 53.3 exige antes una ley. Y solo dos de los doce principios rectores, la infancia y la vivienda, tienen dato propio en esta auditoría: afirmar que los otros diez fallan igual sería sobreafirmar. </w:t>
      </w:r>
      <w:r>
        <w:t>[22.00-8.1, 12.1 y 14.1]</w:t>
      </w:r>
    </w:p>
    <w:p>
      <w:r>
        <w:rPr>
          <w:b/>
        </w:rPr>
        <w:t>Lectura del autor:</w:t>
      </w:r>
      <w:r>
        <w:t xml:space="preserve"> el Estado cobra con la ley de los hechos consumados y paga con la ley de los hechos aplazados. Lo que para uno es inmediato, para el otro es un principio. «Por sus frutos los conoceréis» (Mt 7:16). </w:t>
      </w:r>
      <w:r>
        <w:t>[22.00-7.1 y 12.1]</w:t>
      </w:r>
    </w:p>
    <w:p>
      <w:pPr>
        <w:pStyle w:val="Heading2"/>
      </w:pPr>
      <w:r>
        <w:t>7.7 El diseño legal que enfrenta a la gente</w:t>
      </w:r>
    </w:p>
    <w:p>
      <w:pPr>
        <w:pBdr>
          <w:left w:val="single" w:sz="24" w:space="6" w:color="E2DED6"/>
        </w:pBdr>
        <w:shd w:val="clear" w:color="auto" w:fill="F1EEE8"/>
        <w:spacing w:before="80" w:after="160"/>
        <w:ind w:left="142" w:right="142"/>
      </w:pPr>
      <w:r>
        <w:rPr>
          <w:b/>
        </w:rPr>
        <w:t>La idea: no es que la gente sea peor. Algunos diseños legales obligan a decidir deprisa, cuando la prueba aún no existe, y pueden enfrentar a las personas sin que nadie haya actuado de mala fe.</w:t>
      </w:r>
    </w:p>
    <w:p>
      <w:r>
        <w:rPr>
          <w:b/>
        </w:rPr>
        <w:t>La tesis.</w:t>
      </w:r>
      <w:r>
        <w:t xml:space="preserve"> La confianza entre personas no se ha hundido (</w:t>
      </w:r>
      <w:r>
        <w:t>8.9</w:t>
      </w:r>
      <w:r>
        <w:t xml:space="preserve">); lo que se investiga aquí es otra cosa: si ciertos diseños concretos, no la maldad de nadie, pueden hacer que unos usen la ley contra otros de forma que el sentido común no reconoce como legítima. Cada afirmación se comprueba por separado, y se dice igual cuando se confirma y cuando no. </w:t>
      </w:r>
      <w:r>
        <w:t>[28.00-0.1 y 0.2]</w:t>
      </w:r>
    </w:p>
    <w:p>
      <w:r>
        <w:rPr>
          <w:b/>
        </w:rPr>
        <w:t>1. La ocupación.</w:t>
      </w:r>
      <w:r>
        <w:t xml:space="preserve"> En Torrejón de Ardoz, en agosto de 2025, la policía hizo salir a una familia del piso que había sido del hijo fallecido de una mujer de noventa años, tras denunciarlos el antiguo inquilino por allanamiento</w:t>
      </w:r>
      <w:r>
        <w:t xml:space="preserve"> (ABC, 20-8-2025, entrevista a la familia; Idealista News, 12-9-2025; fuente secundaria: prensa)</w:t>
      </w:r>
      <w:r>
        <w:t>. Ninguna ley ordena tratar al propietario como intruso; y la ley le da una vía rápida: pueden pedir «la inmediata recuperación de la plena posesión» de una vivienda «la persona física que sea propietaria o poseedora legítima por otro título»</w:t>
      </w:r>
      <w:r>
        <w:t xml:space="preserve"> (Ley de Enjuiciamiento Civil, art. 250.1.4.º, en la redacción de la Ley 5/2018)</w:t>
      </w:r>
      <w:r>
        <w:br/>
      </w:r>
      <w:r>
        <w:rPr>
          <w:b/>
        </w:rPr>
        <w:t>leída en su fuente · Ley de Enjuiciamiento Civil, art. 250.1.4.º, en la redacción de la Ley 5/2018</w:t>
      </w:r>
      <w:r>
        <w:br/>
      </w:r>
      <w:r>
        <w:rPr>
          <w:b/>
        </w:rPr>
        <w:t>Archivo leído:</w:t>
      </w:r>
      <w:r>
        <w:t xml:space="preserve"> 28.00_BOE-A-2018-7833_Ley_5-2018_ocupacion_original.html (c7a\28.00_BOE-A-2018-7833_Ley_5-2018_ocupacion_original.html) · contraste del archivo de pasajes: ✔</w:t>
      </w:r>
      <w:r>
        <w:br/>
      </w:r>
      <w:r>
        <w:rPr>
          <w:b/>
        </w:rPr>
        <w:t>Lugar:</w:t>
      </w:r>
      <w:r>
        <w:t xml:space="preserve"> Nuevo art. 250.1.4.º LEC</w:t>
      </w:r>
      <w:r>
        <w:br/>
      </w:r>
      <w:r>
        <w:rPr>
          <w:b/>
        </w:rPr>
        <w:t>Dirección:</w:t>
      </w:r>
      <w:r>
        <w:t xml:space="preserve"> </w:t>
      </w:r>
      <w:r>
        <w:t>https://www.boe.es/buscar/doc.php?id=BOE-A-2018-7833</w:t>
      </w:r>
      <w:r>
        <w:br/>
      </w:r>
      <w:r>
        <w:rPr>
          <w:b/>
        </w:rPr>
        <w:t>Tal como está en la fuente:</w:t>
      </w:r>
      <w:r>
        <w:t xml:space="preserve"> Podrán pedir la inmediata recuperación de la plena posesión de una vivienda [...] la persona física que sea propietaria o poseedora legítima por otro título, las entidades sin ánimo de lucro con derecho a poseerla y las entidades públicas propietarias o poseedoras legítimas de vivienda social.</w:t>
      </w:r>
      <w:r>
        <w:t xml:space="preserve">. El fallo está antes: en el primer contacto policial, hay que distinguir en minutos lo que un juzgado tarda meses en aclarar. </w:t>
      </w:r>
      <w:r>
        <w:t>[28.00-1.1 a 1.3]</w:t>
      </w:r>
    </w:p>
    <w:p>
      <w:r>
        <w:rPr>
          <w:b/>
        </w:rPr>
        <w:t>2. La denuncia y la orden de protección.</w:t>
      </w:r>
      <w:r>
        <w:t xml:space="preserve"> No basta una denuncia, sin más. La ley convoca «una audiencia urgente» a la víctima y al presunto agresor, que «habrá de celebrarse en un plazo máximo de setenta y dos horas»</w:t>
      </w:r>
      <w:r>
        <w:t xml:space="preserve"> (Ley de Enjuiciamiento Criminal, art. 544 ter.4)</w:t>
      </w:r>
      <w:r>
        <w:br/>
      </w:r>
      <w:r>
        <w:rPr>
          <w:b/>
        </w:rPr>
        <w:t>leída en su fuente · Ley de Enjuiciamiento Criminal, art. 544 ter.4</w:t>
      </w:r>
      <w:r>
        <w:br/>
      </w:r>
      <w:r>
        <w:rPr>
          <w:b/>
        </w:rPr>
        <w:t>Archivo leído:</w:t>
      </w:r>
      <w:r>
        <w:t xml:space="preserve"> 28.00_BOE-A-1882-6036_LECrim_consolidada.html (c7a\28.00_BOE-A-1882-6036_LECrim_consolidada.html) · contraste del archivo de pasajes: ✔</w:t>
      </w:r>
      <w:r>
        <w:br/>
      </w:r>
      <w:r>
        <w:rPr>
          <w:b/>
        </w:rPr>
        <w:t>Lugar:</w:t>
      </w:r>
      <w:r>
        <w:t xml:space="preserve"> Art. 544 ter.4</w:t>
      </w:r>
      <w:r>
        <w:br/>
      </w:r>
      <w:r>
        <w:rPr>
          <w:b/>
        </w:rPr>
        <w:t>Dirección:</w:t>
      </w:r>
      <w:r>
        <w:t xml:space="preserve"> </w:t>
      </w:r>
      <w:r>
        <w:t>https://www.boe.es/buscar/act.php?id=BOE-A-1882-6036</w:t>
      </w:r>
      <w:r>
        <w:br/>
      </w:r>
      <w:r>
        <w:rPr>
          <w:b/>
        </w:rPr>
        <w:t>Tal como está en la fuente:</w:t>
      </w:r>
      <w:r>
        <w:t xml:space="preserve"> convocará a una audiencia urgente a la víctima [...] y al presunto agresor [...] En cualquier caso la audiencia habrá de celebrarse en un plazo máximo de setenta y dos horas desde la presentación de la solicitud</w:t>
      </w:r>
      <w:r>
        <w:t>. Y el juez deniega con frecuencia: en 2024 se solicitaron 49.268 órdenes de protección, «fueron acordadas 33.247 y se denegaron otras 15.827»</w:t>
      </w:r>
      <w:r>
        <w:t xml:space="preserve"> (CGPJ, datos de 2024)</w:t>
      </w:r>
      <w:r>
        <w:br/>
      </w:r>
      <w:r>
        <w:rPr>
          <w:b/>
        </w:rPr>
        <w:t>leída en su fuente · CGPJ, datos de 2024</w:t>
      </w:r>
      <w:r>
        <w:br/>
      </w:r>
      <w:r>
        <w:rPr>
          <w:b/>
        </w:rPr>
        <w:t>Archivo leído:</w:t>
      </w:r>
      <w:r>
        <w:t xml:space="preserve"> 28.00_CGPJ_nota_prensa_violencia_genero_anual_2024.html (c7b\28.00_CGPJ_nota_prensa_violencia_genero_anual_2024.html) · contraste del archivo de pasajes: ✔</w:t>
      </w:r>
      <w:r>
        <w:br/>
      </w:r>
      <w:r>
        <w:rPr>
          <w:b/>
        </w:rPr>
        <w:t>Dirección:</w:t>
      </w:r>
      <w:r>
        <w:t xml:space="preserve"> </w:t>
      </w:r>
      <w:r>
        <w:t>https://www.poderjudicial.es/cgpj/es/Poder-Judicial/En-Portada/-La-media-diaria-de-denuncias-por-violencia-de-genero-en-2024-fue-de-544--un-0-09--menos-que-el-ano-anterior</w:t>
      </w:r>
      <w:r>
        <w:br/>
      </w:r>
      <w:r>
        <w:rPr>
          <w:b/>
        </w:rPr>
        <w:t>Tal como está en la fuente:</w:t>
      </w:r>
      <w:r>
        <w:t xml:space="preserve"> En 2024 se solicitaron en los órganos judiciales (juzgados de violencia sobre la mujer y juzgados de guardia) un total de 49.268 órdenes de protección, un 3 % menos que en 2023. De ellas, fueron acordadas 33.247 y se denegaron otras 15.827</w:t>
      </w:r>
      <w:r>
        <w:t>; en el segundo trimestre de 2025 no se acordaron el 32,3 %</w:t>
      </w:r>
      <w:r>
        <w:t xml:space="preserve"> (CGPJ, segundo trimestre de 2025)</w:t>
      </w:r>
      <w:r>
        <w:t xml:space="preserve">. </w:t>
      </w:r>
      <w:r>
        <w:t>[28.00-2.1 a 2.3]</w:t>
      </w:r>
    </w:p>
    <w:p>
      <w:r>
        <w:rPr>
          <w:b/>
        </w:rPr>
        <w:t>3. La denuncia falsa.</w:t>
      </w:r>
      <w:r>
        <w:t xml:space="preserve"> De 1.055.912 denuncias por violencia sobre la mujer entre 2009 y 2016, se incoaron 194 causas por denuncia falsa (la Memoria escribe «un 0,18 %», pero la cuenta da el 0,018 %), y en 79 hubo sentencia condenatoria: el 0,0075 %</w:t>
      </w:r>
      <w:r>
        <w:t xml:space="preserve"> (Fiscalía General del Estado, Memoria 2017)</w:t>
      </w:r>
      <w:r>
        <w:t>. El promedio de 2009 a 2025 es del 0,007 %</w:t>
      </w:r>
      <w:r>
        <w:t xml:space="preserve"> (Memoria 2026)</w:t>
      </w:r>
      <w:r>
        <w:t xml:space="preserve">. Hay una objeción metodológica legítima: la cifra mide también cuánto se persigue la denuncia falsa, y no solo cuántas hay. Pero es una hipótesis sobre lo que no se mide, no un dato alternativo. </w:t>
      </w:r>
      <w:r>
        <w:t>[28.00-3.1 a 3.3]</w:t>
      </w:r>
    </w:p>
    <w:p>
      <w:r>
        <w:rPr>
          <w:b/>
        </w:rPr>
        <w:t>4. La pena por denunciar en falso.</w:t>
      </w:r>
      <w:r>
        <w:t xml:space="preserve"> La denuncia falsa probada se castiga con prisión de seis meses a dos años y multa, si lo imputado era un delito grave, y con multa en los demás casos</w:t>
      </w:r>
      <w:r>
        <w:t xml:space="preserve"> (Código Penal, art. 456.1)</w:t>
      </w:r>
      <w:r>
        <w:t>. Pero las penas de prisión «no superiores a dos años» se pueden suspender</w:t>
      </w:r>
      <w:r>
        <w:t xml:space="preserve"> (art. 80.1)</w:t>
      </w:r>
      <w:r>
        <w:t xml:space="preserve">. Y una absolución no equivale a una denuncia falsa: condenar exige probar que quien denunció sabía que mentía. </w:t>
      </w:r>
      <w:r>
        <w:t>[28.00-4.1 a 4.3]</w:t>
      </w:r>
    </w:p>
    <w:p>
      <w:r>
        <w:rPr>
          <w:b/>
        </w:rPr>
        <w:t>5. Sin mediación.</w:t>
      </w:r>
      <w:r>
        <w:t xml:space="preserve"> En los asuntos de violencia sobre la mujer «está vedada la utilización de los medios adecuados de solución de controversias»</w:t>
      </w:r>
      <w:r>
        <w:t xml:space="preserve"> (Ley Orgánica del Poder Judicial, art. 89.9)</w:t>
      </w:r>
      <w:r>
        <w:br/>
      </w:r>
      <w:r>
        <w:rPr>
          <w:b/>
        </w:rPr>
        <w:t>leída en su fuente · Ley Orgánica del Poder Judicial, art. 89.9</w:t>
      </w:r>
      <w:r>
        <w:br/>
      </w:r>
      <w:r>
        <w:rPr>
          <w:b/>
        </w:rPr>
        <w:t>Archivo leído:</w:t>
      </w:r>
      <w:r>
        <w:t xml:space="preserve"> 12.00_13.00_BOE_LOPJ_LO_6-1985_consolidada.html (c6\12.00_13.00_BOE_LOPJ_LO_6-1985_consolidada.html) · contraste del archivo de pasajes: ✔</w:t>
      </w:r>
      <w:r>
        <w:br/>
      </w:r>
      <w:r>
        <w:rPr>
          <w:b/>
        </w:rPr>
        <w:t>Lugar:</w:t>
      </w:r>
      <w:r>
        <w:t xml:space="preserve"> El art. 44 LO 1/2004 añadió el art. 87 ter LOPJ, cuyo apartado 5 decía</w:t>
      </w:r>
      <w:r>
        <w:br/>
      </w:r>
      <w:r>
        <w:rPr>
          <w:b/>
        </w:rPr>
        <w:t>Dirección:</w:t>
      </w:r>
      <w:r>
        <w:t xml:space="preserve"> </w:t>
      </w:r>
      <w:r>
        <w:t>https://www.boe.es/buscar/act.php?id=BOE-A-2004-21760</w:t>
      </w:r>
      <w:r>
        <w:t xml:space="preserve"> ; </w:t>
      </w:r>
      <w:r>
        <w:t>https://www.boe.es/buscar/act.php?id=BOE-A-1985-12666</w:t>
      </w:r>
      <w:r>
        <w:br/>
      </w:r>
      <w:r>
        <w:rPr>
          <w:b/>
        </w:rPr>
        <w:t>Tal como está en la fuente:</w:t>
      </w:r>
      <w:r>
        <w:t xml:space="preserve"> En todos estos casos está vedada la utilización de los medios adecuados de solución de controversias.</w:t>
      </w:r>
      <w:r>
        <w:t xml:space="preserve">. Todo va por la vía judicial contenciosa, también en los conflictos de baja intensidad. Es una decisión de diseño. </w:t>
      </w:r>
      <w:r>
        <w:t>[28.00-5.1 y 5.2]</w:t>
      </w:r>
    </w:p>
    <w:p>
      <w:r>
        <w:rPr>
          <w:b/>
        </w:rPr>
        <w:t>6. Las visitas.</w:t>
      </w:r>
      <w:r>
        <w:t xml:space="preserve"> Cuando hay una orden de protección con medidas penales e indicios de que los hijos presenciaron, sufrieron o convivieron con la violencia, el juez «suspenderá el régimen de visitas», salvo que, «a instancia de parte», decida no hacerlo «mediante resolución motivada en el interés superior del menor»</w:t>
      </w:r>
      <w:r>
        <w:t xml:space="preserve"> (Ley de Enjuiciamiento Criminal, art. 544 ter.7)</w:t>
      </w:r>
      <w:r>
        <w:br/>
      </w:r>
      <w:r>
        <w:rPr>
          <w:b/>
        </w:rPr>
        <w:t>leída en su fuente · Ley de Enjuiciamiento Criminal, art. 544 ter.7</w:t>
      </w:r>
      <w:r>
        <w:br/>
      </w:r>
      <w:r>
        <w:rPr>
          <w:b/>
        </w:rPr>
        <w:t>Archivo leído:</w:t>
      </w:r>
      <w:r>
        <w:t xml:space="preserve"> 28.00_BOE-A-1882-6036_LECrim_consolidada.html; 28.00_BOE-A-2021-9347_LO_8-2021_infancia_original.html (c7a\28.00_BOE-A-1882-6036_LECrim_consolidada.html; c7a\28.00_BOE-A-2021-9347_LO_8-2021_infancia_original.html) · contraste del archivo de pasajes: ✔</w:t>
      </w:r>
      <w:r>
        <w:br/>
      </w:r>
      <w:r>
        <w:rPr>
          <w:b/>
        </w:rPr>
        <w:t>Lugar:</w:t>
      </w:r>
      <w:r>
        <w:t xml:space="preserve"> Art. 544 ter.7</w:t>
      </w:r>
      <w:r>
        <w:br/>
      </w:r>
      <w:r>
        <w:rPr>
          <w:b/>
        </w:rPr>
        <w:t>Tal como está en la fuente:</w:t>
      </w:r>
      <w:r>
        <w:t xml:space="preserve"> Cuando se dicte una orden de protección con medidas de contenido penal y existieran indicios fundados de que los hijos e hijas menores de edad hubieran presenciado, sufrido o convivido con la violencia [...] la autoridad judicial, de oficio o a instancia de parte, suspenderá el régimen de visitas [...] No obstante, a instancia de parte, la autoridad judicial podrá no acordar la suspensión mediante resolución motivada en el interés superior del menor</w:t>
      </w:r>
      <w:r>
        <w:t>. En 2024 se dictaron 4.155 suspensiones del régimen de visitas y 2.369 de la guarda y custodia</w:t>
      </w:r>
      <w:r>
        <w:t xml:space="preserve"> (CGPJ, datos de 2024)</w:t>
      </w:r>
      <w:r>
        <w:t xml:space="preserve">. La regla protege al menor, y la letra no distingue por sexo: se aplica a quien resulte investigado. Lo que la crítica señala es el momento: se decide al inicio, cuando la prueba suele limitarse a las declaraciones de las partes. </w:t>
      </w:r>
      <w:r>
        <w:t>[28.00-6.1 a 7.2]</w:t>
      </w:r>
    </w:p>
    <w:p>
      <w:r>
        <w:rPr>
          <w:b/>
        </w:rPr>
        <w:t>Conclusión, lo que arrojan los datos:</w:t>
      </w:r>
      <w:r>
        <w:t xml:space="preserve"> tres frentes distintos, la ocupación, la denuncia y las visitas, comparten una estructura: una decisión que hay que tomar deprisa, cuando la prueba completa no existe todavía. En los tres, la letra defiende a quien la crítica dice desprotegido: el propietario tiene la vía rápida; el denunciado, la audiencia y la tasa real de denegaciones; el progenitor investigado, el derecho a pedir que no se suspendan las visitas. Lo que falla, cuando falla, es la distancia entre lo que la ley promete y lo que el reloj del primer momento permite verificar. </w:t>
      </w:r>
      <w:r>
        <w:t>[28.00-8.1]</w:t>
      </w:r>
    </w:p>
    <w:p>
      <w:r>
        <w:rPr>
          <w:b/>
        </w:rPr>
        <w:t>Lectura del autor:</w:t>
      </w:r>
      <w:r>
        <w:t xml:space="preserve"> la obra no pide menos protección para nadie, sino más prueba en el primer momento. Un diseño que obliga a decidir antes de saber enfrenta a la gente sin que nadie lo quiera. Y la gente enfrentada es más fácil de gobernar que la gente unida (</w:t>
      </w:r>
      <w:r>
        <w:t>4.1</w:t>
      </w:r>
      <w:r>
        <w:t xml:space="preserve">). </w:t>
      </w:r>
      <w:r>
        <w:t>[28.00-8.1; 28.00-9.9]</w:t>
      </w:r>
    </w:p>
    <w:p>
      <w:pPr>
        <w:pStyle w:val="Heading2"/>
      </w:pPr>
      <w:r>
        <w:t>Límite honesto de la prueba</w:t>
      </w:r>
    </w:p>
    <w:p>
      <w:pPr>
        <w:pStyle w:val="ListBullet"/>
      </w:pPr>
      <w:r>
        <w:rPr>
          <w:b/>
        </w:rPr>
        <w:t>La auditoría mide cumplimiento normativo</w:t>
      </w:r>
      <w:r>
        <w:t xml:space="preserve">, no intención: si el hecho documentado coincide con la norma. Un resultado medido no es una causa demostrada. </w:t>
      </w:r>
      <w:r>
        <w:t>[18.00-5.3]</w:t>
      </w:r>
    </w:p>
    <w:p>
      <w:pPr>
        <w:pStyle w:val="ListBullet"/>
      </w:pPr>
      <w:r>
        <w:rPr>
          <w:b/>
        </w:rPr>
        <w:t>No es tiranía sistemática.</w:t>
      </w:r>
      <w:r>
        <w:t xml:space="preserve"> Los contrapesos actúan: hay doce intentos frenados, y el sistema se corrigió en casos reales. El umbral clásico del derecho de resistencia (</w:t>
      </w:r>
      <w:r>
        <w:t>6.5</w:t>
      </w:r>
      <w:r>
        <w:t xml:space="preserve">) no está en un porcentaje, sino en la gravedad y en el agotamiento de las vías pacíficas, que no están agotadas. </w:t>
      </w:r>
      <w:r>
        <w:t>[14.00-4.3; 18.00-6.2]</w:t>
      </w:r>
    </w:p>
    <w:p>
      <w:pPr>
        <w:pStyle w:val="ListBullet"/>
      </w:pPr>
      <w:r>
        <w:rPr>
          <w:b/>
        </w:rPr>
        <w:t>Un caso, corregido.</w:t>
      </w:r>
      <w:r>
        <w:t xml:space="preserve"> La ficha del derecho de reunión (art. 21) se apoyaba en una lectura equivocada de la ley de seguridad ciudadana: el art. 36.2 castiga la perturbación grave, no la protesta pacífica, y el Constitucional lo declaró constitucional. Por el criterio de la propia obra, cuenta como cumplimiento limpio, y así van las cifras de este capítulo (93, 69 y 7; 62,1 % y 4,65 %).</w:t>
      </w:r>
    </w:p>
    <w:p>
      <w:pPr>
        <w:pStyle w:val="ListBullet"/>
      </w:pPr>
      <w:r>
        <w:rPr>
          <w:b/>
        </w:rPr>
        <w:t>Tres casos, pasados a pendiente.</w:t>
      </w:r>
      <w:r>
        <w:t xml:space="preserve"> El art. 7 (sindicatos) se contaba como incumplimiento sin que lo sostuviera el único hecho leído, un informe del Tribunal de Cuentas de 2014 sobre un contrato concreto que cumplía la ley; el art. 110 (reclamar la presencia del Gobierno) se apoyaba en un conflicto de agosto de 2026 todavía abierto; y el art. 111 (el Gobierno, sometido a las preguntas de las Cámaras) se apoyaba en una cifra de plazos que incluye el plazo ampliado, que es legal, y que calculan terceros con datos que el Congreso publica pregunta a pregunta, pero no en un conjunto de datos abiertos con que auditarla en bloque. Los tres pasan de incumplir a pendiente (</w:t>
      </w:r>
      <w:r>
        <w:t>anexo A</w:t>
      </w:r>
      <w:r>
        <w:t>), y por eso el recuento es 93, 69 y 7, y el incumplimiento del organigrama del poder, el 27,2 %.</w:t>
      </w:r>
    </w:p>
    <w:p>
      <w:pPr>
        <w:pStyle w:val="ListBullet"/>
      </w:pPr>
      <w:r>
        <w:rPr>
          <w:b/>
        </w:rPr>
        <w:t>Los casos son una selección</w:t>
      </w:r>
      <w:r>
        <w:t xml:space="preserve">, con su fuente. La auditoría completa, con los 169 artículos, está en el </w:t>
      </w:r>
      <w:r>
        <w:t>anexo A</w:t>
      </w:r>
      <w:r>
        <w:t>.</w:t>
      </w:r>
    </w:p>
    <w:p>
      <w:pPr>
        <w:pStyle w:val="ListBullet"/>
      </w:pPr>
      <w:r>
        <w:rPr>
          <w:b/>
        </w:rPr>
        <w:t>La corrupción de la forma es un diagnóstico puntual</w:t>
      </w:r>
      <w:r>
        <w:t xml:space="preserve">, no una sentencia sobre la institución entera. Dos de los siete casos están reparados o en reparación, y dos son lagunas de diseño. </w:t>
      </w:r>
      <w:r>
        <w:t>[19.00-24.1 y 33.1]</w:t>
      </w:r>
    </w:p>
    <w:p>
      <w:pPr>
        <w:pStyle w:val="ListBullet"/>
      </w:pPr>
      <w:r>
        <w:rPr>
          <w:b/>
        </w:rPr>
        <w:t>Solo dos de los doce principios rectores</w:t>
      </w:r>
      <w:r>
        <w:t xml:space="preserve"> tienen dato propio en esta auditoría. </w:t>
      </w:r>
      <w:r>
        <w:t>[22.00-14.1]</w:t>
      </w:r>
    </w:p>
    <w:p>
      <w:pPr>
        <w:pStyle w:val="ListBullet"/>
      </w:pPr>
      <w:r>
        <w:rPr>
          <w:b/>
        </w:rPr>
        <w:t>Fuentes secundarias:</w:t>
      </w:r>
      <w:r>
        <w:t xml:space="preserve"> el Museo del Holocausto de Estados Unidos (Núremberg), la descripción del </w:t>
      </w:r>
      <w:r>
        <w:rPr>
          <w:i/>
        </w:rPr>
        <w:t>Frankenstate</w:t>
      </w:r>
      <w:r>
        <w:t xml:space="preserve"> (el artículo de Scheppele es de pago), la prensa ghanesa, la Británica (esenios), Idealista News (Torrejón) y la sentencia del Supremo sobre la expropiación (no se ha podido leer); el estudio de 2023 sobre la prisión permanente, por su título.</w:t>
      </w:r>
    </w:p>
    <w:p>
      <w:pPr>
        <w:pStyle w:val="ListBullet"/>
      </w:pPr>
      <w:r>
        <w:rPr>
          <w:b/>
        </w:rPr>
        <w:t>Lo que no entra:</w:t>
      </w:r>
      <w:r>
        <w:t xml:space="preserve"> las «unas 3.000 toneladas» de documentos de Núremberg (una cifra de divulgación; el informe de Jackson habla de más de 100.000 documentos revisados y unos 4.000 usados); la frase atribuida a Confucio sobre el usurpador llamado rey (sale de una enciclopedia); los mayas (sin acceso al libro); la frase sobre la manipulación del juramento ashanti (no localizada); la sentencia de la Audiencia de Málaga (solo un blog); la previsión de 42.059 millones en intereses (solo prensa); la frase del manual del Tribunal de Cuentas Europeo (no localizada).</w:t>
      </w:r>
    </w:p>
    <w:p>
      <w:pPr>
        <w:pStyle w:val="Heading2"/>
      </w:pPr>
      <w:r>
        <w:t>Dónde se oye la defensa del Estado</w:t>
      </w:r>
    </w:p>
    <w:p>
      <w:r>
        <w:t>La defensa del Estado frente a este capítulo, y lo que la obra le responde, se oyen en el juicio:</w:t>
      </w:r>
    </w:p>
    <w:p>
      <w:pPr>
        <w:pStyle w:val="ListBullet"/>
      </w:pPr>
      <w:r>
        <w:t>«El Estado cumple la mayoría» y «la lectura de conjunto»: frente al dictamen (</w:t>
      </w:r>
      <w:r>
        <w:t>11.4</w:t>
      </w:r>
      <w:r>
        <w:t>);</w:t>
      </w:r>
    </w:p>
    <w:p>
      <w:pPr>
        <w:pStyle w:val="ListBullet"/>
      </w:pPr>
      <w:r>
        <w:t xml:space="preserve">«Cuando el propio sistema se frenó a sí mismo»: </w:t>
      </w:r>
      <w:r>
        <w:t>cargo 24</w:t>
      </w:r>
      <w:r>
        <w:t xml:space="preserve"> (</w:t>
      </w:r>
      <w:r>
        <w:t>11.3</w:t>
      </w:r>
      <w:r>
        <w:t>);</w:t>
      </w:r>
    </w:p>
    <w:p>
      <w:pPr>
        <w:pStyle w:val="ListBullet"/>
      </w:pPr>
      <w:r>
        <w:t xml:space="preserve">«El voto exterior y el dinero de los partidos»: </w:t>
      </w:r>
      <w:r>
        <w:t>cargo 6</w:t>
      </w:r>
      <w:r>
        <w:t>;</w:t>
      </w:r>
    </w:p>
    <w:p>
      <w:pPr>
        <w:pStyle w:val="ListBullet"/>
      </w:pPr>
      <w:r>
        <w:t xml:space="preserve">el Fondo de Reserva: </w:t>
      </w:r>
      <w:r>
        <w:t>cargo 15</w:t>
      </w:r>
      <w:r>
        <w:t xml:space="preserve">; la asignación de diputados y senadores: </w:t>
      </w:r>
      <w:r>
        <w:t>cargo 6</w:t>
      </w:r>
      <w:r>
        <w:t>;</w:t>
      </w:r>
    </w:p>
    <w:p>
      <w:pPr>
        <w:pStyle w:val="ListBullet"/>
      </w:pPr>
      <w:r>
        <w:t xml:space="preserve">la ocupación y la suspensión de visitas: </w:t>
      </w:r>
      <w:r>
        <w:t>cargo 27</w:t>
      </w:r>
      <w:r>
        <w:t>.</w:t>
      </w:r>
    </w:p>
    <w:p>
      <w:r>
        <w:t>[clasificación de las defensas, aprobada; 14.00-8.10 y 8.11; 15.00-17.30 y 17.31; 16.00-13.8 y 13.9; 18.00-7.12 y 7.13; 19.00-35.10 a 35.15; 28.00-9.2 a 9.9]</w:t>
      </w:r>
    </w:p>
    <w:p>
      <w:pPr>
        <w:pStyle w:val="Heading2"/>
      </w:pPr>
      <w:r>
        <w:t>Para recordar</w:t>
      </w:r>
    </w:p>
    <w:p>
      <w:pPr>
        <w:pStyle w:val="ListBullet"/>
      </w:pPr>
      <w:r>
        <w:t>La Constitución se puede auditar como un contrato: 169 preguntas, una por artículo, con la norma, el hecho y la fuente.</w:t>
      </w:r>
    </w:p>
    <w:p>
      <w:pPr>
        <w:pStyle w:val="ListBullet"/>
      </w:pPr>
      <w:r>
        <w:t>Se cumplen 93 artículos y no se cumplen 69; en 23 de esos 69 ya hay una declaración formal externa.</w:t>
      </w:r>
    </w:p>
    <w:p>
      <w:pPr>
        <w:pStyle w:val="ListBullet"/>
      </w:pPr>
      <w:r>
        <w:t>El incumplimiento recae dos veces más en lo que la Constitución promete al ciudadano (62,1 %) que en lo que organiza al poder (27,2 %); y el freno actúa más de cinco veces más cuando el poder se controla a sí mismo (26,32 %) que cuando protege al ciudadano (4,65 %).</w:t>
      </w:r>
    </w:p>
    <w:p>
      <w:pPr>
        <w:pStyle w:val="ListBullet"/>
      </w:pPr>
      <w:r>
        <w:t>El método de Núremberg: juzgar al poder con sus propios documentos. «Debemos probar hechos increíbles con pruebas creíbles».</w:t>
      </w:r>
    </w:p>
    <w:p>
      <w:pPr>
        <w:pStyle w:val="ListBullet"/>
      </w:pPr>
      <w:r>
        <w:t>La corrupción de la forma: conservar el nombre y perder la sustancia. «El tirano se distingue del rey por los hechos, no por el nombre». Y el propio sistema mide así: por los resultados.</w:t>
      </w:r>
    </w:p>
    <w:p>
      <w:pPr>
        <w:pStyle w:val="ListBullet"/>
      </w:pPr>
      <w:r>
        <w:t>El cobro está blindado y el deber, aplazado: lo uno se ejecuta sin juez; lo otro necesita antes una ley.</w:t>
      </w:r>
    </w:p>
    <w:p>
      <w:pPr>
        <w:pStyle w:val="ListBullet"/>
      </w:pPr>
      <w:r>
        <w:t>Algunos diseños legales enfrentan a la gente sin mala fe de nadie: obligan a decidir antes de saber.</w:t>
      </w:r>
    </w:p>
    <w:p>
      <w:pPr>
        <w:pStyle w:val="ListBullet"/>
      </w:pPr>
      <w:r>
        <w:rPr>
          <w:b/>
        </w:rPr>
        <w:t>Lo que aquí se expone que hay que podar (lectura del autor):</w:t>
      </w:r>
      <w:r>
        <w:t xml:space="preserve"> dar por cumplido lo que solo está escrito: la forma que conserva el nombre y pierde la sustancia en los artículos que no se cumplen, y el cobro que se ejecuta mientras el deber se aplaza.</w:t>
      </w:r>
    </w:p>
    <w:p>
      <w:pPr>
        <w:pStyle w:val="ListBullet"/>
      </w:pPr>
      <w:r>
        <w:rPr>
          <w:b/>
        </w:rPr>
        <w:t>Lo siguiente:</w:t>
      </w:r>
      <w:r>
        <w:t xml:space="preserve"> lo que llega a la vida diaria: el dinero, lo que se lleva cada año de lo que cuesta el trabajo, la vivienda, los hijos y la confianza; la otra mitad de la vara, los frutos (</w:t>
      </w:r>
      <w:r>
        <w:t>capítulo 8</w:t>
      </w:r>
      <w:r>
        <w:t>).</w:t>
      </w:r>
    </w:p>
    <w:p>
      <w:r>
        <w:br w:type="page"/>
      </w:r>
    </w:p>
    <w:p>
      <w:pPr>
        <w:pStyle w:val="Heading1"/>
      </w:pPr>
      <w:r>
        <w:t>8 Los frutos</w:t>
      </w:r>
    </w:p>
    <w:p>
      <w:pPr>
        <w:spacing w:after="200"/>
      </w:pPr>
      <w:r>
        <w:rPr>
          <w:rFonts w:ascii="Segoe UI" w:hAnsi="Segoe UI" w:eastAsia="Segoe UI" w:cs="Segoe UI"/>
          <w:color w:val="6B665E"/>
          <w:sz w:val="17"/>
        </w:rPr>
        <w:t>Primera versión: 6 de octubre de 2026 · Última revisión: 12 de octubre de 2026 · Cambios anotados en el capítulo: 12 · Citas leídas en su fuente: 74</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después del cierre de la edición (fdc8549) (Kiko, chat de 08.31, 23:1x, fila 749 de 08/01, tal cual: «</w:t>
      </w:r>
      <w:r>
        <w:t>Apocalipsis del Sistema</w:t>
      </w:r>
      <w:r>
        <w:t>. La disolución del velo del Estado y el retorno a la fuente», y «si» a darlo por decidido): en «El velo y el muro de opacidad», como el velo vuelve al subtítulo, la frase vuelve a la de antes, «Es lo que el título de la obra promete disolver» (07/herramientas/aplicar_subtitulo_velo_y_fuente.py). Ninguna otra palabra cambia. Cambio del 12-oct-2026, después del cierre de la edición (fdc8549) (Kiko, chat de 08.31, 22:4x, fila 742 de 08/01, tal cual: «</w:t>
      </w:r>
      <w:r>
        <w:t>Apocalipsis del Sistema</w:t>
      </w:r>
      <w:r>
        <w:t>. Revelaciones de los frutos del Estado: la auditoría»; la frase del velo, de 08.31, fila 744): en «El velo y el muro de opacidad», «Es lo que el título de la obra promete disolver» (lo decía el subtítulo viejo) pasa a «Lo que esconde es lo que el nombre de la obra promete descubrir: «Apocalipsis» quiere decir «revelación» (0.2).» (07/herramientas/aplicar_subtitulo_nuevo.py). Ninguna otra palabra cambia. Cambio del 12-oct-2026, el cierre, dentro del paso 3 (alcance de la cifra; orden de 08.30, fila 724 de 08/01): en la conclusión de 8.9, «mayor que hace una década» pasa a «mayor que hace doce años», como dice ya el párrafo de datos de 8.9 (4,74 en 2014; 5,58 en 2026) (07/herramientas/aplicar_doce_anios_8_9.py). Ninguna otra palabra cambia. Cambio del 12-oct-2026, el cierre, dentro del paso 3 (B13: Kiko, chat de 08.18, 06:3x, «si» a la forma «sin contacto documentado entre sí»; orden de 08.29, filas 709 y 710 de 08/01, tras la auditoría de 10.36): la frase en este capítulo con la forma de antes pasa a decir «sin contacto documentado» (07/herramientas/aplicar_contacto_documentado.py).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9 (borrador B16). Ninguna otra palabra cambia. Cambio del 10-oct-2026 (Kiko, chat de 08.7, 23:4x, pasado por 08.7 tal cual, en mayúsculas: «SIN QUE NADIE LO VOTE NI DE SU CONSENTIMIENTO», al leer 8.3 en la web): «La idea» de 8.3 termina en «sin que nadie lo vote ni dé su consentimiento». Solo «La idea» de 8.3; nada más cambia. Cambio del 10-oct-2026, P5 (Kiko, chat de 08.4, pasado por 08.4 tal cual: «Sí a la P5, que entre la media frase»; P5 del estudio 08/10, apartado 6, que viene de la precisión d del 8.11; borrador de 07/borradores/marca_comercio): en la «Lectura del autor» de 8.11, la otra mitad de la imagen del nativo: lo que de verdad ha hecho es pulsar un interruptor en una pared, pero no tiene la palabra «pared» ni «interruptor». Sigue siendo imagen del autor, no un hecho. Nada más cambia. Cambio del 10-oct-2026 (Kiko, chat de 07.1, hacia las 13:45: «Sí, pero anota cómo yo mismo he caído en la presunción de primero decir pared […]»; borrador «El efectivo y la señal» de 07/borradores/marca_comercio; sin fila en 04p, nace de lo que Kiko pidió el 10-oct en el chat de 07): apartado nuevo 8.11 «El efectivo y la señal», con los límites al pago en efectivo (Ley 7/2012 y Reglamento (UE) 2024/1624), el billete de 500, el euro digital y el uso del efectivo por países (BCE, Comisión y Parlamento Europeo), Ap 13:16-17 entero en la Reina-Valera 1909 con Hipólito y Victorino, lo que no se halló en las otras tradiciones (nivel completo) y la Lectura del autor sobre la función y el salto de vocabulario (la imagen del nativo que toca la roca, y la propia presunción del autor al decir «pared»); una línea en 8.0, dos viñetas de «Límite honesto de la prueba» y una de «Para recordar». Un agente de fuentes leyó los documentos (169 de 169 literales comprobados); los traductores de Hipólito (MacMahon) y Victorino (Wallis) se comprobaron en los archivos. Sin nombrar ningún producto ni medio de pago. Cambio del 10-oct-2026 (Kiko, chat de 07, 9 y 10-oct, y permiso de trabajar en automático; fila A8 de 03b): en 8.3, tras el cuadro de los 100 euros guardados desde 1971, un bloque nuevo: lo que compran 100 euros guardados medido en barras de pan (1987, 1999 a 2025, solo ahorros) y la definición de «inflación» (Webster 1913 y la Academia de hoy) al lado; con su cuadro año por año en el nivel completo. Sin sueldos ni pensiones. «La idea» de 8.3 no cambia. Cambio del 9-oct-2026, después (Kiko: «Sí, pero sin mi frase… el contexto es la insatisfacción», medible por los suicidios y los antidepresivos): la «Lectura del autor» de 8.10 se reescribe: lo que las series miden es la insatisfacción; los suicidios y los antidepresivos son dos termómetros que no dicen lo mismo; y se lee de dos maneras, como indicador de que el malestar aumenta y como camuflaje, con la cautela de que puede deberse a más diagnóstico, menos estigma o más acceso. Cambio del 9-oct-2026 (Kiko: «sí al B10 con las dos recomendaciones, aplícalo»; fila 41 de 04p, parte b; borrador B10 de la carpeta 07): apartado nuevo 8.10 «La salud y la familia», con lo que muestran las series oficiales (antidepresivos, suicidios con la población española aparte, divorcios, depresión y ansiedad declaradas; INE, AEMPS, Ministerio de Sanidad, OCDE y Eurostat), la lectura del autor sobre el camuflaje y dos viñetas de «Límite honesto de la prueba»; una línea en 8.0 y una viñeta en «Para recordar». Dos agentes de fuentes leyeron las series (306 de 306 y 243 de 245 literales comprobados). Cambio del 8-oct-2026 (lectura de la dirección de la obra, aviso PASO 4.8): se cierra con su marca de fin el bloque de nivel completo de la tabla de 8.3, que había quedado sin cerrar y escondía, en los niveles 1 y 2, desde 8.4 hasta el final del capítulo (Límite honesto y Para recordar incluidos); y las referencias del texto de lectura a «la 20.00», «la 24.00», «la 21.00», «la pieza», «el termómetro de la pieza» y «el Pórtico» pasan a hablar de la obra. Sin cambiar ningún dato. ESTADO: APROBADO por Kiko el 6-oct-2026 («SI A TODO»: el capítulo y sus novedades, la corrección de la Biblioteca, también el título de la 29.00, y lo no leído a la libreta de flecos). Su material está marcado en el inventario (04 CAPITULOS/marcas/marcas del capitulo 8.txt). Cualquier cambio posterior, con su aprobación. Escrito en tres niveles y con remisiones enlazables. Marcas: {fuente: …} niveles 2 y 3; {original: …} nivel 3; [trazabilidad] nivel 3; {completo} solo nivel 3; {breve} solo niveles 1 y 2. Trazabilidad: al final de cada párrafo o bloque, entre corchetes (se ve en el nivel completo). Reparto (Kiko, 5-oct): cinco agentes localizaron y descargaron las fuentes (c8a: el dinero, la deuda y las advertencias; c8b: la carga, el gasto y el personal; c8c: la extracción; c8d: la industria, la vivienda y la confianza; c8f: Mariana, el Banco de España, los afiliados y cuatro leyes); Claude leyó cada original y extrajo las citas. Leído hoy en su original: - BOE: Constitución (arts. 40.1, 50, 67.2, 149.1.11.ª y 167); Diarios de Sesiones del Congreso (2-9-2011) y del Senado (7-9-2011); Ley General de la Seguridad Social (arts. 58 y 308.1.a, regla 4.ª; los arts. 110.1, 122 y 123.2.d, ya leídos para el capítulo 5); Orden PJC/297/2026 (arts. 2, 3, 4, 16, 18, 33 y 37); Real Decreto 241/2026 (arts. 3.1 y 21.1); Ley 46/1998 (art. 3); Reglamento (CE) 2866/98; Ley 35/2006 (arts. 57 y 63); Decretos 720/1970 y 547/1975; Reales Decretos 1462/2018 y 87/2025; Real Decreto-ley 28/2012 (art. 1); Pacto Internacional de Derechos Civiles y Políticos (art. 11); Ley Orgánica 4/1981 (arts. 1.3, 11.b y 12); Real Decreto 463/2020 (art. 8); Ley Orgánica del Poder Judicial (art. 57.1.2.º); Código Penal (art. 11); Ley 39/2015 (arts. 14, 24 y 133); Ley 19/2013 (art. 12); LOREG (arts. 46.3, 162.1, 163.1.e, 164.1, 166.1 y 196); Constitución (arts. 99 y 140); leyes del IVA de 1985 a 2012 (Ley 30/1985, Ley 31/1991, Real Decreto-ley 5/1992, Ley 37/1992, Ley 41/1994, Ley 26/2009 y Real Decreto-ley 20/2012); Decretos 3530/1972 y 2926/1974, Reales Decretos 1467/1981 y 13/1992 (cinturón y casco); Real Decreto 900/2015 y Real Decreto-ley 15/2018; Reales Decretos-leyes 9/1981 y 8/1983; Estatuto de Roma (art. 7); resoluciones de zonas tensionadas (BOE de 15-3-2024 y 9-10-2024); Estatuto de los Trabajadores (arts. 53.1.b y 56.1); Estatuto Básico del Empleado Público (arts. 14.a, 20, 63 y 96.1.a); Reglamento del Congreso (art. 22, en la redacción de 2025). - Tribunales y Unión Europea: STC 148/2021 (FJ 11); Tribunal de Justicia de la UE, Gauweiler (C-62/14), C-278/20 y C-743/22; STS 872/2026; STS 1119/2025 (BOSCO); STSJ de Madrid 405/2024 y ATS 3674/2026; STS de 12-11-2015 (foto-rojo) y STS 184/2018; demanda C-504/26 (DOUE) y comunicado de la Comisión de 11-3-2026; Tratado de Funcionamiento de la UE (arts. 123 y 127.1); Decreto ley 3/2026 de Canarias (BOC). - Organismos: Banco de Inglaterra (2014); Banco Central Europeo (balances, APP, PEPP y estrategia); Reserva Federal (balance y «Who owns the Federal Reserve?»); Federal Reserve History; Bernanke (2004); Banco Mundial (Global Waves of Debt, 2021; PIB en dólares); FMI (Perspectivas de la economía mundial, abril de 2026; Beneš y Kumhof, 2012); IIF (resumen público de 6-5-2026) y Reuters; Oficina de Estadísticas Laborales de EE. UU. (precios); Eurostat (cuentas, gasto por funciones de 2024, deuda e intereses, presión fiscal, esperanza de vida); INE (precios desde 1961, Encuesta Anual de Estructura Salarial, Movimiento Natural de la Población, fecundidad de 1975 a 2024, cuentas de los sectores, Presupuestos Familiares, EPA); Banco de España (SI 1.5; Documento Ocasional 2422); AIReF (presupuestos iniciales de 2026; variabilidad de los ingresos tributarios, 2025); Fondo de Reserva (informes a las Cortes de 2020 y 2025); Seguridad Social (pensiones de mayo y septiembre de 2026; Clases Pasivas; afiliados de diciembre de 2025); Agencia Tributaria (mercado de trabajo 2024); Estadística del Personal de las Administraciones Públicas (enero de 2026); Hacienda (cuantías retributivas de 2026); Congreso y Senado (régimen económico); Portal de la Transparencia; OCDE (Taxing Wages y Pensions at a Glance, datos oficiales); Banco Mundial (Doing Business 2020); Ministerio de Sanidad (listas de espera y Barómetro Sanitario); INEE (PISA 2022); Defensor del Pueblo (23-8-2023); Observatorio Estatal de la Dependencia (XXVI Dictamen y nota de 10-4-2026); Diario de Sesiones del Congreso (Comisión de Justicia, 15-3-2017); La Moncloa (publicidad institucional de 2019, 2024 y 2025); CIDH (principio 13); Tribunal de Cuentas (privatizaciones de 1996 a 2002); EFSA y AESAN (plaguicidas, 2023); Generalitat de Catalunya (memorias de zonas tensionadas de 2024 y 2026; fianzas del Incasòl); CIS (escala de confianza, 2013 a 2026). - Autores: Oresme, De moneta XV (latín); Copérnico, Monete cudende ratio (latín); Azpilcueta, Comentario resolutorio de cambios (ediciones de 1556 y 1568); Mariana, Tratado y discurso sobre la moneda de vellón (Biblioteca de Autores Españoles, t. 31, 1854, páginas escaneadas); Locke (1695, portada y dedicatoria); Greenspan (1966, en el Congressional Record de 1974); Weidmann (2012); Keynes (1919, cap. VI); White y Schuler (2009, resumen); Werner (2014); Rousseau, Del contrato social III, 15 (francés); Digesto 50.17.20 y 48.7.7 (latín); Diccionario panhispánico del español jurídico; Marín Arce (2006); Bel y Costas (2001); Mastroianni y Gilbert (Nature, 2023); Transparent Replications (2024); EsadeEcPol (2022); Acton (carta de 5-4-1887, edición de 1907). - Fuente secundaria (se marca en el texto): Instituto Juan de Mariana (Impuestómetro 2026, con datos de Molinari y EY); ATA (10-8-2026); Fundación Civismo (2021); UGT (2025, ejemplo de hostelería); Ecologistas en Acción (2025, con datos de la AESAN); prensa sobre las multas de la Zona de Bajas Emisiones (2026); Procurador del Común (sobre la STS de 2017 del foto-rojo); Smith, Smith y Stocks (2023, leído solo en transcripción). Hallado al escribir (aprobado y corregido en la Biblioteca el 6-oct, libreta 72, punto 144; lo no leído queda en la Biblioteca como estaba y pasa a la libreta de flecos): - 20.00, «La creación del dinero de la nada» (§3): el APP no acumuló «2,95 billones hasta 2021», sino 3,12 billones en tenencias a fin de 2021 (máximo de 3,27 en junio de 2022); el «63 % del PIB de toda la eurozona», los «18 billones de dólares, el 22 % del PIB mundial» y las dos frases de la «literatura financiera» no tienen fuente leída; el «23,6 % en diez años» del IPC no casa con la serie del INE (28,0 % de 2015 a 2025); lo de Benidorm sale de portales privados, sin leer. - 20.00, §4: el salario real de la OCDE (1993-2023) se leyó el 7-oct en la serie vigente (año base 2025) y entra en 8.3: España +4,04 %; Francia +28,15 %; Alemania +21,03 %; Italia −3,33 %; Países Bajos +1,49 %. Las cifras de la pieza (29.588 → 30.654 €; Francia 36 %; Alemania 34 %) no salen de esa serie, ni tampoco el «solo superó a Italia». - 20.00, §6: el Diccionario panhispánico define «nemo iudex sine actore» como «Nadie sea juez sin actor», no «no hay juez sin acusador»; su entrada de «permissum id esse intellegitur…» no cita la STS de 9-6-1987; y lo de que «in dubio pro administrado» es una «regla mnemotécnica moderna» no está en la entrada. Son seis fórmulas del diccionario y una del Digesto, no siete del diccionario. - 20.00, «El vaciado de la hucha» (§10): «retiraron 61.000 millones»: lo dispuesto fue 77.437 millones entre 2012 y 2018 (80.337 hasta 2019); 61.772 es lo que bajó el saldo (66.815 → 5.043). Nombres de presidentes del Gobierno: proponer «los Gobiernos de 2012 a 2018». Los 12.690 millones «desviados» antes de 2012: solo prensa. - 20.00, §11: las cifras de marzo de 2026 (271.556; 118.716; 152.840) no son del XXVI Dictamen, sino de la nota de la Asociación de Directoras y Gerentes de Servicios Sociales de 10-4-2026, con datos del Ministerio. - 20.00, §13: el «salario mediano de 24.497 €» y las normas de los expresidentes se leyeron el 7-oct (INE, 24.497,17 euros en 2024; RD 405/1992, en 7.6); los 628,80 € al mes son 8.803,20 / 14 (cálculo). - 20.00, §14 (Casa del Rey): leída el 7-oct en su fuente (relación de puestos del Ministerio de la Presidencia, Tribunal de Cuentas, REMCO); pasa al anexo C. - 20.00, «El patrón del incrementalismo» (§16): el cinturón fue obligatorio de instalar en 1972 (Decreto 3530/1972) y de usar en vías interurbanas desde el 11-11-1974 (Decreto 2926/1974); no hay normas de 1975 ni de 1976. El casco se exigió desde 1982 a las motos de más de 125 cc en todas las vías, y a las de 125 o menos solo en interurbanas (Real Decreto 1467/1981). Y «Nunca al revés» no se sostiene: el tipo incrementado del IVA bajó del 33 % al 28 % en 1992 y se suprimió en 1993, y el cargo al autoconsumo se derogó en 2018. - 20.00, «El estado de alarma» (§17): la STC 148/2021 sí permite revisar las sanciones (FJ 11.b, art. 40.1 LOTC); el «deber jurídico de soportar» (FJ 11.c) se refiere a las medidas y a la responsabilidad patrimonial, y «los perjuicios» no es literal. Lo que no se revisa son los actos firmes (FJ 11.a). Las propuestas de reforma de 2021 y 2023, sin leer. - 20.00, §15 (listas): la cita del art. 46.3 de la LOREG («la expresión del orden de colocación de todos ellos») no es la redacción vigente: hoy dice «con la expresión del orden de colocación tanto de los candidatos como de los suplentes». El estudio de 2012 sobre las primarias y los estatutos de los partidos, sin leer en esta ronda (no entran). - 20.00, §18 (aforamientos): los nombres de dos condenados, fuera (no se nombra a personas); sin leer. - 20.00, «Las Zonas de Bajas Emisiones» (§19): las cifras de 3,3 a 3,5 millones de multas y 650 a 700 millones son de una asociación de automovilistas (parte interesada), citada por la prensa, e incluyen multas que la sentencia no toca; la nulidad alcanza al régimen transitorio de toda la zona y a la regulación de Distrito Centro y Plaza Elíptica. La Ordenanza 2/2026 entró en vigor el 7 de abril (al día siguiente de su publicación), no el 6. - 20.00, §20 (foto-rojo): no se han localizado ni «pesan, cuentan ni miden» ni el pasaje del porcentaje de la empresa instaladora; la STS de 2017 no se ha podido leer entera. - 20.00, §25 (franquicia del IVA): los 32.430 € diarios son el importe con el que se calcula la suma a tanto alzado (mínimo de 7.540.000 €); la multa coercitiva que se pide es de 135.811,20 € al día, desde la sentencia (asunto C-504/26). Canarias no creó la franquicia: subió la que ya tenía el IGIC de 30.000 a 50.000 €, en un decreto ley de medidas por la crisis de Oriente Medio. - 20.00, §28, y 21.00, §7: los 226 horas, 3.390 € y 11.000 millones de ATA son de su nota de 10-8-2026, no de diciembre de 2025 (entonces daba 200 horas, 3.000 € y 10.000 millones); y la propia nota dice 758 y 780 millones de horas. - 20.00, §29 (publicidad institucional): «172 millones», «990,8 millones acumulados» y «la cifra más alta en casi dos décadas», sin fuente leída; las negativas de los ministerios, solo prensa. Y el principio 13 de la CIDH exige el objetivo de presionar, castigar, premiar o privilegiar: «exista o no intención probada» no está en él (el informe de 2011 no se ha leído). - 20.00, §30: las cuatro sentencias del Supremo de 2026 sobre el silencio positivo, sin leer. - 21.00: el 38,3 % «previsto por la Comisión Europea» no está en ningún documento oficial (es una suma del Instituto Juan de Mariana con series de la Comisión, que dan el 38,13 % o el 38,49 %); la frase del Impuestómetro «considerando las principales figuras tributarias…» no existe; Civismo da 332 horas, no 322 (las 322 son de Argentina); dos frases atribuidas al Defensor del Pueblo no son literales; la OCDE da 16,3 y 18,7 veces el salario (valor bruto), no «15 y 17». Los datos de salario y depósitos de 2025 y 2026 (§5) y los de gastos del hogar (§10), sin leer en esta ronda: leídos después, el 7-oct, y recogidos en el anexo B. - 24.00: el Banco Mundial dice «más grande, más rápida y más generalizada» de la deuda de las economías emergentes y en desarrollo, no de la mundial, y no «que las tres anteriores juntas»; «ampliamente estable desde 2023» es redacción de Reuters, no del informe del IIF. - 25.00: la frase de Mariana «es ilícito y malo; si con él…» no está en el prólogo, sino al cierre del tratado (cap. XIII, p. 593). Copérnico leyó la versión alemana ante la Dieta de la Prusia Real en Grudziądz el 21-3-1522; «a petición de Segismundo» para la de 1526 no consta, y «la moneda mala expulsa a la buena» no es literal. Que Locke aconsejara a Newton, sin leer. La entrevista de Lenin se publicó en «periódicos de Londres y de Nueva York» (White y Schuler); los nombres de los diarios no se han comprobado. Greenspan escribió «"hidden" confiscation», con comillas. - 26.00: las 132.793 muestras y el 98 % de cumplimiento son del conjunto de la UE (EFSA), no de España (2.492 muestras); las «60.000 viviendas de alquiler perdidas» no tienen fuente (la serie oficial de fianzas del Incasòl da otra cosa); los «302 municipios» y los «6,1 millones» no son cifras oficiales (en trámite: 118 prorrogables con 5.919.365 habitantes y 53 nuevos con 255.220); la resolución salió en el BOE del 9-10-2024, no del 8; los 140 municipios los declaró la TER/2940/2023 y la TER/800/2024 la modificó; las privatizaciones de 1997 y 1998 sumaron 25.564 millones, no «más de 12.000». La «octava potencia industrial» de los años setenta, sin leer. - 27.00: «72,3 %» → 72,47 % (junio de 1990); el índice de fecundidad de 1975, que la pieza daba como «aproximadamente 2,9» sin verificar, es 2,77 (INE). - 29.00 (su título pasa a «La confianza entre personas es mayor que hace una década», también en la cita de la 28.00): el CIS no pregunta «desde 2006» (la serie empieza en 2013) y el 5,4 de 2020 no fue «la más alta de toda la serie» después: 2021, 2022 y 2023 la superan (5,7; 5,75 y 5,73); el 32 % de 2009 y el 45,8 % de 2016 no se han encontrado (2016 da 38,6 y 42,0); el «84 % de las encuestas» es el 84,18 % de las preguntas de Estados Unidos (1949-2019); y la confianza no está «en máximos» (título y conclusión de la pieza): el máximo fue 5,75 en 2022, y en 2026 es 5,58, mayor que hace una década (4,74 en 2014). La réplica de Smith, Smith y Stocks sostiene que el argumento central es lógicamente inválido, no lo que dice la pieza. - 34.00, nota 4: los salarios medios son un cálculo propio con la tabla de la Agencia Tributaria, no una cifra que esta publique. El 100,2 % del PIB (mayo de 2026) se leyó el 7-oct en el Banco de España (anexo C), y la media de los altos cargos es de 92.294 € (C.1), no 92.189. - De la edición, no de la Biblioteca: el capítulo 5 (conclusión de 5.1) seguía diciendo «73 incumplimientos»; con el art. 21 reclasificado son 72. Corregido el 6-oct, como parte de la cascada ya aprobada el 5-oct. Nuevo, aprobado por Kiko el 6-oct: Oresme en latín (cap. XV); Copérnico en latín (los «cuatro azotes» y la moneda que «expulsó» a la antigua); Azpilcueta en la edición castellana de 1556, en vez de la italiana de 1569; Weidmann sobre la tentación; la frase de Werner como afirmación del propio autor; el control de la EFSA por origen (3,4 % frente a 1,0 %); la serie de fianzas del Incasòl; los 850.000 empleos industriales perdidos entre 1977 y 1985 (Marín Arce); la serie del CIS de 2014 a 2026; el índice de fecundidad de 1975 (2,77); la Ley Orgánica 4/1981, art. 1.3. No entra: el «63 % del PIB» de la zona euro y los «18 billones» (sin fuente); Benidorm (portales privados); la cita atribuida a Friedman (sin fuente primaria, 8.2); Nozick, y Murphy y Nagel (20.00, §34: Nozick solo por fuentes secundarias, y Murphy y Nagel sin leer); las cifras de coste de la reconversión (fuente concentrada); la ocupación de la 26.00 (la propia pieza la descartó); los nombres de personas condenadas; las sentencias de 2026 sobre el silencio positivo. Remisiones: Mill y el límite del daño (2.3); las barreras electorales y el informe del Consejo de Estado de 2009 (6.4); Trasímaco (1.4); Mencio y las Leyes de Manu sobre el tiempo, la pesa justa y devolver lo confiado (3.2, P3, P4 y P5); la usura (3.3); lo que se da por supuesto sobre el dinero, la hucha y el IRPF (5.1, n.º 1, 2, 3, 5, 6, 8, 9, 10, 11 y 12); las listas cerradas (6.4); la asignación y el art. 135.3 (7.2, n.º 1 y 4); el confinamiento (7.2, n.º 9); la franquicia del IVA, la Zona de Bajas Emisiones, el Fondo de Reserva y la infancia (7.5, casos 1, 2, 4 y 5); el cobro sin juez y los 43.300 millones de intereses (7.6); el diseño que enfrenta a la gente (7.7); la quiebra camuflada y los 6,13 billones de pensiones prometidas (9.1); los cuadros completos (anexos B y C). Conceptos que ancla: el dinero sin respaldo material, en su desarrollo (8.1); el tiempo de vida cristalizado (8.3); la carga (8.4); el velo y el muro de opacidad (8.6). Corregido el 7-oct-2026 (capítulo 11, parte 6): Mt 11:15 en 8.6, con las palabras de la Reina-Valera Antigua, «para oir» (c9g); decía «para oír», de la de 1960.</w:t>
      </w:r>
    </w:p>
    <w:p>
      <w:pPr>
        <w:pBdr>
          <w:left w:val="single" w:sz="24" w:space="6" w:color="E2DED6"/>
        </w:pBdr>
        <w:shd w:val="clear" w:color="auto" w:fill="F1EEE8"/>
        <w:spacing w:before="80" w:after="160"/>
        <w:ind w:left="142" w:right="142"/>
      </w:pPr>
      <w:r>
        <w:rPr>
          <w:b/>
        </w:rPr>
        <w:t>En pocas palabras:</w:t>
      </w:r>
    </w:p>
    <w:p>
      <w:pPr>
        <w:pStyle w:val="ListBullet"/>
      </w:pPr>
      <w:r>
        <w:t>Desde 1971 ninguna moneda se puede cambiar por oro: el dinero vale lo que la ley declara y la confianza que se le tiene. Y la mayor parte la crean los bancos al prestar: nace como deuda.</w:t>
      </w:r>
    </w:p>
    <w:p>
      <w:pPr>
        <w:pStyle w:val="ListBullet"/>
      </w:pPr>
      <w:r>
        <w:t>Durante siete siglos se ha advertido, a menudo desde dentro del poder, que alterar el valor de la moneda es quitar al pueblo sin pedirle permiso.</w:t>
      </w:r>
    </w:p>
    <w:p>
      <w:pPr>
        <w:pStyle w:val="ListBullet"/>
      </w:pPr>
      <w:r>
        <w:t>100 euros guardados el 1 de enero de 1971 compran hoy lo que entonces 3,90. El salario medio compra lo mismo que en 2008. Y entre 2021 y 2025 la subida de los precios rebajó la deuda del Estado más de lo que este pagó en intereses.</w:t>
      </w:r>
    </w:p>
    <w:p>
      <w:pPr>
        <w:pStyle w:val="ListBullet"/>
      </w:pPr>
      <w:r>
        <w:t>De cada 100 euros que paga una empresa por un asalariado medio, al menos 41 van a cotizaciones e IRPF, y hasta 53,6 con todas las capas. El autónomo, entre el 42 % y el 53 %, según la base que elija.</w:t>
      </w:r>
    </w:p>
    <w:p>
      <w:pPr>
        <w:pStyle w:val="ListBullet"/>
      </w:pPr>
      <w:r>
        <w:t>Cuando el ciudadano omite, el sistema lo cobra solo; cuando omite el sistema, el ciudadano tiene que litigar años: la gasolina, la franquicia del IVA, el algoritmo del bono social.</w:t>
      </w:r>
    </w:p>
    <w:p>
      <w:pPr>
        <w:pStyle w:val="ListBullet"/>
      </w:pPr>
      <w:r>
        <w:t>De la hucha de las pensiones se dispusieron 80.337 millones entre 2012 y 2019, y la ley obliga a invertirla en títulos públicos: hoy, solo deuda española. El total del gasto se publica; la suma de quién cobra qué, no.</w:t>
      </w:r>
    </w:p>
    <w:p>
      <w:pPr>
        <w:pStyle w:val="ListBullet"/>
      </w:pPr>
      <w:r>
        <w:t>La vivienda cuesta 8,4 años de la renta bruta de un hogar mediano, y la fecundidad está en su mínimo, 1,10 hijos por mujer. Por qué, queda abierto.</w:t>
      </w:r>
    </w:p>
    <w:p>
      <w:pPr>
        <w:pStyle w:val="ListBullet"/>
      </w:pPr>
      <w:r>
        <w:t>La confianza entre las personas no ha caído. La que está baja es la confianza en las instituciones.</w:t>
      </w:r>
    </w:p>
    <w:p>
      <w:pPr>
        <w:pStyle w:val="Heading2"/>
      </w:pPr>
      <w:r>
        <w:t>8.0 Propósito</w:t>
      </w:r>
    </w:p>
    <w:p>
      <w:r>
        <w:t xml:space="preserve">El </w:t>
      </w:r>
      <w:r>
        <w:t>capítulo 7</w:t>
      </w:r>
      <w:r>
        <w:t xml:space="preserve"> midió la Constitución artículo por artículo. Este mide lo que llega a la vida diaria: el dinero, lo que se lleva cada año de lo que cuesta el trabajo de una persona, a dónde va, y lo que se ve en la vivienda, en los hijos y en la confianza. Es la otra mitad de la vara: después de la verdad de los hechos, los frutos (</w:t>
      </w:r>
      <w:r>
        <w:t>0.5</w:t>
      </w:r>
      <w:r>
        <w:t>).</w:t>
      </w:r>
    </w:p>
    <w:p>
      <w:r>
        <w:rPr>
          <w:b/>
        </w:rPr>
        <w:t>Cómo se lee.</w:t>
      </w:r>
      <w:r>
        <w:t xml:space="preserve"> Cada dato va con su fuente y su fecha; los cálculos de la obra se dicen como tales; las cifras de estudios privados o de partes interesadas, marcadas. Los cuadros completos están en los anexos B y C.</w:t>
      </w:r>
    </w:p>
    <w:p>
      <w:r>
        <w:rPr>
          <w:b/>
        </w:rPr>
        <w:t>Lo que este capítulo no hace.</w:t>
      </w:r>
      <w:r>
        <w:t xml:space="preserve"> No prueba ninguna intención: mide efectos. Donde la causa no está demostrada, lo dice (</w:t>
      </w:r>
      <w:r>
        <w:t>8.8</w:t>
      </w:r>
      <w:r>
        <w:t>). Y no da consejo financiero ni de inversión.</w:t>
      </w:r>
    </w:p>
    <w:p>
      <w:r>
        <w:t>Este capítulo dice:</w:t>
      </w:r>
    </w:p>
    <w:p>
      <w:pPr>
        <w:pStyle w:val="ListBullet"/>
      </w:pPr>
      <w:r>
        <w:rPr>
          <w:b/>
        </w:rPr>
        <w:t>8.1</w:t>
      </w:r>
      <w:r>
        <w:t xml:space="preserve"> el dinero sin respaldo y la deuda;</w:t>
      </w:r>
    </w:p>
    <w:p>
      <w:pPr>
        <w:pStyle w:val="ListBullet"/>
      </w:pPr>
      <w:r>
        <w:rPr>
          <w:b/>
        </w:rPr>
        <w:t>8.2</w:t>
      </w:r>
      <w:r>
        <w:t xml:space="preserve"> siete siglos de advertencias;</w:t>
      </w:r>
    </w:p>
    <w:p>
      <w:pPr>
        <w:pStyle w:val="ListBullet"/>
      </w:pPr>
      <w:r>
        <w:rPr>
          <w:b/>
        </w:rPr>
        <w:t>8.3</w:t>
      </w:r>
      <w:r>
        <w:t xml:space="preserve"> el tiempo de vida que se lleva la moneda;</w:t>
      </w:r>
    </w:p>
    <w:p>
      <w:pPr>
        <w:pStyle w:val="ListBullet"/>
      </w:pPr>
      <w:r>
        <w:rPr>
          <w:b/>
        </w:rPr>
        <w:t>8.4</w:t>
      </w:r>
      <w:r>
        <w:t xml:space="preserve"> la carga sobre cada persona;</w:t>
      </w:r>
    </w:p>
    <w:p>
      <w:pPr>
        <w:pStyle w:val="ListBullet"/>
      </w:pPr>
      <w:r>
        <w:rPr>
          <w:b/>
        </w:rPr>
        <w:t>8.5</w:t>
      </w:r>
      <w:r>
        <w:t xml:space="preserve"> la extracción, por acción y por omisión;</w:t>
      </w:r>
    </w:p>
    <w:p>
      <w:pPr>
        <w:pStyle w:val="ListBullet"/>
      </w:pPr>
      <w:r>
        <w:rPr>
          <w:b/>
        </w:rPr>
        <w:t>8.6</w:t>
      </w:r>
      <w:r>
        <w:t xml:space="preserve"> a dónde va cada euro, y quién sostiene a quién;</w:t>
      </w:r>
    </w:p>
    <w:p>
      <w:pPr>
        <w:pStyle w:val="ListBullet"/>
      </w:pPr>
      <w:r>
        <w:rPr>
          <w:b/>
        </w:rPr>
        <w:t>8.7</w:t>
      </w:r>
      <w:r>
        <w:t xml:space="preserve"> la industria, el campo y la vivienda;</w:t>
      </w:r>
    </w:p>
    <w:p>
      <w:pPr>
        <w:pStyle w:val="ListBullet"/>
      </w:pPr>
      <w:r>
        <w:rPr>
          <w:b/>
        </w:rPr>
        <w:t>8.8</w:t>
      </w:r>
      <w:r>
        <w:t xml:space="preserve"> vivienda y fecundidad;</w:t>
      </w:r>
    </w:p>
    <w:p>
      <w:pPr>
        <w:pStyle w:val="ListBullet"/>
      </w:pPr>
      <w:r>
        <w:rPr>
          <w:b/>
        </w:rPr>
        <w:t>8.9</w:t>
      </w:r>
      <w:r>
        <w:t xml:space="preserve"> la confianza;</w:t>
      </w:r>
    </w:p>
    <w:p>
      <w:pPr>
        <w:pStyle w:val="ListBullet"/>
      </w:pPr>
      <w:r>
        <w:rPr>
          <w:b/>
        </w:rPr>
        <w:t>8.10</w:t>
      </w:r>
      <w:r>
        <w:t xml:space="preserve"> la salud y la familia;</w:t>
      </w:r>
    </w:p>
    <w:p>
      <w:pPr>
        <w:pStyle w:val="ListBullet"/>
      </w:pPr>
      <w:r>
        <w:rPr>
          <w:b/>
        </w:rPr>
        <w:t>8.11</w:t>
      </w:r>
      <w:r>
        <w:t xml:space="preserve"> y el efectivo y la señal.</w:t>
      </w:r>
    </w:p>
    <w:p>
      <w:pPr>
        <w:pStyle w:val="Heading2"/>
      </w:pPr>
      <w:r>
        <w:t>8.1 El dinero sin respaldo y la deuda</w:t>
      </w:r>
    </w:p>
    <w:p>
      <w:pPr>
        <w:pBdr>
          <w:left w:val="single" w:sz="24" w:space="6" w:color="E2DED6"/>
        </w:pBdr>
        <w:shd w:val="clear" w:color="auto" w:fill="F1EEE8"/>
        <w:spacing w:before="80" w:after="160"/>
        <w:ind w:left="142" w:right="142"/>
      </w:pPr>
      <w:r>
        <w:rPr>
          <w:b/>
        </w:rPr>
        <w:t>La idea: el sistema monetario actual nació de una decisión política fechada; la mayor parte del dinero la crea la banca al prestar; la deuda mundial está en máximos; y España ha escrito en su Constitución que la deuda se paga antes que nada.</w:t>
      </w:r>
    </w:p>
    <w:p>
      <w:r>
        <w:rPr>
          <w:b/>
        </w:rPr>
        <w:t>El nombre.</w:t>
      </w:r>
      <w:r>
        <w:t xml:space="preserve"> Ya se anticipó en 5.1: la edición llama </w:t>
      </w:r>
      <w:r>
        <w:rPr>
          <w:b/>
        </w:rPr>
        <w:t>dinero sin respaldo material</w:t>
      </w:r>
      <w:r>
        <w:t xml:space="preserve"> al que no se puede cambiar por oro ni por ningún bien, y vale por lo que la ley declara, su «curso legal», y por la confianza que la gente tiene en él. Circulan otros dos nombres para lo mismo, que aquí se explican una vez y no se vuelven a usar: «dinero fiduciario», el «que depende del crédito y confianza que merezca»</w:t>
      </w:r>
      <w:r>
        <w:t xml:space="preserve"> (Diccionario de la lengua española)</w:t>
      </w:r>
      <w:r>
        <w:br/>
      </w:r>
      <w:r>
        <w:rPr>
          <w:b/>
        </w:rPr>
        <w:t>leída en su fuente · Diccionario de la lengua española</w:t>
      </w:r>
      <w:r>
        <w:br/>
      </w:r>
      <w:r>
        <w:rPr>
          <w:b/>
        </w:rPr>
        <w:t>Archivo leído:</w:t>
      </w:r>
      <w:r>
        <w:t xml:space="preserve"> diccionariodelal0000unse_q9u2.txt (c5_grandes\diccionariodelal0000unse_q9u2.txt) · contraste del archivo de pasajes: ✔</w:t>
      </w:r>
      <w:r>
        <w:br/>
      </w:r>
      <w:r>
        <w:rPr>
          <w:b/>
        </w:rPr>
        <w:t>Lugar:</w:t>
      </w:r>
      <w:r>
        <w:t xml:space="preserve"> Diccionario de la lengua española</w:t>
      </w:r>
      <w:r>
        <w:br/>
      </w:r>
      <w:r>
        <w:rPr>
          <w:b/>
        </w:rPr>
        <w:t>Tal como está en la fuente:</w:t>
      </w:r>
      <w:r>
        <w:t xml:space="preserve"> que depende del crédito y confianza que merezca</w:t>
      </w:r>
      <w:r>
        <w:t xml:space="preserve">, y «moneda fiat», del latín </w:t>
      </w:r>
      <w:r>
        <w:rPr>
          <w:i/>
        </w:rPr>
        <w:t>fiat</w:t>
      </w:r>
      <w:r>
        <w:t xml:space="preserve">, «hágase». </w:t>
      </w:r>
      <w:r>
        <w:t>[glosario 6.1]</w:t>
      </w:r>
    </w:p>
    <w:p>
      <w:r>
        <w:rPr>
          <w:b/>
        </w:rPr>
        <w:t>1971.</w:t>
      </w:r>
      <w:r>
        <w:t xml:space="preserve"> El 15 de agosto de 1971, el presidente de Estados Unidos anunció por televisión: «He ordenado al secretario Connally que suspenda temporalmente la convertibilidad del dólar en oro u otros activos de reserva»</w:t>
      </w:r>
      <w:r>
        <w:t xml:space="preserve"> [original: «I have directed Secretary Connally to suspend temporarily the convertibility of the dollar into gold or other reserve assets»]</w:t>
      </w:r>
      <w:r>
        <w:t xml:space="preserve"> (Nixon, discurso a la nación, 15-8-1971, American Presidency Project)</w:t>
      </w:r>
      <w:r>
        <w:br/>
      </w:r>
      <w:r>
        <w:rPr>
          <w:b/>
        </w:rPr>
        <w:t>leída en su fuente · Nixon, discurso a la nación, 15-8-1971, American Presidency Project</w:t>
      </w:r>
      <w:r>
        <w:br/>
      </w:r>
      <w:r>
        <w:rPr>
          <w:b/>
        </w:rPr>
        <w:t>Archivo leído:</w:t>
      </w:r>
      <w:r>
        <w:t xml:space="preserve"> 8.1_01_Nixon_1971-08-15_APP.html (c8a\8.1_01_Nixon_1971-08-15_APP.html) · contraste del archivo de pasajes: ✔</w:t>
      </w:r>
      <w:r>
        <w:br/>
      </w:r>
      <w:r>
        <w:rPr>
          <w:b/>
        </w:rPr>
        <w:t>Lugar:</w:t>
      </w:r>
      <w:r>
        <w:t xml:space="preserve"> Nixon, discurso a la nación, 15-8-1971, American Presidency Project</w:t>
      </w:r>
      <w:r>
        <w:br/>
      </w:r>
      <w:r>
        <w:rPr>
          <w:b/>
        </w:rPr>
        <w:t>Tal como está en la fuente:</w:t>
      </w:r>
      <w:r>
        <w:t xml:space="preserve"> I have directed Secretary Connally to suspend temporarily the convertibility of the dollar into gold or other reserve assets</w:t>
      </w:r>
      <w:r>
        <w:t>. Lo temporal no se revirtió. La historia oficial de la Reserva Federal lo resume así: «en la práctica, el sistema monetario internacional pasó a ser fiduciario»</w:t>
      </w:r>
      <w:r>
        <w:t xml:space="preserve"> [original: «in effect, the international monetary system turned into a fiat one»]</w:t>
      </w:r>
      <w:r>
        <w:t xml:space="preserve"> (Federal Reserve History, «Nixon Ends Convertibility of U.S. Dollars to Gold»)</w:t>
      </w:r>
      <w:r>
        <w:br/>
      </w:r>
      <w:r>
        <w:rPr>
          <w:b/>
        </w:rPr>
        <w:t>leída en su fuente · Federal Reserve History, «Nixon Ends Convertibility of U.S. Dollars to Gold»</w:t>
      </w:r>
      <w:r>
        <w:br/>
      </w:r>
      <w:r>
        <w:rPr>
          <w:b/>
        </w:rPr>
        <w:t>Archivo leído:</w:t>
      </w:r>
      <w:r>
        <w:t xml:space="preserve"> 8.1_02_FedHistory_Nixon_ends_convertibility.html (c8a\8.1_02_FedHistory_Nixon_ends_convertibility.html) · contraste del archivo de pasajes: ✔</w:t>
      </w:r>
      <w:r>
        <w:br/>
      </w:r>
      <w:r>
        <w:rPr>
          <w:b/>
        </w:rPr>
        <w:t>Lugar:</w:t>
      </w:r>
      <w:r>
        <w:t xml:space="preserve"> Federal Reserve History, «Nixon Ends Convertibility of U.S. Dollars to Gold»</w:t>
      </w:r>
      <w:r>
        <w:br/>
      </w:r>
      <w:r>
        <w:rPr>
          <w:b/>
        </w:rPr>
        <w:t>Tal como está en la fuente:</w:t>
      </w:r>
      <w:r>
        <w:t xml:space="preserve"> in effect, the international monetary system turned into a fiat one</w:t>
      </w:r>
      <w:r>
        <w:t xml:space="preserve">. </w:t>
      </w:r>
      <w:r>
        <w:t>[24.00-1.1 y 1.2]</w:t>
      </w:r>
    </w:p>
    <w:p>
      <w:r>
        <w:rPr>
          <w:b/>
        </w:rPr>
        <w:t>Quién crea el dinero.</w:t>
      </w:r>
      <w:r>
        <w:t xml:space="preserve"> Lo dice el propio Banco de Inglaterra (</w:t>
      </w:r>
      <w:r>
        <w:t>5.1</w:t>
      </w:r>
      <w:r>
        <w:t>, n.º 10). Y explica cómo: «cada vez que un banco concede un préstamo, crea a la vez un depósito equivalente en la cuenta del prestatario, y con ello crea dinero nuevo»</w:t>
      </w:r>
      <w:r>
        <w:t xml:space="preserve"> [original: «Whenever a bank makes a loan, it simultaneously creates a matching deposit in the borrower's bank account, thereby creating new money.»]</w:t>
      </w:r>
      <w:r>
        <w:t>; «en vez de prestar los depósitos que reciben, el acto de prestar crea los depósitos: al revés de la secuencia que suelen describir los manuales»</w:t>
      </w:r>
      <w:r>
        <w:t xml:space="preserve"> [original: «rather than banks lending out deposits that are placed with them, the act of lending creates deposits — the reverse of the sequence typically described in textbooks»]</w:t>
      </w:r>
      <w:r>
        <w:t>; y la teoría del multiplicador «no es una descripción exacta de cómo se crea el dinero en la realidad»</w:t>
      </w:r>
      <w:r>
        <w:t xml:space="preserve"> [original: «it is not an accurate description of how money is created in reality»]</w:t>
      </w:r>
      <w:r>
        <w:t xml:space="preserve"> (Banco de Inglaterra, «Money creation in the modern economy» (La creación del dinero en la economía moderna), Quarterly Bulletin, 2014)</w:t>
      </w:r>
      <w:r>
        <w:br/>
      </w:r>
      <w:r>
        <w:rPr>
          <w:b/>
        </w:rPr>
        <w:t>leída en su fuente · Banco de Inglaterra, «Money creation in the modern economy» (La creación del dinero en la</w:t>
      </w:r>
      <w:r>
        <w:br/>
      </w:r>
      <w:r>
        <w:rPr>
          <w:b/>
        </w:rPr>
        <w:t>Archivo leído:</w:t>
      </w:r>
      <w:r>
        <w:t xml:space="preserve"> banco_inglaterra_2014_money_creation_modern_economy.pdf (c5\banco_inglaterra_2014_money_creation_modern_economy.pdf) · contraste del archivo de pasajes: ✔</w:t>
      </w:r>
      <w:r>
        <w:br/>
      </w:r>
      <w:r>
        <w:rPr>
          <w:b/>
        </w:rPr>
        <w:t>Lugar:</w:t>
      </w:r>
      <w:r>
        <w:t xml:space="preserve"> Banco de Inglaterra, «Money creation in the modern economy» (La creación del dinero en la economía moderna), Quarterly Bulletin, 2014</w:t>
      </w:r>
      <w:r>
        <w:br/>
      </w:r>
      <w:r>
        <w:rPr>
          <w:b/>
        </w:rPr>
        <w:t>Tal como está en la fuente:</w:t>
      </w:r>
      <w:r>
        <w:t xml:space="preserve"> it is not an accurate description of how money is created in reality</w:t>
      </w:r>
      <w:r>
        <w:t>. El mismo año, un economista pidió un préstamo a un banco que colaboró en el estudio y vigiló sus registros internos; su conclusión, en sus palabras: el estudio «establece por primera vez de forma empírica que los bancos, uno a uno, crean dinero de la nada»</w:t>
      </w:r>
      <w:r>
        <w:t xml:space="preserve"> [original: «This study establishes for the first time empirically that banks individually create money out of nothing.»]</w:t>
      </w:r>
      <w:r>
        <w:t xml:space="preserve"> (Werner, International Review of Financial Analysis 36, 2014)</w:t>
      </w:r>
      <w:r>
        <w:br/>
      </w:r>
      <w:r>
        <w:rPr>
          <w:b/>
        </w:rPr>
        <w:t>pasaje guardado · Werner, International Review of Financial Analysis 36, 2014</w:t>
      </w:r>
      <w:r>
        <w:br/>
      </w:r>
      <w:r>
        <w:rPr>
          <w:b/>
        </w:rPr>
        <w:t>Archivo leído:</w:t>
      </w:r>
      <w:r>
        <w:t xml:space="preserve"> 8.1_03_Werner_2014_IRFA36_copia_unesp.pdf (c8a\8.1_03_Werner_2014_IRFA36_copia_unesp.pdf) · contraste del archivo de pasajes: parcial</w:t>
      </w:r>
      <w:r>
        <w:br/>
      </w:r>
      <w:r>
        <w:rPr>
          <w:b/>
        </w:rPr>
        <w:t>Lugar:</w:t>
      </w:r>
      <w:r>
        <w:t xml:space="preserve"> Werner, International Review of Financial Analysis 36, 2014</w:t>
      </w:r>
      <w:r>
        <w:br/>
      </w:r>
      <w:r>
        <w:rPr>
          <w:b/>
        </w:rPr>
        <w:t>Tal como está en la fuente:</w:t>
      </w:r>
      <w:r>
        <w:t xml:space="preserve"> This study establishes for the first time empirically that banks individually create money out of nothing.</w:t>
      </w:r>
      <w:r>
        <w:t xml:space="preserve">. Lo de «por primera vez» es afirmación del propio autor. </w:t>
      </w:r>
      <w:r>
        <w:t>[24.00-2.1 y 2.2; 20.00-3.1]</w:t>
      </w:r>
    </w:p>
    <w:p>
      <w:r>
        <w:rPr>
          <w:b/>
        </w:rPr>
        <w:t>La pregunta, dentro de la casa.</w:t>
      </w:r>
      <w:r>
        <w:t xml:space="preserve"> En 2012, dos economistas del Fondo Monetario Internacional retomaron el Plan de Chicago de los años treinta, que proponía separar la creación del dinero del crédito exigiendo a los bancos reservas del 100 % para los depósitos</w:t>
      </w:r>
      <w:r>
        <w:t xml:space="preserve"> (Beneš y Kumhof, «The Chicago Plan Revisited» (El Plan de Chicago revisado), documento de trabajo del FMI 12/202)</w:t>
      </w:r>
      <w:r>
        <w:t xml:space="preserve">. El propio FMI advierte que sus opiniones son las de los autores y no necesariamente las del Fondo. No es una política adoptada: es la prueba de que la pregunta se hace en el centro del sistema. </w:t>
      </w:r>
      <w:r>
        <w:t>[24.00-3.1 y 3.2]</w:t>
      </w:r>
    </w:p>
    <w:p>
      <w:r>
        <w:rPr>
          <w:b/>
        </w:rPr>
        <w:t>La otra escala: el banco central.</w:t>
      </w:r>
      <w:r>
        <w:t xml:space="preserve"> El balance del Eurosistema pasó de 2,78 billones de euros a final de 2015 a 8,84 billones el 24 de junio de 2022, el máximo de su serie</w:t>
      </w:r>
      <w:r>
        <w:t xml:space="preserve"> (Banco Central Europeo, estado financiero consolidado y serie del activo total)</w:t>
      </w:r>
      <w:r>
        <w:t>. Solo el programa de compra de activos tenía 3,12 billones en títulos a final de 2021, y el de emergencia por la pandemia sumó compras netas de 1,72 billones hasta marzo de 2022</w:t>
      </w:r>
      <w:r>
        <w:t xml:space="preserve"> (BCE, historial del APP y del PEPP)</w:t>
      </w:r>
      <w:r>
        <w:t>. La Reserva Federal pasó de unos 0,9 billones de dólares en 2007 a 8,97 billones el 13 de abril de 2022</w:t>
      </w:r>
      <w:r>
        <w:t xml:space="preserve"> (Reserva Federal, activo total, serie WALCL)</w:t>
      </w:r>
      <w:r>
        <w:t>. El Tratado prohíbe al banco central «la adquisición directa» de deuda a los Estados</w:t>
      </w:r>
      <w:r>
        <w:t xml:space="preserve"> (Tratado de Funcionamiento de la UE, art. 123.1)</w:t>
      </w:r>
      <w:r>
        <w:t>; el Tribunal de Justicia declaró que sí le autoriza a comprarla «en los mercados secundarios»</w:t>
      </w:r>
      <w:r>
        <w:t xml:space="preserve"> (sentencia Gauweiler, C-62/14, 16-6-2015)</w:t>
      </w:r>
      <w:r>
        <w:br/>
      </w:r>
      <w:r>
        <w:rPr>
          <w:b/>
        </w:rPr>
        <w:t>pasaje guardado</w:t>
      </w:r>
      <w:r>
        <w:br/>
      </w:r>
      <w:r>
        <w:rPr>
          <w:b/>
        </w:rPr>
        <w:t>Archivo leído:</w:t>
      </w:r>
      <w:r>
        <w:t xml:space="preserve"> airef_informe_presupuestos_iniciales_2025.pdf (c5b\airef_informe_presupuestos_iniciales_2025.pdf) · contraste del archivo de pasajes: ✔</w:t>
      </w:r>
      <w:r>
        <w:br/>
      </w:r>
      <w:r>
        <w:rPr>
          <w:b/>
        </w:rPr>
        <w:t>Lugar:</w:t>
      </w:r>
      <w:r>
        <w:t xml:space="preserve"> sentencia Gauweiler, C-62/14, 16-6-2015</w:t>
      </w:r>
      <w:r>
        <w:br/>
      </w:r>
      <w:r>
        <w:rPr>
          <w:b/>
        </w:rPr>
        <w:t>Tal como está en la fuente:</w:t>
      </w:r>
      <w:r>
        <w:t xml:space="preserve"> en los mercados secundarios</w:t>
      </w:r>
      <w:r>
        <w:t xml:space="preserve">. </w:t>
      </w:r>
      <w:r>
        <w:t>[20.00-3.1 y 3.4; cifras corregidas con las series del BCE]</w:t>
      </w:r>
    </w:p>
    <w:p>
      <w:r>
        <w:rPr>
          <w:b/>
        </w:rPr>
        <w:t>La deuda mundial.</w:t>
      </w:r>
      <w:r>
        <w:t xml:space="preserve"> A 31 de marzo de 2026, la deuda mundial marcó un récord de casi 353 billones de dólares, y la proporción sobre el PIB mundial «se mantuvo estable en el 305 %»</w:t>
      </w:r>
      <w:r>
        <w:t xml:space="preserve"> [original: «global debt/GDP ratio remained stable at 305%»]</w:t>
      </w:r>
      <w:r>
        <w:t xml:space="preserve"> (Institute of International Finance, Global Debt Monitor, resumen público de 6-5-2026)</w:t>
      </w:r>
      <w:r>
        <w:br/>
      </w:r>
      <w:r>
        <w:rPr>
          <w:b/>
        </w:rPr>
        <w:t>leída en su fuente · Institute of International Finance, Global Debt Monitor, resumen público de 6-5-2026</w:t>
      </w:r>
      <w:r>
        <w:br/>
      </w:r>
      <w:r>
        <w:rPr>
          <w:b/>
        </w:rPr>
        <w:t>Archivo leído:</w:t>
      </w:r>
      <w:r>
        <w:t xml:space="preserve"> 8.1_08_IIF_listado_publicaciones_Debt.html (c8a\8.1_08_IIF_listado_publicaciones_Debt.html) · contraste del archivo de pasajes: ✔</w:t>
      </w:r>
      <w:r>
        <w:br/>
      </w:r>
      <w:r>
        <w:rPr>
          <w:b/>
        </w:rPr>
        <w:t>Lugar:</w:t>
      </w:r>
      <w:r>
        <w:t xml:space="preserve"> Institute of International Finance, Global Debt Monitor, resumen público de 6-5-2026</w:t>
      </w:r>
      <w:r>
        <w:br/>
      </w:r>
      <w:r>
        <w:rPr>
          <w:b/>
        </w:rPr>
        <w:t>Tal como está en la fuente:</w:t>
      </w:r>
      <w:r>
        <w:t xml:space="preserve"> global debt/GDP ratio remained stable at 305%</w:t>
      </w:r>
      <w:r>
        <w:t>. El Banco Mundial describe cuatro olas de deuda desde 1970; en su gráfico, «la deuda mundial tiende a subir desde 1970 y alcanzó cerca del 230 % del PIB en 2018»</w:t>
      </w:r>
      <w:r>
        <w:t xml:space="preserve"> [original: «Global debt has trended up since 1970, reaching about 230 percent of GDP in 2018.»]</w:t>
      </w:r>
      <w:r>
        <w:t xml:space="preserve"> (Banco Mundial, Global Waves of Debt, 2021, cap. 1)</w:t>
      </w:r>
      <w:r>
        <w:br/>
      </w:r>
      <w:r>
        <w:rPr>
          <w:b/>
        </w:rPr>
        <w:t>leída en su fuente · Banco Mundial, Global Waves of Debt, 2021, cap. 1</w:t>
      </w:r>
      <w:r>
        <w:br/>
      </w:r>
      <w:r>
        <w:rPr>
          <w:b/>
        </w:rPr>
        <w:t>Archivo leído:</w:t>
      </w:r>
      <w:r>
        <w:t xml:space="preserve"> 8.1_07_WorldBank_Global_Waves_of_Debt_libro.pdf (c8a\8.1_07_WorldBank_Global_Waves_of_Debt_libro.pdf) · contraste del archivo de pasajes: ✔</w:t>
      </w:r>
      <w:r>
        <w:br/>
      </w:r>
      <w:r>
        <w:rPr>
          <w:b/>
        </w:rPr>
        <w:t>Lugar:</w:t>
      </w:r>
      <w:r>
        <w:t xml:space="preserve"> Banco Mundial, Global Waves of Debt, 2021, cap. 1</w:t>
      </w:r>
      <w:r>
        <w:br/>
      </w:r>
      <w:r>
        <w:rPr>
          <w:b/>
        </w:rPr>
        <w:t>Tal como está en la fuente:</w:t>
      </w:r>
      <w:r>
        <w:t xml:space="preserve"> Global debt has trended up since 1970, reaching about 230 percent of GDP in 2018.</w:t>
      </w:r>
      <w:r>
        <w:t xml:space="preserve">. </w:t>
      </w:r>
      <w:r>
        <w:t>[24.00-4.1 y 4.2]</w:t>
      </w:r>
    </w:p>
    <w:p>
      <w:r>
        <w:rPr>
          <w:b/>
        </w:rPr>
        <w:t>El dólar.</w:t>
      </w:r>
      <w:r>
        <w:t xml:space="preserve"> Con los precios de agosto de 2026, un dólar compra algo más del 12 % de lo que compraba de media en 1971 (cálculo de la obra con el índice de precios de la Oficina de Estadísticas Laborales de Estados Unidos). </w:t>
      </w:r>
      <w:r>
        <w:t>[24.00-4.1]</w:t>
      </w:r>
    </w:p>
    <w:p>
      <w:r>
        <w:rPr>
          <w:b/>
        </w:rPr>
        <w:t>El otro lado.</w:t>
      </w:r>
      <w:r>
        <w:t xml:space="preserve"> La mejor evidencia histórica no culpa a la moneda sin respaldo de la Gran Depresión, sino a la rigidez del oro. Un gobernador de la Reserva Federal lo resumió en 2004: la conclusión de que «el momento en que un país abandonó el patrón oro es el factor determinante de la gravedad de su depresión y del momento de su recuperación se ha comprobado en literalmente docenas de países»</w:t>
      </w:r>
      <w:r>
        <w:t xml:space="preserve"> [original: «the time at which a country left the gold standard is the key determinant of the severity of its depression and the timing of its recovery has been shown to hold for literally dozens of countries»]</w:t>
      </w:r>
      <w:r>
        <w:t xml:space="preserve"> (Bernanke, «Money, Gold, and the Great Depression» (Dinero, oro y la Gran Depresión), 2-3-2004)</w:t>
      </w:r>
      <w:r>
        <w:br/>
      </w:r>
      <w:r>
        <w:rPr>
          <w:b/>
        </w:rPr>
        <w:t>leída en su fuente · Bernanke, «Money, Gold, and the Great Depression» (Dinero, oro y la Gran Depresión), 2-3-2</w:t>
      </w:r>
      <w:r>
        <w:br/>
      </w:r>
      <w:r>
        <w:rPr>
          <w:b/>
        </w:rPr>
        <w:t>Archivo leído:</w:t>
      </w:r>
      <w:r>
        <w:t xml:space="preserve"> 8.1_05_Bernanke_2004-03-02_Money_Gold_Great_Depression.html (c8a\8.1_05_Bernanke_2004-03-02_Money_Gold_Great_Depression.html) · contraste del archivo de pasajes: ✔</w:t>
      </w:r>
      <w:r>
        <w:br/>
      </w:r>
      <w:r>
        <w:rPr>
          <w:b/>
        </w:rPr>
        <w:t>Lugar:</w:t>
      </w:r>
      <w:r>
        <w:t xml:space="preserve"> Bernanke, «Money, Gold, and the Great Depression» (Dinero, oro y la Gran Depresión), 2-3-2004</w:t>
      </w:r>
      <w:r>
        <w:br/>
      </w:r>
      <w:r>
        <w:rPr>
          <w:b/>
        </w:rPr>
        <w:t>Tal como está en la fuente:</w:t>
      </w:r>
      <w:r>
        <w:t xml:space="preserve"> the time at which a country left the gold standard is the key determinant of the severity of its depression and the timing of its recovery has been shown to hold for literally dozens of countries</w:t>
      </w:r>
      <w:r>
        <w:t>. Y la versión simple, «un banco privado controla la moneda», no resiste la fuente: «El Sistema de la Reserva Federal no es "propiedad" de nadie»</w:t>
      </w:r>
      <w:r>
        <w:t xml:space="preserve"> [original: «The Federal Reserve System is not "owned" by anyone.»]</w:t>
      </w:r>
      <w:r>
        <w:t>; los bancos miembros tienen por ley acciones de su Banco de Reserva, pero los Bancos de Reserva no buscan beneficio y deben transferir sus ganancias netas al Tesoro</w:t>
      </w:r>
      <w:r>
        <w:t xml:space="preserve"> (Reserva Federal, «Who owns the Federal Reserve?»)</w:t>
      </w:r>
      <w:r>
        <w:t xml:space="preserve">. Es una estructura mixta, no una propiedad privada sin más. </w:t>
      </w:r>
      <w:r>
        <w:t>[24.00-5.1 a 6.2]</w:t>
      </w:r>
    </w:p>
    <w:p>
      <w:r>
        <w:rPr>
          <w:b/>
        </w:rPr>
        <w:t>España: la deuda, primero.</w:t>
      </w:r>
      <w:r>
        <w:t xml:space="preserve"> El pago de la deuda «gozará de prioridad absoluta» (</w:t>
      </w:r>
      <w:r>
        <w:t>5.1</w:t>
      </w:r>
      <w:r>
        <w:t xml:space="preserve">, n.º 8; </w:t>
      </w:r>
      <w:r>
        <w:t>7.2</w:t>
      </w:r>
      <w:r>
        <w:t>, n.º 4). La reforma se aprobó en el Congreso, por lectura única, el 2 de septiembre de 2011, con 321 votos emitidos, 316 a favor y 5 en contra</w:t>
      </w:r>
      <w:r>
        <w:t xml:space="preserve"> (Diario de Sesiones del Congreso, Pleno, n.º 270)</w:t>
      </w:r>
      <w:r>
        <w:t>; en el Senado, el 7 de septiembre, con 236 emitidos, 233 a favor y 3 en contra</w:t>
      </w:r>
      <w:r>
        <w:t xml:space="preserve"> (Diario de Sesiones del Senado, Pleno, n.º 130)</w:t>
      </w:r>
      <w:r>
        <w:t>. No hubo referéndum: la Constitución solo lo exige si lo piden, en quince días, «una décima parte de los miembros de cualquiera de las Cámaras»</w:t>
      </w:r>
      <w:r>
        <w:t xml:space="preserve"> (Constitución, art. 167.3)</w:t>
      </w:r>
      <w:r>
        <w:br/>
      </w:r>
      <w:r>
        <w:rPr>
          <w:b/>
        </w:rPr>
        <w:t>leída en su fuente · Constitución, art. 167.3</w:t>
      </w:r>
      <w:r>
        <w:br/>
      </w:r>
      <w:r>
        <w:rPr>
          <w:b/>
        </w:rPr>
        <w:t>Archivo leído:</w:t>
      </w:r>
      <w:r>
        <w:t xml:space="preserve"> c6 (ant\c1\ce.html) · contraste del archivo de pasajes: ✔</w:t>
      </w:r>
      <w:r>
        <w:br/>
      </w:r>
      <w:r>
        <w:rPr>
          <w:b/>
        </w:rPr>
        <w:t>Lugar:</w:t>
      </w:r>
      <w:r>
        <w:t xml:space="preserve"> Art. 167.3: referéndum</w:t>
      </w:r>
      <w:r>
        <w:br/>
      </w:r>
      <w:r>
        <w:rPr>
          <w:b/>
        </w:rPr>
        <w:t>Tal como está en la fuente:</w:t>
      </w:r>
      <w:r>
        <w:t xml:space="preserve"> cuando así lo soliciten, dentro de los quince días siguientes a su aprobación, una décima parte de los miembros de cualquiera de las Cámaras</w:t>
      </w:r>
      <w:r>
        <w:t xml:space="preserve">, y no se pidió. </w:t>
      </w:r>
      <w:r>
        <w:t>[24.00-7.1 y 7.2]</w:t>
      </w:r>
    </w:p>
    <w:p>
      <w:r>
        <w:rPr>
          <w:b/>
        </w:rPr>
        <w:t>El límite de las palabras.</w:t>
      </w:r>
      <w:r>
        <w:t xml:space="preserve"> La obra se niega a llamar a esto crimen de lesa humanidad, y con razón: el Estatuto de Roma lo reserva para actos como el asesinato, el exterminio o la deportación, «cuando se cometa como parte de un ataque generalizado o sistemático contra una población civil»</w:t>
      </w:r>
      <w:r>
        <w:t xml:space="preserve"> (Estatuto de Roma, art. 7.1, BOE de 27-5-2002)</w:t>
      </w:r>
      <w:r>
        <w:br/>
      </w:r>
      <w:r>
        <w:rPr>
          <w:b/>
        </w:rPr>
        <w:t>leída en su fuente · Estatuto de Roma, art. 7.1, BOE de 27-5-2002</w:t>
      </w:r>
      <w:r>
        <w:br/>
      </w:r>
      <w:r>
        <w:rPr>
          <w:b/>
        </w:rPr>
        <w:t>Archivo leído:</w:t>
      </w:r>
      <w:r>
        <w:t xml:space="preserve"> 8.1_13_Estatuto_de_Roma_BOE-A-2002-10139.html (c8a\8.1_13_Estatuto_de_Roma_BOE-A-2002-10139.html) · contraste del archivo de pasajes: ✔</w:t>
      </w:r>
      <w:r>
        <w:br/>
      </w:r>
      <w:r>
        <w:rPr>
          <w:b/>
        </w:rPr>
        <w:t>Lugar:</w:t>
      </w:r>
      <w:r>
        <w:t xml:space="preserve"> Estatuto de Roma, art. 7.1, BOE de 27-5-2002</w:t>
      </w:r>
      <w:r>
        <w:br/>
      </w:r>
      <w:r>
        <w:rPr>
          <w:b/>
        </w:rPr>
        <w:t>Tal como está en la fuente:</w:t>
      </w:r>
      <w:r>
        <w:t xml:space="preserve"> cuando se cometa como parte de un ataque generalizado o sistemático contra una población civil</w:t>
      </w:r>
      <w:r>
        <w:t xml:space="preserve">. Prefiere llamarlo extracción estructural regresiva. </w:t>
      </w:r>
      <w:r>
        <w:t>[20.00-3.1]</w:t>
      </w:r>
    </w:p>
    <w:p>
      <w:r>
        <w:rPr>
          <w:b/>
        </w:rPr>
        <w:t>Conclusión, lo que arrojan los datos:</w:t>
      </w:r>
      <w:r>
        <w:t xml:space="preserve"> el sistema monetario actual nació de una decisión fechada en 1971; el dinero se crea sobre todo como deuda, lo reconocen el regulador y la investigación independiente; la deuda mundial está en máximos; y España ha dado al pago de su deuda prioridad constitucional. Lo que no demuestra ninguna fuente citada: que exista una estrategia mundial coordinada para mantener a la población endeudada. La obra lo califica como «patrón documentado, sin intención probada», y esa calificación solo subiría con una fuente que muestre declaración o coordinación. </w:t>
      </w:r>
      <w:r>
        <w:t>[24.00-8.1 y 10.1 a 11.6]</w:t>
      </w:r>
    </w:p>
    <w:p>
      <w:r>
        <w:rPr>
          <w:b/>
        </w:rPr>
        <w:t>Lectura del autor:</w:t>
      </w:r>
      <w:r>
        <w:t xml:space="preserve"> la hipótesis de la que parte este apartado es que el dinero sin respaldo es la pieza central de una estrategia para mantener a la población en una deuda sin final. La obra la deja donde la ponen los datos: abierta. Pero no hace falta probar una intención para ver el efecto: quién crea el dinero, quién gana cuando pierde valor y qué pago va por delante de todos los demás están escritos. </w:t>
      </w:r>
      <w:r>
        <w:t>[24.00-0.1 y 9.11]</w:t>
      </w:r>
    </w:p>
    <w:p>
      <w:pPr>
        <w:pStyle w:val="Heading2"/>
      </w:pPr>
      <w:r>
        <w:t>8.2 Setecientos años de advertencias</w:t>
      </w:r>
    </w:p>
    <w:p>
      <w:pPr>
        <w:pBdr>
          <w:left w:val="single" w:sz="24" w:space="6" w:color="E2DED6"/>
        </w:pBdr>
        <w:shd w:val="clear" w:color="auto" w:fill="F1EEE8"/>
        <w:spacing w:before="80" w:after="160"/>
        <w:ind w:left="142" w:right="142"/>
      </w:pPr>
      <w:r>
        <w:rPr>
          <w:b/>
        </w:rPr>
        <w:t>La idea: desde la Edad Media, autores sin contacto documentado entre sí, varios de ellos dentro del propio poder, advirtieron lo mismo: alterar el valor de la moneda es una forma de quitar al pueblo sin pedirle permiso.</w:t>
      </w:r>
    </w:p>
    <w:p>
      <w:pPr>
        <w:spacing w:after="60"/>
        <w:ind w:left="510" w:hanging="397"/>
      </w:pPr>
      <w:r>
        <w:rPr>
          <w:b w:val="0"/>
        </w:rPr>
        <w:t xml:space="preserve">1. </w:t>
      </w:r>
      <w:r>
        <w:rPr>
          <w:b/>
        </w:rPr>
        <w:t>Oresme, hacia 1355.</w:t>
      </w:r>
      <w:r>
        <w:t xml:space="preserve"> Maestro del Colegio de Navarra de París y, antes de 1370, capellán del rey Carlos V de Francia, escribió contra las alteraciones de la moneda de los reyes de su tiempo: «cuanto lucro saca de ello el príncipe, otro tanto daño ha de sufrir necesariamente la comunidad»</w:t>
      </w:r>
      <w:r>
        <w:t xml:space="preserve"> [original: «quantum ibi princeps capit de lucro, tantum necesse est ipsam communitatem habere de dampno»]</w:t>
      </w:r>
      <w:r>
        <w:t>. Y si el príncipe dijera que destina ese lucro al bien público, «no se le ha de creer, porque con la misma razón podría quitarme la túnica y decir que la necesita para el bien común»</w:t>
      </w:r>
      <w:r>
        <w:t xml:space="preserve"> [original: «non est credendum sibi, quia pari racione posset michi tunicam amouere et dicere quod ipse indiget ea pro communi commodo»]</w:t>
      </w:r>
      <w:r>
        <w:t xml:space="preserve"> (Oresme, De moneta, cap. XV, edición de Johnson, 1956)</w:t>
      </w:r>
      <w:r>
        <w:br/>
      </w:r>
      <w:r>
        <w:rPr>
          <w:b/>
        </w:rPr>
        <w:t>leída en su fuente · Oresme, De moneta, cap. XV, edición de Johnson, 1956</w:t>
      </w:r>
      <w:r>
        <w:br/>
      </w:r>
      <w:r>
        <w:rPr>
          <w:b/>
        </w:rPr>
        <w:t>Archivo leído:</w:t>
      </w:r>
      <w:r>
        <w:t xml:space="preserve"> 8.2_15_Oresme_De_moneta_latin-ingles_Johnson_1956_Mises.pdf (c8a\8.2_15_Oresme_De_moneta_latin-ingles_Johnson_1956_Mises.pdf) · contraste del archivo de pasajes: ✔</w:t>
      </w:r>
      <w:r>
        <w:br/>
      </w:r>
      <w:r>
        <w:rPr>
          <w:b/>
        </w:rPr>
        <w:t>Lugar:</w:t>
      </w:r>
      <w:r>
        <w:t xml:space="preserve"> Oresme, De moneta, cap. XV, edición de Johnson, 1956</w:t>
      </w:r>
      <w:r>
        <w:br/>
      </w:r>
      <w:r>
        <w:rPr>
          <w:b/>
        </w:rPr>
        <w:t>Tal como está en la fuente:</w:t>
      </w:r>
      <w:r>
        <w:t xml:space="preserve"> non est credendum sibi, quia pari racione posset michi tunicam amouere et dicere quod ipse indiget ea pro communi commodo</w:t>
      </w:r>
      <w:r>
        <w:t xml:space="preserve">. </w:t>
      </w:r>
      <w:r>
        <w:t>[25.00-1.1 a 1.3; Oresme leído en latín]</w:t>
      </w:r>
    </w:p>
    <w:p>
      <w:pPr>
        <w:spacing w:after="60"/>
        <w:ind w:left="510" w:hanging="397"/>
      </w:pPr>
      <w:r>
        <w:rPr>
          <w:b w:val="0"/>
        </w:rPr>
        <w:t xml:space="preserve">2. </w:t>
      </w:r>
      <w:r>
        <w:rPr>
          <w:b/>
        </w:rPr>
        <w:t>Copérnico, 1517-1526.</w:t>
      </w:r>
      <w:r>
        <w:t xml:space="preserve"> Entre las plagas que debilitan los reinos, cuatro son las principales: «la discordia, la mortandad, la esterilidad de la tierra y la depreciación de la moneda»</w:t>
      </w:r>
      <w:r>
        <w:t xml:space="preserve"> [original: «discordia, mortalitas, terre sterilitas et [m]onete vilitas»]</w:t>
      </w:r>
      <w:r>
        <w:t>. Y de la moneda nueva y peor dijo que «no solo contaminó a la antigua, sino que, por así decir, la expulsó»</w:t>
      </w:r>
      <w:r>
        <w:t xml:space="preserve"> [original: «que non solum infecit antiquam, sed, vt ita dicam, expugnauit»]</w:t>
      </w:r>
      <w:r>
        <w:t xml:space="preserve"> (Copérnico, Monete cudende ratio, antes de abril de 1526, transcripción de la Universidad de Toruń)</w:t>
      </w:r>
      <w:r>
        <w:br/>
      </w:r>
      <w:r>
        <w:rPr>
          <w:b/>
        </w:rPr>
        <w:t>leída en su fuente · Copérnico, Monete cudende ratio, antes de abril de 1526, transcripción de la Universidad d</w:t>
      </w:r>
      <w:r>
        <w:br/>
      </w:r>
      <w:r>
        <w:rPr>
          <w:b/>
        </w:rPr>
        <w:t>Archivo leído:</w:t>
      </w:r>
      <w:r>
        <w:t xml:space="preserve"> 8.2_16_Copernico_Monete_cudende_ratio_NCT_Torun_ficha.html (c8a\8.2_16_Copernico_Monete_cudende_ratio_NCT_Torun_ficha.html) · contraste del archivo de pasajes: ✔</w:t>
      </w:r>
      <w:r>
        <w:br/>
      </w:r>
      <w:r>
        <w:rPr>
          <w:b/>
        </w:rPr>
        <w:t>Lugar:</w:t>
      </w:r>
      <w:r>
        <w:t xml:space="preserve"> Copérnico, Monete cudende ratio, antes de abril de 1526, transcripción de la Universidad de Toruń</w:t>
      </w:r>
      <w:r>
        <w:br/>
      </w:r>
      <w:r>
        <w:rPr>
          <w:b/>
        </w:rPr>
        <w:t>Tal como está en la fuente:</w:t>
      </w:r>
      <w:r>
        <w:t xml:space="preserve"> que non solum infecit antiquam, sed, vt ita dicam, expugnauit</w:t>
      </w:r>
      <w:r>
        <w:t xml:space="preserve">. Leyó una versión alemana del tratado ante la Dieta de la Prusia Real, en Grudziądz, el 21 de marzo de 1522. Es la idea que después se llamó ley de Gresham. </w:t>
      </w:r>
      <w:r>
        <w:t>[25.00-2.1 a 2.3; Copérnico leído en latín]</w:t>
      </w:r>
    </w:p>
    <w:p>
      <w:pPr>
        <w:spacing w:after="60"/>
        <w:ind w:left="510" w:hanging="397"/>
      </w:pPr>
      <w:r>
        <w:rPr>
          <w:b w:val="0"/>
        </w:rPr>
        <w:t xml:space="preserve">3. </w:t>
      </w:r>
      <w:r>
        <w:rPr>
          <w:b/>
        </w:rPr>
        <w:t>Azpilcueta, 1556.</w:t>
      </w:r>
      <w:r>
        <w:t xml:space="preserve"> En Salamanca explicó que «en las tierras do ay gran falta de dinero, todas las otras cosas vendibles, y aun las manos y trabajos de los hombres se dan por menos dinero, que do ay abundancia del», y que en España, desde «que las Indias descubiertas la cubrieron de oro y plata», todo se vendía más caro, porque «el dinero vale mas donde, y quando ay falta del, que donde, y quando ay abundancia»</w:t>
      </w:r>
      <w:r>
        <w:t xml:space="preserve"> (Azpilcueta, Comentario resolutorio de cambios, 1556; también en la edición de 1568)</w:t>
      </w:r>
      <w:r>
        <w:br/>
      </w:r>
      <w:r>
        <w:rPr>
          <w:b/>
        </w:rPr>
        <w:t>pasaje guardado · Azpilcueta, Comentario resolutorio de cambios, 1556; también en la edición de 1568</w:t>
      </w:r>
      <w:r>
        <w:br/>
      </w:r>
      <w:r>
        <w:rPr>
          <w:b/>
        </w:rPr>
        <w:t>Archivo leído:</w:t>
      </w:r>
      <w:r>
        <w:t xml:space="preserve"> 07.00-15.1_Azpilcueta_Comentario_resolutorio_usuras_1568.pdf.txt (flecos\txt\07.00-15.1_Azpilcueta_Comentario_resolutorio_usuras_1568.pdf.txt) · contraste del archivo de pasajes: parcial</w:t>
      </w:r>
      <w:r>
        <w:br/>
      </w:r>
      <w:r>
        <w:rPr>
          <w:b/>
        </w:rPr>
        <w:t>Lugar:</w:t>
      </w:r>
      <w:r>
        <w:t xml:space="preserve"> Azpilcueta, Comentario resolutorio de cambios, 1556; también en la edición de 1568</w:t>
      </w:r>
      <w:r>
        <w:br/>
      </w:r>
      <w:r>
        <w:rPr>
          <w:b/>
        </w:rPr>
        <w:t>Tal como está en la fuente:</w:t>
      </w:r>
      <w:r>
        <w:t xml:space="preserve"> el dinero vale mas donde, y quando ay falta del, que donde, y quando ay abundancia</w:t>
      </w:r>
      <w:r>
        <w:t xml:space="preserve">. Es una de las primeras formulaciones de la relación entre la cantidad de dinero y los precios. </w:t>
      </w:r>
      <w:r>
        <w:t>[25.00-3.1 a 3.3; leído en la edición castellana]</w:t>
      </w:r>
    </w:p>
    <w:p>
      <w:pPr>
        <w:spacing w:after="60"/>
        <w:ind w:left="510" w:hanging="397"/>
      </w:pPr>
      <w:r>
        <w:rPr>
          <w:b w:val="0"/>
        </w:rPr>
        <w:t xml:space="preserve">4. </w:t>
      </w:r>
      <w:r>
        <w:rPr>
          <w:b/>
        </w:rPr>
        <w:t>Mariana, 1609.</w:t>
      </w:r>
      <w:r>
        <w:t xml:space="preserve"> Escribió contra la Corona, que rebajaba la moneda de vellón para aumentar sus ingresos. Su capítulo III lleva por título: «El rey no puede bajar la moneda de peso ó de ley sin la voluntad del pueblo». Y en él llama a esas prácticas «maneras disfrazadas de ponerles gravezas y tributos y desangrarlos y aprovecharse de sus haciendas». Al cerrar el tratado, resume su juicio sobre «este arbitrio nuevo de la moneda de vellon»: que si se hace sin acuerdo del reino «es ilícito y malo», y si con él, «lo tengo por errado y en muchas maneras perjudicial»</w:t>
      </w:r>
      <w:r>
        <w:t xml:space="preserve"> (Mariana, Tratado y discurso sobre la moneda de vellón, 1609, caps. III y XIII, en Biblioteca de Autores Españoles, t. 31, 1854, pp. 579, 580 y 593)</w:t>
      </w:r>
      <w:r>
        <w:br/>
      </w:r>
      <w:r>
        <w:rPr>
          <w:b/>
        </w:rPr>
        <w:t>leída en su fuente · Mariana, Tratado y discurso sobre la moneda de vellón, 1609, caps. III y XIII, en Bibliote</w:t>
      </w:r>
      <w:r>
        <w:br/>
      </w:r>
      <w:r>
        <w:rPr>
          <w:b/>
        </w:rPr>
        <w:t>Archivo leído:</w:t>
      </w:r>
      <w:r>
        <w:t xml:space="preserve"> Mariana_Moneda_de_vellon_BAE31_pp577-593_OCR_IA.txt (c8f\mariana\Mariana_Moneda_de_vellon_BAE31_pp577-593_OCR_IA.txt) · contraste del archivo de pasajes: ✔</w:t>
      </w:r>
      <w:r>
        <w:br/>
      </w:r>
      <w:r>
        <w:rPr>
          <w:b/>
        </w:rPr>
        <w:t>Lugar:</w:t>
      </w:r>
      <w:r>
        <w:t xml:space="preserve"> Mariana, Tratado y discurso sobre la moneda de vellón, 1609, caps. III y XIII, en Biblioteca de Autores Españoles, t. 31, 1854, pp. 579, 580 y 593</w:t>
      </w:r>
      <w:r>
        <w:br/>
      </w:r>
      <w:r>
        <w:rPr>
          <w:b/>
        </w:rPr>
        <w:t>Tal como está en la fuente:</w:t>
      </w:r>
      <w:r>
        <w:t xml:space="preserve"> lo tengo por errado y en muchas maneras perjudicial</w:t>
      </w:r>
      <w:r>
        <w:t xml:space="preserve">. </w:t>
      </w:r>
      <w:r>
        <w:t>[25.00-4.1 a 4.3; leído en las páginas escaneadas]</w:t>
      </w:r>
    </w:p>
    <w:p>
      <w:pPr>
        <w:spacing w:after="60"/>
        <w:ind w:left="510" w:hanging="397"/>
      </w:pPr>
      <w:r>
        <w:rPr>
          <w:b w:val="0"/>
        </w:rPr>
        <w:t xml:space="preserve">5. </w:t>
      </w:r>
      <w:r>
        <w:rPr>
          <w:b/>
        </w:rPr>
        <w:t>Locke, 1695.</w:t>
      </w:r>
      <w:r>
        <w:t xml:space="preserve"> Escribió contra los argumentos de un informe reciente que defendía subir el valor de la moneda: «Hace mucho tiempo que preveo el daño y la ruina que nos venían encima por la moneda recortada, si no se detenía a tiempo»</w:t>
      </w:r>
      <w:r>
        <w:t xml:space="preserve"> [original: «I have a long time foreseen the Mischief and Ruine coming upon us by clipp'd Money, if it were not timely stopp'd»]</w:t>
      </w:r>
      <w:r>
        <w:t xml:space="preserve"> (Locke, Further Considerations Concerning Raising the Value of Money (Nuevas consideraciones sobre la subida del valor de la moneda), 1695, dedicatoria; transcripción de la Universidad de Oxford)</w:t>
      </w:r>
      <w:r>
        <w:br/>
      </w:r>
      <w:r>
        <w:rPr>
          <w:b/>
        </w:rPr>
        <w:t>leída en su fuente · Locke, Further Considerations Concerning Raising the Value of Money (Nuevas consideracione</w:t>
      </w:r>
      <w:r>
        <w:br/>
      </w:r>
      <w:r>
        <w:rPr>
          <w:b/>
        </w:rPr>
        <w:t>Archivo leído:</w:t>
      </w:r>
      <w:r>
        <w:t xml:space="preserve"> 8.2_17_Locke_1695_Further_Considerations_Avalon_Yale.html (c8a\8.2_17_Locke_1695_Further_Considerations_Avalon_Yale.html) · contraste del archivo de pasajes: ✔</w:t>
      </w:r>
      <w:r>
        <w:br/>
      </w:r>
      <w:r>
        <w:rPr>
          <w:b/>
        </w:rPr>
        <w:t>Lugar:</w:t>
      </w:r>
      <w:r>
        <w:t xml:space="preserve"> Locke, Further Considerations Concerning Raising the Value of Money (Nuevas consideraciones sobre la subida del valor de la moneda), 1695, dedicatoria; transcripción de la Universidad de Oxford</w:t>
      </w:r>
      <w:r>
        <w:br/>
      </w:r>
      <w:r>
        <w:rPr>
          <w:b/>
        </w:rPr>
        <w:t>Tal como está en la fuente:</w:t>
      </w:r>
      <w:r>
        <w:t xml:space="preserve"> I have a long time foreseen the Mischief and Ruine coming upon us by clipp'd Money, if it were not timely stopp'd</w:t>
      </w:r>
      <w:r>
        <w:t xml:space="preserve">. </w:t>
      </w:r>
      <w:r>
        <w:t>[25.00-5.1 a 5.3]</w:t>
      </w:r>
    </w:p>
    <w:p>
      <w:pPr>
        <w:spacing w:after="60"/>
        <w:ind w:left="510" w:hanging="397"/>
      </w:pPr>
      <w:r>
        <w:rPr>
          <w:b w:val="0"/>
        </w:rPr>
        <w:t xml:space="preserve">6. </w:t>
      </w:r>
      <w:r>
        <w:rPr>
          <w:b/>
        </w:rPr>
        <w:t>Keynes, 1919.</w:t>
      </w:r>
      <w:r>
        <w:t xml:space="preserve"> «Con un proceso continuo de inflación, los Gobiernos pueden confiscar, en secreto y sin que nadie lo note, una parte importante de la riqueza de sus ciudadanos»</w:t>
      </w:r>
      <w:r>
        <w:t xml:space="preserve"> [original: «By a continuing process of inflation, governments can confiscate, secretly and unobserved, an important part of the wealth of their citizens.»]</w:t>
      </w:r>
      <w:r>
        <w:t>. Y: «No hay medio más sutil ni más seguro de trastocar las bases de la sociedad que envilecer la moneda»</w:t>
      </w:r>
      <w:r>
        <w:t xml:space="preserve"> [original: «There is no subtler, no surer means of overturning the existing basis of society than to debauch the currency.»]</w:t>
      </w:r>
      <w:r>
        <w:t xml:space="preserve"> (Keynes, The Economic Consequences of the Peace (Las consecuencias económicas de la paz), 1919, cap. VI)</w:t>
      </w:r>
      <w:r>
        <w:br/>
      </w:r>
      <w:r>
        <w:rPr>
          <w:b/>
        </w:rPr>
        <w:t>leída en su fuente · Keynes, The Economic Consequences of the Peace (Las consecuencias económicas de la paz), 1</w:t>
      </w:r>
      <w:r>
        <w:br/>
      </w:r>
      <w:r>
        <w:rPr>
          <w:b/>
        </w:rPr>
        <w:t>Archivo leído:</w:t>
      </w:r>
      <w:r>
        <w:t xml:space="preserve"> 8.2_20_Keynes_1919_Economic_Consequences_of_the_Peace_Gutenberg15776.txt (c8a\8.2_20_Keynes_1919_Economic_Consequences_of_the_Peace_Gutenberg15776.txt) · contraste del archivo de pasajes: ✔</w:t>
      </w:r>
      <w:r>
        <w:br/>
      </w:r>
      <w:r>
        <w:rPr>
          <w:b/>
        </w:rPr>
        <w:t>Lugar:</w:t>
      </w:r>
      <w:r>
        <w:t xml:space="preserve"> Keynes, The Economic Consequences of the Peace (Las consecuencias económicas de la paz), 1919, cap. VI</w:t>
      </w:r>
      <w:r>
        <w:br/>
      </w:r>
      <w:r>
        <w:rPr>
          <w:b/>
        </w:rPr>
        <w:t>Tal como está en la fuente:</w:t>
      </w:r>
      <w:r>
        <w:t xml:space="preserve"> There is no subtler, no surer means of overturning the existing basis of society than to debauch the currency.</w:t>
      </w:r>
      <w:r>
        <w:t>. Keynes atribuía la idea a Lenin con un «se dice que»; un estudio de 2009 rastreó su origen en una entrevista publicada por periódicos de Londres y de Nueva York en abril de 1919</w:t>
      </w:r>
      <w:r>
        <w:t xml:space="preserve"> (White y Schuler, Journal of Economic Perspectives, 2009, resumen)</w:t>
      </w:r>
      <w:r>
        <w:t xml:space="preserve">. </w:t>
      </w:r>
      <w:r>
        <w:t>[25.00-9.1 a 9.3]</w:t>
      </w:r>
    </w:p>
    <w:p>
      <w:pPr>
        <w:spacing w:after="60"/>
        <w:ind w:left="510" w:hanging="397"/>
      </w:pPr>
      <w:r>
        <w:rPr>
          <w:b w:val="0"/>
        </w:rPr>
        <w:t xml:space="preserve">7. </w:t>
      </w:r>
      <w:r>
        <w:rPr>
          <w:b/>
        </w:rPr>
        <w:t>Greenspan, 1966.</w:t>
      </w:r>
      <w:r>
        <w:t xml:space="preserve"> «El gasto con déficit es simplemente un plan para la confiscación "oculta" de la riqueza»</w:t>
      </w:r>
      <w:r>
        <w:t xml:space="preserve"> [original: «Deficit spending is simply a scheme for the "hidden" confiscation of wealth.»]</w:t>
      </w:r>
      <w:r>
        <w:t>; «En ausencia del patrón oro, no hay forma de proteger el ahorro de la confiscación por la inflación. No hay un depósito de valor seguro»</w:t>
      </w:r>
      <w:r>
        <w:t xml:space="preserve"> [original: «In the absence of the gold standard, there is no way to protect savings from confiscation through inflation. There is no safe store of value.»]</w:t>
      </w:r>
      <w:r>
        <w:t xml:space="preserve"> (Greenspan, «Gold and Economic Freedom» (El oro y la libertad económica), 1966, reproducido en el Congressional Record, 7-8-1974)</w:t>
      </w:r>
      <w:r>
        <w:br/>
      </w:r>
      <w:r>
        <w:rPr>
          <w:b/>
        </w:rPr>
        <w:t>pasaje guardado · Greenspan, «Gold and Economic Freedom» (El oro y la libertad económica), 1966, reproducido</w:t>
      </w:r>
      <w:r>
        <w:br/>
      </w:r>
      <w:r>
        <w:rPr>
          <w:b/>
        </w:rPr>
        <w:t>Archivo leído:</w:t>
      </w:r>
      <w:r>
        <w:t xml:space="preserve"> 8.2_18_Greenspan_Gold_Economic_Freedom_Congressional_Record_vol120_1974-08-07_Extensions.pdf (c8a\8.2_18_Greenspan_Gold_Economic_Freedom_Congressional_Record_vol120_1974-08-07_Extensions.pdf) · contraste del archivo de pasajes: ✔</w:t>
      </w:r>
      <w:r>
        <w:br/>
      </w:r>
      <w:r>
        <w:rPr>
          <w:b/>
        </w:rPr>
        <w:t>Lugar:</w:t>
      </w:r>
      <w:r>
        <w:t xml:space="preserve"> Greenspan, «Gold and Economic Freedom» (El oro y la libertad económica), 1966, reproducido en el Congressional Record, 7-8-1974</w:t>
      </w:r>
      <w:r>
        <w:br/>
      </w:r>
      <w:r>
        <w:rPr>
          <w:b/>
        </w:rPr>
        <w:t>Tal como está en la fuente:</w:t>
      </w:r>
      <w:r>
        <w:t xml:space="preserve"> In the absence of the gold standard, there is no way to protect savings from confiscation through inflation. There is no safe store of value.</w:t>
      </w:r>
      <w:r>
        <w:t>. Su autor presidió después la Reserva Federal</w:t>
      </w:r>
      <w:r>
        <w:t xml:space="preserve"> (fuente secundaria)</w:t>
      </w:r>
      <w:r>
        <w:t xml:space="preserve">. </w:t>
      </w:r>
      <w:r>
        <w:t>[25.00-6.1 a 6.3]</w:t>
      </w:r>
    </w:p>
    <w:p>
      <w:pPr>
        <w:spacing w:after="60"/>
        <w:ind w:left="510" w:hanging="397"/>
      </w:pPr>
      <w:r>
        <w:rPr>
          <w:b w:val="0"/>
        </w:rPr>
        <w:t xml:space="preserve">8. </w:t>
      </w:r>
      <w:r>
        <w:rPr>
          <w:b/>
        </w:rPr>
        <w:t>Weidmann, 2012.</w:t>
      </w:r>
      <w:r>
        <w:t xml:space="preserve"> El presidente del Bundesbank, el banco central alemán, recordó la escena del </w:t>
      </w:r>
      <w:r>
        <w:rPr>
          <w:i/>
        </w:rPr>
        <w:t>Fausto</w:t>
      </w:r>
      <w:r>
        <w:t xml:space="preserve"> de Goethe en la que se reparte papel moneda: «En la segunda parte del Fausto, el Estado puede al principio librarse de su deuda. […] Con el tiempo, sin embargo, toda esta actividad degenera en inflación, y destruye el sistema monetario porque el dinero pierde rápidamente su valor»</w:t>
      </w:r>
      <w:r>
        <w:t xml:space="preserve"> [original: «In the Second Part of Faust, the state can get rid of its debt to begin with. […] In due course, however, all this activity degenerates into inflation, destroying the monetary system because the money rapidly loses its value.»]</w:t>
      </w:r>
      <w:r>
        <w:t>. Y sobre la tentación de crear dinero a voluntad: «esa tentación existe sin duda, y muchos en la historia monetaria han sucumbido a ella»</w:t>
      </w:r>
      <w:r>
        <w:t xml:space="preserve"> [original: «this temptation certainly does exist, and many in monetary history have succumbed to it»]</w:t>
      </w:r>
      <w:r>
        <w:t xml:space="preserve"> (Weidmann, «Money creation and responsibility» (Creación de dinero y responsabilidad), Fráncfort, 18-9-2012, Banco de Pagos Internacionales)</w:t>
      </w:r>
      <w:r>
        <w:br/>
      </w:r>
      <w:r>
        <w:rPr>
          <w:b/>
        </w:rPr>
        <w:t>leída en su fuente · Weidmann, «Money creation and responsibility» (Creación de dinero y responsabilidad), Frán</w:t>
      </w:r>
      <w:r>
        <w:br/>
      </w:r>
      <w:r>
        <w:rPr>
          <w:b/>
        </w:rPr>
        <w:t>Archivo leído:</w:t>
      </w:r>
      <w:r>
        <w:t xml:space="preserve"> 8.2_19_Weidmann_2012-09-18_Money_creation_and_responsibility_BIS.pdf (c8a\8.2_19_Weidmann_2012-09-18_Money_creation_and_responsibility_BIS.pdf) · contraste del archivo de pasajes: ✔</w:t>
      </w:r>
      <w:r>
        <w:br/>
      </w:r>
      <w:r>
        <w:rPr>
          <w:b/>
        </w:rPr>
        <w:t>Lugar:</w:t>
      </w:r>
      <w:r>
        <w:t xml:space="preserve"> Weidmann, «Money creation and responsibility» (Creación de dinero y responsabilidad), Fráncfort, 18-9-2012, Banco de Pagos Internacionales</w:t>
      </w:r>
      <w:r>
        <w:br/>
      </w:r>
      <w:r>
        <w:rPr>
          <w:b/>
        </w:rPr>
        <w:t>Tal como está en la fuente:</w:t>
      </w:r>
      <w:r>
        <w:t xml:space="preserve"> this temptation certainly does exist, and many in monetary history have succumbed to it</w:t>
      </w:r>
      <w:r>
        <w:t xml:space="preserve">. </w:t>
      </w:r>
      <w:r>
        <w:t>[25.00-7.1 a 7.3]</w:t>
      </w:r>
    </w:p>
    <w:p>
      <w:r>
        <w:rPr>
          <w:b/>
        </w:rPr>
        <w:t>Conclusión, lo que arrojan los datos:</w:t>
      </w:r>
      <w:r>
        <w:t xml:space="preserve"> ocho autores en siete siglos, con documento firmado y fechado, advierten de lo mismo: alterar la moneda traslada riqueza sin aprobar ningún impuesto. Varios estaban cerca del poder: un capellán de un rey, un futuro presidente de la Reserva Federal y un presidente de banco central en ejercicio. Dos frases que suelen sumarse a la lista no resisten la prueba igual: la atribuida a Lenin, que Keynes daba de oídas, y la que circula a nombre de Friedman, sin fuente primaria localizada. </w:t>
      </w:r>
      <w:r>
        <w:t>[25.00-10.1 y 10.2]</w:t>
      </w:r>
    </w:p>
    <w:p>
      <w:r>
        <w:rPr>
          <w:b/>
        </w:rPr>
        <w:t>Lectura del autor:</w:t>
      </w:r>
      <w:r>
        <w:t xml:space="preserve"> no es un aviso nuevo. Es la pesa que se aligera, que la ley de Dios llama abominación (</w:t>
      </w:r>
      <w:r>
        <w:t>3.2</w:t>
      </w:r>
      <w:r>
        <w:t xml:space="preserve">, P4). </w:t>
      </w:r>
      <w:r>
        <w:t>[34.00-7.6]</w:t>
      </w:r>
    </w:p>
    <w:p>
      <w:pPr>
        <w:pStyle w:val="Heading2"/>
      </w:pPr>
      <w:r>
        <w:t>8.3 El tiempo de vida que se lleva la moneda</w:t>
      </w:r>
    </w:p>
    <w:p>
      <w:pPr>
        <w:pBdr>
          <w:left w:val="single" w:sz="24" w:space="6" w:color="E2DED6"/>
        </w:pBdr>
        <w:shd w:val="clear" w:color="auto" w:fill="F1EEE8"/>
        <w:spacing w:before="80" w:after="160"/>
        <w:ind w:left="142" w:right="142"/>
      </w:pPr>
      <w:r>
        <w:rPr>
          <w:b/>
        </w:rPr>
        <w:t>La idea: el dinero es tiempo de vida guardado. Si pierde valor, se pierde tiempo de vida, sin que nadie lo vote ni dé su consentimiento.</w:t>
      </w:r>
    </w:p>
    <w:p>
      <w:r>
        <w:rPr>
          <w:b/>
        </w:rPr>
        <w:t>El tiempo de vida cristalizado.</w:t>
      </w:r>
      <w:r>
        <w:t xml:space="preserve"> Desde aquí, la edición llama así a lo siguiente: el tiempo de una vida es el único bien que nadie puede devolver, y todo lo material, el sueldo, el ahorro o la casa, es tiempo de vida cristalizado. Quitar el tiempo al pueblo ya lo condenó Mencio (</w:t>
      </w:r>
      <w:r>
        <w:t>3.2</w:t>
      </w:r>
      <w:r>
        <w:t>, P3). Hoy, de cada jornada de ocho horas de un asalariado medio, 3 horas y 19 minutos se van en IRPF y cotizaciones, según la cuña fiscal de la OCDE, que cuenta solo esas dos cosas (</w:t>
      </w:r>
      <w:r>
        <w:t>8.4</w:t>
      </w:r>
      <w:r>
        <w:t>). Quedan fuera de esa cifra el IVA, los tributos municipales, los impuestos especiales, la parte del Impuesto de Sociedades que recae sobre los salarios y la carga futura del déficit: con todos ellos, un estudio privado estima la carga hasta el 53,6 % del coste laboral (estimaciones e hipótesis), y el tiempo de los trámites no entra en ninguna cifra (</w:t>
      </w:r>
      <w:r>
        <w:t>8.4</w:t>
      </w:r>
      <w:r>
        <w:t xml:space="preserve">; el detalle, en el </w:t>
      </w:r>
      <w:r>
        <w:t>anexo B</w:t>
      </w:r>
      <w:r>
        <w:t xml:space="preserve">). </w:t>
      </w:r>
      <w:r>
        <w:t>[glosario 6.2; 00.0-4.4]</w:t>
      </w:r>
    </w:p>
    <w:p>
      <w:r>
        <w:rPr>
          <w:b/>
        </w:rPr>
        <w:t>Un solo lenguaje.</w:t>
      </w:r>
      <w:r>
        <w:t xml:space="preserve"> Todo se da en euros, también los años de la peseta, al tipo fijo de «166,386 pesetas españolas»</w:t>
      </w:r>
      <w:r>
        <w:t xml:space="preserve"> (Reglamento (CE) 2866/98, art. 1)</w:t>
      </w:r>
      <w:r>
        <w:br/>
      </w:r>
      <w:r>
        <w:rPr>
          <w:b/>
        </w:rPr>
        <w:t>pasaje guardado</w:t>
      </w:r>
      <w:r>
        <w:br/>
      </w:r>
      <w:r>
        <w:rPr>
          <w:b/>
        </w:rPr>
        <w:t>Archivo leído:</w:t>
      </w:r>
      <w:r>
        <w:t xml:space="preserve"> 8.3_22b_Reglamento_CE_2866_98_tipos_conversion_euro.pdf (c8b\8.3_22b_Reglamento_CE_2866_98_tipos_conversion_euro.pdf) · contraste del archivo de pasajes: ✔</w:t>
      </w:r>
      <w:r>
        <w:br/>
      </w:r>
      <w:r>
        <w:rPr>
          <w:b/>
        </w:rPr>
        <w:t>Lugar:</w:t>
      </w:r>
      <w:r>
        <w:t xml:space="preserve"> Reglamento (CE) 2866/98, art. 1</w:t>
      </w:r>
      <w:r>
        <w:br/>
      </w:r>
      <w:r>
        <w:rPr>
          <w:b/>
        </w:rPr>
        <w:t>Tal como está en la fuente:</w:t>
      </w:r>
      <w:r>
        <w:t xml:space="preserve"> 166,386 pesetas españolas</w:t>
      </w:r>
      <w:r>
        <w:t>. El euro sustituyó a la peseta el 1 de enero de 1999, y sus billetes y monedas «serán los únicos de curso legal en el territorio nacional»</w:t>
      </w:r>
      <w:r>
        <w:t xml:space="preserve"> (Ley 46/1998, art. 3)</w:t>
      </w:r>
      <w:r>
        <w:br/>
      </w:r>
      <w:r>
        <w:rPr>
          <w:b/>
        </w:rPr>
        <w:t>leída en su fuente · Ley 46/1998, art. 3</w:t>
      </w:r>
      <w:r>
        <w:br/>
      </w:r>
      <w:r>
        <w:rPr>
          <w:b/>
        </w:rPr>
        <w:t>Archivo leído:</w:t>
      </w:r>
      <w:r>
        <w:t xml:space="preserve"> ley46_1998_euro.html (c5\ley46_1998_euro.html) · contraste del archivo de pasajes: ✔</w:t>
      </w:r>
      <w:r>
        <w:br/>
      </w:r>
      <w:r>
        <w:rPr>
          <w:b/>
        </w:rPr>
        <w:t>Lugar:</w:t>
      </w:r>
      <w:r>
        <w:t xml:space="preserve"> Art. 3, apartado Dos (#a3)</w:t>
      </w:r>
      <w:r>
        <w:br/>
      </w:r>
      <w:r>
        <w:rPr>
          <w:b/>
        </w:rPr>
        <w:t>Dirección:</w:t>
      </w:r>
      <w:r>
        <w:t xml:space="preserve"> </w:t>
      </w:r>
      <w:r>
        <w:t>https://www.boe.es/buscar/act.php?id=BOE-A-1998-29216</w:t>
      </w:r>
      <w:r>
        <w:br/>
      </w:r>
      <w:r>
        <w:rPr>
          <w:b/>
        </w:rPr>
        <w:t>Tal como está en la fuente:</w:t>
      </w:r>
      <w:r>
        <w:t xml:space="preserve"> Los billetes y monedas denominados en euros serán los únicos de curso legal en el territorio nacional.</w:t>
      </w:r>
      <w:r>
        <w:t xml:space="preserve">. Convertir no cambia ninguna proporción. </w:t>
      </w:r>
      <w:r>
        <w:t>[34.00-7.2 y 16.20]</w:t>
      </w:r>
    </w:p>
    <w:p>
      <w:r>
        <w:rPr>
          <w:b/>
        </w:rPr>
        <w:t>Lo que les pasa a 100 euros guardados.</w:t>
      </w:r>
      <w:r>
        <w:t xml:space="preserve"> Guardados el 1 de enero de 1971, hoy compran lo que entonces 3,90: se ha perdido el 96 % de su valor. Los precios se han multiplicado por 25,6 en 55 años, una media del 6,1 % anual: a ese ritmo, el dinero guardado pierde la mitad de su valor cada 12 años, más o menos; al 2 % anual, cada 35</w:t>
      </w:r>
      <w:r>
        <w:t xml:space="preserve"> (INE, índice de precios de consumo, variación de diciembre a diciembre desde 1971; cálculo de la obra)</w:t>
      </w:r>
      <w:r>
        <w:t>. Y ese 2 % es la meta oficial: los Tratados encargan a los bancos centrales «mantener la estabilidad de precios»</w:t>
      </w:r>
      <w:r>
        <w:t xml:space="preserve"> (Tratado de Funcionamiento de la UE, art. 127.1)</w:t>
      </w:r>
      <w:r>
        <w:br/>
      </w:r>
      <w:r>
        <w:rPr>
          <w:b/>
        </w:rPr>
        <w:t>leída en su fuente · Tratado de Funcionamiento de la UE, art. 127.1</w:t>
      </w:r>
      <w:r>
        <w:br/>
      </w:r>
      <w:r>
        <w:rPr>
          <w:b/>
        </w:rPr>
        <w:t>Archivo leído:</w:t>
      </w:r>
      <w:r>
        <w:t xml:space="preserve"> tue_version_consolidada_2016.html (c10\tue_version_consolidada_2016.html) · contraste del archivo de pasajes: ✔</w:t>
      </w:r>
      <w:r>
        <w:br/>
      </w:r>
      <w:r>
        <w:rPr>
          <w:b/>
        </w:rPr>
        <w:t>Lugar:</w:t>
      </w:r>
      <w:r>
        <w:t xml:space="preserve"> Tratado de Funcionamiento de la UE, art. 127.1</w:t>
      </w:r>
      <w:r>
        <w:br/>
      </w:r>
      <w:r>
        <w:rPr>
          <w:b/>
        </w:rPr>
        <w:t>Tal como está en la fuente:</w:t>
      </w:r>
      <w:r>
        <w:t xml:space="preserve"> mantener la estabilidad de precios</w:t>
      </w:r>
      <w:r>
        <w:t>, y el Banco Central Europeo la concreta así: «aspirar a una inflación del 2 % a medio plazo»</w:t>
      </w:r>
      <w:r>
        <w:t xml:space="preserve"> [original: «aiming for 2% inflation over the medium term»]</w:t>
      </w:r>
      <w:r>
        <w:t xml:space="preserve"> (BCE, estrategia de política monetaria)</w:t>
      </w:r>
      <w:r>
        <w:br/>
      </w:r>
      <w:r>
        <w:rPr>
          <w:b/>
        </w:rPr>
        <w:t>leída en su fuente · BCE, estrategia de política monetaria</w:t>
      </w:r>
      <w:r>
        <w:br/>
      </w:r>
      <w:r>
        <w:rPr>
          <w:b/>
        </w:rPr>
        <w:t>Archivo leído:</w:t>
      </w:r>
      <w:r>
        <w:t xml:space="preserve"> 8.1_11_BCE_estrategia_politica_monetaria_EN.html (c8a\8.1_11_BCE_estrategia_politica_monetaria_EN.html) · contraste del archivo de pasajes: ✔</w:t>
      </w:r>
      <w:r>
        <w:br/>
      </w:r>
      <w:r>
        <w:rPr>
          <w:b/>
        </w:rPr>
        <w:t>Lugar:</w:t>
      </w:r>
      <w:r>
        <w:t xml:space="preserve"> BCE, estrategia de política monetaria</w:t>
      </w:r>
      <w:r>
        <w:br/>
      </w:r>
      <w:r>
        <w:rPr>
          <w:b/>
        </w:rPr>
        <w:t>Tal como está en la fuente:</w:t>
      </w:r>
      <w:r>
        <w:t xml:space="preserve"> aiming for 2% inflation over the medium term</w:t>
      </w:r>
      <w:r>
        <w:t xml:space="preserve">. A eso se le llama estabilidad. </w:t>
      </w:r>
      <w:r>
        <w:t>[34.00-7.3, 7.4 y 16.21]</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Periodo</w:t>
            </w:r>
          </w:p>
        </w:tc>
        <w:tc>
          <w:tcPr>
            <w:tcW w:type="dxa" w:w="3061"/>
            <w:shd w:val="clear" w:color="auto" w:fill="F1EEE8"/>
          </w:tcPr>
          <w:p>
            <w:pPr>
              <w:spacing w:after="20" w:line="264" w:lineRule="auto"/>
            </w:pPr>
            <w:r>
              <w:rPr>
                <w:b/>
              </w:rPr>
            </w:r>
            <w:r>
              <w:rPr>
                <w:rFonts w:ascii="Segoe UI" w:hAnsi="Segoe UI" w:eastAsia="Segoe UI" w:cs="Segoe UI"/>
                <w:b/>
                <w:color w:val="1F1D1A"/>
                <w:sz w:val="18"/>
              </w:rPr>
              <w:t>Subida de precios en esos cinco años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compran hoy 100 € guardados el 1-1-1971</w:t>
            </w:r>
          </w:p>
        </w:tc>
      </w:tr>
      <w:tr>
        <w:tc>
          <w:tcPr>
            <w:tcW w:type="dxa" w:w="3061"/>
          </w:tcPr>
          <w:p>
            <w:pPr>
              <w:spacing w:after="20" w:line="264" w:lineRule="auto"/>
            </w:pPr>
            <w:r/>
            <w:r>
              <w:rPr>
                <w:rFonts w:ascii="Segoe UI" w:hAnsi="Segoe UI" w:eastAsia="Segoe UI" w:cs="Segoe UI"/>
                <w:color w:val="1F1D1A"/>
                <w:sz w:val="18"/>
              </w:rPr>
              <w:t>1971-1975</w:t>
            </w:r>
          </w:p>
        </w:tc>
        <w:tc>
          <w:tcPr>
            <w:tcW w:type="dxa" w:w="3061"/>
          </w:tcPr>
          <w:p>
            <w:pPr>
              <w:spacing w:after="20" w:line="264" w:lineRule="auto"/>
            </w:pPr>
            <w:r/>
            <w:r>
              <w:rPr>
                <w:rFonts w:ascii="Segoe UI" w:hAnsi="Segoe UI" w:eastAsia="Segoe UI" w:cs="Segoe UI"/>
                <w:color w:val="1F1D1A"/>
                <w:sz w:val="18"/>
              </w:rPr>
              <w:t>80,7 %</w:t>
            </w:r>
          </w:p>
        </w:tc>
        <w:tc>
          <w:tcPr>
            <w:tcW w:type="dxa" w:w="3061"/>
          </w:tcPr>
          <w:p>
            <w:pPr>
              <w:spacing w:after="20" w:line="264" w:lineRule="auto"/>
            </w:pPr>
            <w:r/>
            <w:r>
              <w:rPr>
                <w:rFonts w:ascii="Segoe UI" w:hAnsi="Segoe UI" w:eastAsia="Segoe UI" w:cs="Segoe UI"/>
                <w:color w:val="1F1D1A"/>
                <w:sz w:val="18"/>
              </w:rPr>
              <w:t>55,35 €</w:t>
            </w:r>
          </w:p>
        </w:tc>
      </w:tr>
      <w:tr>
        <w:tc>
          <w:tcPr>
            <w:tcW w:type="dxa" w:w="3061"/>
          </w:tcPr>
          <w:p>
            <w:pPr>
              <w:spacing w:after="20" w:line="264" w:lineRule="auto"/>
            </w:pPr>
            <w:r/>
            <w:r>
              <w:rPr>
                <w:rFonts w:ascii="Segoe UI" w:hAnsi="Segoe UI" w:eastAsia="Segoe UI" w:cs="Segoe UI"/>
                <w:color w:val="1F1D1A"/>
                <w:sz w:val="18"/>
              </w:rPr>
              <w:t>1976-1980</w:t>
            </w:r>
          </w:p>
        </w:tc>
        <w:tc>
          <w:tcPr>
            <w:tcW w:type="dxa" w:w="3061"/>
          </w:tcPr>
          <w:p>
            <w:pPr>
              <w:spacing w:after="20" w:line="264" w:lineRule="auto"/>
            </w:pPr>
            <w:r/>
            <w:r>
              <w:rPr>
                <w:rFonts w:ascii="Segoe UI" w:hAnsi="Segoe UI" w:eastAsia="Segoe UI" w:cs="Segoe UI"/>
                <w:color w:val="1F1D1A"/>
                <w:sz w:val="18"/>
              </w:rPr>
              <w:t>134,9 %</w:t>
            </w:r>
          </w:p>
        </w:tc>
        <w:tc>
          <w:tcPr>
            <w:tcW w:type="dxa" w:w="3061"/>
          </w:tcPr>
          <w:p>
            <w:pPr>
              <w:spacing w:after="20" w:line="264" w:lineRule="auto"/>
            </w:pPr>
            <w:r/>
            <w:r>
              <w:rPr>
                <w:rFonts w:ascii="Segoe UI" w:hAnsi="Segoe UI" w:eastAsia="Segoe UI" w:cs="Segoe UI"/>
                <w:color w:val="1F1D1A"/>
                <w:sz w:val="18"/>
              </w:rPr>
              <w:t>23,56 €</w:t>
            </w:r>
          </w:p>
        </w:tc>
      </w:tr>
      <w:tr>
        <w:tc>
          <w:tcPr>
            <w:tcW w:type="dxa" w:w="3061"/>
          </w:tcPr>
          <w:p>
            <w:pPr>
              <w:spacing w:after="20" w:line="264" w:lineRule="auto"/>
            </w:pPr>
            <w:r/>
            <w:r>
              <w:rPr>
                <w:rFonts w:ascii="Segoe UI" w:hAnsi="Segoe UI" w:eastAsia="Segoe UI" w:cs="Segoe UI"/>
                <w:color w:val="1F1D1A"/>
                <w:sz w:val="18"/>
              </w:rPr>
              <w:t>1981-1985</w:t>
            </w:r>
          </w:p>
        </w:tc>
        <w:tc>
          <w:tcPr>
            <w:tcW w:type="dxa" w:w="3061"/>
          </w:tcPr>
          <w:p>
            <w:pPr>
              <w:spacing w:after="20" w:line="264" w:lineRule="auto"/>
            </w:pPr>
            <w:r/>
            <w:r>
              <w:rPr>
                <w:rFonts w:ascii="Segoe UI" w:hAnsi="Segoe UI" w:eastAsia="Segoe UI" w:cs="Segoe UI"/>
                <w:color w:val="1F1D1A"/>
                <w:sz w:val="18"/>
              </w:rPr>
              <w:t>72,6 %</w:t>
            </w:r>
          </w:p>
        </w:tc>
        <w:tc>
          <w:tcPr>
            <w:tcW w:type="dxa" w:w="3061"/>
          </w:tcPr>
          <w:p>
            <w:pPr>
              <w:spacing w:after="20" w:line="264" w:lineRule="auto"/>
            </w:pPr>
            <w:r/>
            <w:r>
              <w:rPr>
                <w:rFonts w:ascii="Segoe UI" w:hAnsi="Segoe UI" w:eastAsia="Segoe UI" w:cs="Segoe UI"/>
                <w:color w:val="1F1D1A"/>
                <w:sz w:val="18"/>
              </w:rPr>
              <w:t>13,65 €</w:t>
            </w:r>
          </w:p>
        </w:tc>
      </w:tr>
      <w:tr>
        <w:tc>
          <w:tcPr>
            <w:tcW w:type="dxa" w:w="3061"/>
          </w:tcPr>
          <w:p>
            <w:pPr>
              <w:spacing w:after="20" w:line="264" w:lineRule="auto"/>
            </w:pPr>
            <w:r/>
            <w:r>
              <w:rPr>
                <w:rFonts w:ascii="Segoe UI" w:hAnsi="Segoe UI" w:eastAsia="Segoe UI" w:cs="Segoe UI"/>
                <w:color w:val="1F1D1A"/>
                <w:sz w:val="18"/>
              </w:rPr>
              <w:t>1986-1990</w:t>
            </w:r>
          </w:p>
        </w:tc>
        <w:tc>
          <w:tcPr>
            <w:tcW w:type="dxa" w:w="3061"/>
          </w:tcPr>
          <w:p>
            <w:pPr>
              <w:spacing w:after="20" w:line="264" w:lineRule="auto"/>
            </w:pPr>
            <w:r/>
            <w:r>
              <w:rPr>
                <w:rFonts w:ascii="Segoe UI" w:hAnsi="Segoe UI" w:eastAsia="Segoe UI" w:cs="Segoe UI"/>
                <w:color w:val="1F1D1A"/>
                <w:sz w:val="18"/>
              </w:rPr>
              <w:t>36,4 %</w:t>
            </w:r>
          </w:p>
        </w:tc>
        <w:tc>
          <w:tcPr>
            <w:tcW w:type="dxa" w:w="3061"/>
          </w:tcPr>
          <w:p>
            <w:pPr>
              <w:spacing w:after="20" w:line="264" w:lineRule="auto"/>
            </w:pPr>
            <w:r/>
            <w:r>
              <w:rPr>
                <w:rFonts w:ascii="Segoe UI" w:hAnsi="Segoe UI" w:eastAsia="Segoe UI" w:cs="Segoe UI"/>
                <w:color w:val="1F1D1A"/>
                <w:sz w:val="18"/>
              </w:rPr>
              <w:t>10,01 €</w:t>
            </w:r>
          </w:p>
        </w:tc>
      </w:tr>
      <w:tr>
        <w:tc>
          <w:tcPr>
            <w:tcW w:type="dxa" w:w="3061"/>
          </w:tcPr>
          <w:p>
            <w:pPr>
              <w:spacing w:after="20" w:line="264" w:lineRule="auto"/>
            </w:pPr>
            <w:r/>
            <w:r>
              <w:rPr>
                <w:rFonts w:ascii="Segoe UI" w:hAnsi="Segoe UI" w:eastAsia="Segoe UI" w:cs="Segoe UI"/>
                <w:color w:val="1F1D1A"/>
                <w:sz w:val="18"/>
              </w:rPr>
              <w:t>1991-1995</w:t>
            </w:r>
          </w:p>
        </w:tc>
        <w:tc>
          <w:tcPr>
            <w:tcW w:type="dxa" w:w="3061"/>
          </w:tcPr>
          <w:p>
            <w:pPr>
              <w:spacing w:after="20" w:line="264" w:lineRule="auto"/>
            </w:pPr>
            <w:r/>
            <w:r>
              <w:rPr>
                <w:rFonts w:ascii="Segoe UI" w:hAnsi="Segoe UI" w:eastAsia="Segoe UI" w:cs="Segoe UI"/>
                <w:color w:val="1F1D1A"/>
                <w:sz w:val="18"/>
              </w:rPr>
              <w:t>26,8 %</w:t>
            </w:r>
          </w:p>
        </w:tc>
        <w:tc>
          <w:tcPr>
            <w:tcW w:type="dxa" w:w="3061"/>
          </w:tcPr>
          <w:p>
            <w:pPr>
              <w:spacing w:after="20" w:line="264" w:lineRule="auto"/>
            </w:pPr>
            <w:r/>
            <w:r>
              <w:rPr>
                <w:rFonts w:ascii="Segoe UI" w:hAnsi="Segoe UI" w:eastAsia="Segoe UI" w:cs="Segoe UI"/>
                <w:color w:val="1F1D1A"/>
                <w:sz w:val="18"/>
              </w:rPr>
              <w:t>7,89 €</w:t>
            </w:r>
          </w:p>
        </w:tc>
      </w:tr>
      <w:tr>
        <w:tc>
          <w:tcPr>
            <w:tcW w:type="dxa" w:w="3061"/>
          </w:tcPr>
          <w:p>
            <w:pPr>
              <w:spacing w:after="20" w:line="264" w:lineRule="auto"/>
            </w:pPr>
            <w:r/>
            <w:r>
              <w:rPr>
                <w:rFonts w:ascii="Segoe UI" w:hAnsi="Segoe UI" w:eastAsia="Segoe UI" w:cs="Segoe UI"/>
                <w:color w:val="1F1D1A"/>
                <w:sz w:val="18"/>
              </w:rPr>
              <w:t>1996-2000</w:t>
            </w:r>
          </w:p>
        </w:tc>
        <w:tc>
          <w:tcPr>
            <w:tcW w:type="dxa" w:w="3061"/>
          </w:tcPr>
          <w:p>
            <w:pPr>
              <w:spacing w:after="20" w:line="264" w:lineRule="auto"/>
            </w:pPr>
            <w:r/>
            <w:r>
              <w:rPr>
                <w:rFonts w:ascii="Segoe UI" w:hAnsi="Segoe UI" w:eastAsia="Segoe UI" w:cs="Segoe UI"/>
                <w:color w:val="1F1D1A"/>
                <w:sz w:val="18"/>
              </w:rPr>
              <w:t>14,2 %</w:t>
            </w:r>
          </w:p>
        </w:tc>
        <w:tc>
          <w:tcPr>
            <w:tcW w:type="dxa" w:w="3061"/>
          </w:tcPr>
          <w:p>
            <w:pPr>
              <w:spacing w:after="20" w:line="264" w:lineRule="auto"/>
            </w:pPr>
            <w:r/>
            <w:r>
              <w:rPr>
                <w:rFonts w:ascii="Segoe UI" w:hAnsi="Segoe UI" w:eastAsia="Segoe UI" w:cs="Segoe UI"/>
                <w:color w:val="1F1D1A"/>
                <w:sz w:val="18"/>
              </w:rPr>
              <w:t>6,91 €</w:t>
            </w:r>
          </w:p>
        </w:tc>
      </w:tr>
      <w:tr>
        <w:tc>
          <w:tcPr>
            <w:tcW w:type="dxa" w:w="3061"/>
          </w:tcPr>
          <w:p>
            <w:pPr>
              <w:spacing w:after="20" w:line="264" w:lineRule="auto"/>
            </w:pPr>
            <w:r/>
            <w:r>
              <w:rPr>
                <w:rFonts w:ascii="Segoe UI" w:hAnsi="Segoe UI" w:eastAsia="Segoe UI" w:cs="Segoe UI"/>
                <w:color w:val="1F1D1A"/>
                <w:sz w:val="18"/>
              </w:rPr>
              <w:t>2001-2005</w:t>
            </w:r>
          </w:p>
        </w:tc>
        <w:tc>
          <w:tcPr>
            <w:tcW w:type="dxa" w:w="3061"/>
          </w:tcPr>
          <w:p>
            <w:pPr>
              <w:spacing w:after="20" w:line="264" w:lineRule="auto"/>
            </w:pPr>
            <w:r/>
            <w:r>
              <w:rPr>
                <w:rFonts w:ascii="Segoe UI" w:hAnsi="Segoe UI" w:eastAsia="Segoe UI" w:cs="Segoe UI"/>
                <w:color w:val="1F1D1A"/>
                <w:sz w:val="18"/>
              </w:rPr>
              <w:t>17,3 %</w:t>
            </w:r>
          </w:p>
        </w:tc>
        <w:tc>
          <w:tcPr>
            <w:tcW w:type="dxa" w:w="3061"/>
          </w:tcPr>
          <w:p>
            <w:pPr>
              <w:spacing w:after="20" w:line="264" w:lineRule="auto"/>
            </w:pPr>
            <w:r/>
            <w:r>
              <w:rPr>
                <w:rFonts w:ascii="Segoe UI" w:hAnsi="Segoe UI" w:eastAsia="Segoe UI" w:cs="Segoe UI"/>
                <w:color w:val="1F1D1A"/>
                <w:sz w:val="18"/>
              </w:rPr>
              <w:t>5,89 €</w:t>
            </w:r>
          </w:p>
        </w:tc>
      </w:tr>
      <w:tr>
        <w:tc>
          <w:tcPr>
            <w:tcW w:type="dxa" w:w="3061"/>
          </w:tcPr>
          <w:p>
            <w:pPr>
              <w:spacing w:after="20" w:line="264" w:lineRule="auto"/>
            </w:pPr>
            <w:r/>
            <w:r>
              <w:rPr>
                <w:rFonts w:ascii="Segoe UI" w:hAnsi="Segoe UI" w:eastAsia="Segoe UI" w:cs="Segoe UI"/>
                <w:color w:val="1F1D1A"/>
                <w:sz w:val="18"/>
              </w:rPr>
              <w:t>2006-2010</w:t>
            </w:r>
          </w:p>
        </w:tc>
        <w:tc>
          <w:tcPr>
            <w:tcW w:type="dxa" w:w="3061"/>
          </w:tcPr>
          <w:p>
            <w:pPr>
              <w:spacing w:after="20" w:line="264" w:lineRule="auto"/>
            </w:pPr>
            <w:r/>
            <w:r>
              <w:rPr>
                <w:rFonts w:ascii="Segoe UI" w:hAnsi="Segoe UI" w:eastAsia="Segoe UI" w:cs="Segoe UI"/>
                <w:color w:val="1F1D1A"/>
                <w:sz w:val="18"/>
              </w:rPr>
              <w:t>12,7 %</w:t>
            </w:r>
          </w:p>
        </w:tc>
        <w:tc>
          <w:tcPr>
            <w:tcW w:type="dxa" w:w="3061"/>
          </w:tcPr>
          <w:p>
            <w:pPr>
              <w:spacing w:after="20" w:line="264" w:lineRule="auto"/>
            </w:pPr>
            <w:r/>
            <w:r>
              <w:rPr>
                <w:rFonts w:ascii="Segoe UI" w:hAnsi="Segoe UI" w:eastAsia="Segoe UI" w:cs="Segoe UI"/>
                <w:color w:val="1F1D1A"/>
                <w:sz w:val="18"/>
              </w:rPr>
              <w:t>5,23 €</w:t>
            </w:r>
          </w:p>
        </w:tc>
      </w:tr>
      <w:tr>
        <w:tc>
          <w:tcPr>
            <w:tcW w:type="dxa" w:w="3061"/>
          </w:tcPr>
          <w:p>
            <w:pPr>
              <w:spacing w:after="20" w:line="264" w:lineRule="auto"/>
            </w:pPr>
            <w:r/>
            <w:r>
              <w:rPr>
                <w:rFonts w:ascii="Segoe UI" w:hAnsi="Segoe UI" w:eastAsia="Segoe UI" w:cs="Segoe UI"/>
                <w:color w:val="1F1D1A"/>
                <w:sz w:val="18"/>
              </w:rPr>
              <w:t>2011-2015</w:t>
            </w:r>
          </w:p>
        </w:tc>
        <w:tc>
          <w:tcPr>
            <w:tcW w:type="dxa" w:w="3061"/>
          </w:tcPr>
          <w:p>
            <w:pPr>
              <w:spacing w:after="20" w:line="264" w:lineRule="auto"/>
            </w:pPr>
            <w:r/>
            <w:r>
              <w:rPr>
                <w:rFonts w:ascii="Segoe UI" w:hAnsi="Segoe UI" w:eastAsia="Segoe UI" w:cs="Segoe UI"/>
                <w:color w:val="1F1D1A"/>
                <w:sz w:val="18"/>
              </w:rPr>
              <w:t>4,6 %</w:t>
            </w:r>
          </w:p>
        </w:tc>
        <w:tc>
          <w:tcPr>
            <w:tcW w:type="dxa" w:w="3061"/>
          </w:tcPr>
          <w:p>
            <w:pPr>
              <w:spacing w:after="20" w:line="264" w:lineRule="auto"/>
            </w:pPr>
            <w:r/>
            <w:r>
              <w:rPr>
                <w:rFonts w:ascii="Segoe UI" w:hAnsi="Segoe UI" w:eastAsia="Segoe UI" w:cs="Segoe UI"/>
                <w:color w:val="1F1D1A"/>
                <w:sz w:val="18"/>
              </w:rPr>
              <w:t>5,00 €</w:t>
            </w:r>
          </w:p>
        </w:tc>
      </w:tr>
      <w:tr>
        <w:tc>
          <w:tcPr>
            <w:tcW w:type="dxa" w:w="3061"/>
          </w:tcPr>
          <w:p>
            <w:pPr>
              <w:spacing w:after="20" w:line="264" w:lineRule="auto"/>
            </w:pPr>
            <w:r/>
            <w:r>
              <w:rPr>
                <w:rFonts w:ascii="Segoe UI" w:hAnsi="Segoe UI" w:eastAsia="Segoe UI" w:cs="Segoe UI"/>
                <w:color w:val="1F1D1A"/>
                <w:sz w:val="18"/>
              </w:rPr>
              <w:t>2016-2020</w:t>
            </w:r>
          </w:p>
        </w:tc>
        <w:tc>
          <w:tcPr>
            <w:tcW w:type="dxa" w:w="3061"/>
          </w:tcPr>
          <w:p>
            <w:pPr>
              <w:spacing w:after="20" w:line="264" w:lineRule="auto"/>
            </w:pPr>
            <w:r/>
            <w:r>
              <w:rPr>
                <w:rFonts w:ascii="Segoe UI" w:hAnsi="Segoe UI" w:eastAsia="Segoe UI" w:cs="Segoe UI"/>
                <w:color w:val="1F1D1A"/>
                <w:sz w:val="18"/>
              </w:rPr>
              <w:t>4,3 %</w:t>
            </w:r>
          </w:p>
        </w:tc>
        <w:tc>
          <w:tcPr>
            <w:tcW w:type="dxa" w:w="3061"/>
          </w:tcPr>
          <w:p>
            <w:pPr>
              <w:spacing w:after="20" w:line="264" w:lineRule="auto"/>
            </w:pPr>
            <w:r/>
            <w:r>
              <w:rPr>
                <w:rFonts w:ascii="Segoe UI" w:hAnsi="Segoe UI" w:eastAsia="Segoe UI" w:cs="Segoe UI"/>
                <w:color w:val="1F1D1A"/>
                <w:sz w:val="18"/>
              </w:rPr>
              <w:t>4,79 €</w:t>
            </w:r>
          </w:p>
        </w:tc>
      </w:tr>
      <w:tr>
        <w:tc>
          <w:tcPr>
            <w:tcW w:type="dxa" w:w="3061"/>
          </w:tcPr>
          <w:p>
            <w:pPr>
              <w:spacing w:after="20" w:line="264" w:lineRule="auto"/>
            </w:pPr>
            <w:r/>
            <w:r>
              <w:rPr>
                <w:rFonts w:ascii="Segoe UI" w:hAnsi="Segoe UI" w:eastAsia="Segoe UI" w:cs="Segoe UI"/>
                <w:color w:val="1F1D1A"/>
                <w:sz w:val="18"/>
              </w:rPr>
              <w:t>2021-2025</w:t>
            </w:r>
          </w:p>
        </w:tc>
        <w:tc>
          <w:tcPr>
            <w:tcW w:type="dxa" w:w="3061"/>
          </w:tcPr>
          <w:p>
            <w:pPr>
              <w:spacing w:after="20" w:line="264" w:lineRule="auto"/>
            </w:pPr>
            <w:r/>
            <w:r>
              <w:rPr>
                <w:rFonts w:ascii="Segoe UI" w:hAnsi="Segoe UI" w:eastAsia="Segoe UI" w:cs="Segoe UI"/>
                <w:color w:val="1F1D1A"/>
                <w:sz w:val="18"/>
              </w:rPr>
              <w:t>22,8 %</w:t>
            </w:r>
          </w:p>
        </w:tc>
        <w:tc>
          <w:tcPr>
            <w:tcW w:type="dxa" w:w="3061"/>
          </w:tcPr>
          <w:p>
            <w:pPr>
              <w:spacing w:after="20" w:line="264" w:lineRule="auto"/>
            </w:pPr>
            <w:r/>
            <w:r>
              <w:rPr>
                <w:rFonts w:ascii="Segoe UI" w:hAnsi="Segoe UI" w:eastAsia="Segoe UI" w:cs="Segoe UI"/>
                <w:color w:val="1F1D1A"/>
                <w:sz w:val="18"/>
              </w:rPr>
              <w:t>3,90 €</w:t>
            </w:r>
          </w:p>
        </w:tc>
      </w:tr>
    </w:tbl>
    <w:p>
      <w:pPr>
        <w:spacing w:after="80"/>
      </w:pPr>
    </w:p>
    <w:p>
      <w:r>
        <w:t xml:space="preserve">Fuente: INE, índice de precios de consumo, diciembre a diciembre, encadenado; el cuadro completo, en el </w:t>
      </w:r>
      <w:r>
        <w:t>anexo C</w:t>
      </w:r>
      <w:r>
        <w:t xml:space="preserve">. </w:t>
      </w:r>
      <w:r>
        <w:t>[34.00-8.1 a 8.13]</w:t>
      </w:r>
    </w:p>
    <w:p>
      <w:r>
        <w:rPr>
          <w:b/>
        </w:rPr>
        <w:t>Lo que compran 100 euros guardados, medido en pan.</w:t>
      </w:r>
      <w:r>
        <w:t xml:space="preserve"> Una barra de pan de unos 250 gramos es el producto de referencia que usó el Ministerio de Agricultura en su estudio del pan de 2009</w:t>
      </w:r>
      <w:r>
        <w:t xml:space="preserve"> (Ministerio de Agricultura, Estudio de la cadena de valor y formación de precios del pan, julio de 2009)</w:t>
      </w:r>
      <w:r>
        <w:t>. Con el precio oficial de la pieza de pan común en Madrid en 1987, 100 euros (unas 16.600 pesetas) compraban unas 590 barras. Con el precio medio que pagan los hogares, compraban unas 245 en el año 2000 y compran unas 148 en 2025. Son los mismos 100 euros guardados: cada año compran menos barras.</w:t>
      </w:r>
    </w:p>
    <w:p>
      <w:r>
        <w:rPr>
          <w:b/>
        </w:rPr>
        <w:t>Eso tiene un nombre: inflación.</w:t>
      </w:r>
      <w:r>
        <w:t xml:space="preserve"> La palabra nombraba antes la causa, no el efecto. El diccionario Webster de 1913 la definía como «expansión o aumento indebido, por emisión excesiva; dicho de la moneda»</w:t>
      </w:r>
      <w:r>
        <w:t xml:space="preserve"> [original: «Undue expansion or increase, from overissue; -- said of currency. [U.S.]»]</w:t>
      </w:r>
      <w:r>
        <w:t xml:space="preserve"> (Webster's Revised Unabridged Dictionary (Diccionario Webster revisado e íntegro), 1913, Proyecto Gutenberg n.º 29765, s. v. «inflation»)</w:t>
      </w:r>
      <w:r>
        <w:br/>
      </w:r>
      <w:r>
        <w:rPr>
          <w:b/>
        </w:rPr>
        <w:t>leída en su fuente</w:t>
      </w:r>
      <w:r>
        <w:br/>
      </w:r>
      <w:r>
        <w:rPr>
          <w:b/>
        </w:rPr>
        <w:t>Archivo leído:</w:t>
      </w:r>
      <w:r>
        <w:t xml:space="preserve"> webster_1913_gutenberg_29765.txt (líneas 438081-438091) (c5\webster_1913_extracto_inflation.txt) · contraste del archivo de pasajes: ✔</w:t>
      </w:r>
      <w:r>
        <w:br/>
      </w:r>
      <w:r>
        <w:rPr>
          <w:b/>
        </w:rPr>
        <w:t>Dirección:</w:t>
      </w:r>
      <w:r>
        <w:t xml:space="preserve"> </w:t>
      </w:r>
      <w:r>
        <w:t>https://www.gutenberg.org/cache/epub/29765/pg29765.txt</w:t>
      </w:r>
      <w:r>
        <w:br/>
      </w:r>
      <w:r>
        <w:rPr>
          <w:b/>
        </w:rPr>
        <w:t>Tal como está en la fuente:</w:t>
      </w:r>
      <w:r>
        <w:t xml:space="preserve"> "INFLATION / In*fla""tion, n. […] 3. Undue expansion or increase, from overissue; -- said of currency. [U.S.]"</w:t>
      </w:r>
      <w:r>
        <w:br/>
      </w:r>
      <w:r>
        <w:rPr>
          <w:b/>
        </w:rPr>
        <w:t>Traducción guardada:</w:t>
      </w:r>
      <w:r>
        <w:t xml:space="preserve"> Expansión o aumento indebido, por emisión excesiva; dicho de la moneda. [EE. UU.]</w:t>
      </w:r>
      <w:r>
        <w:t>. La Academia la define hoy como «Elevación del nivel general de precios»</w:t>
      </w:r>
      <w:r>
        <w:t xml:space="preserve"> (Diccionario de la lengua española, edición actual)</w:t>
      </w:r>
      <w:r>
        <w:br/>
      </w:r>
      <w:r>
        <w:rPr>
          <w:b/>
        </w:rPr>
        <w:t>leída en su fuente · Diccionario de la lengua española, edición actual</w:t>
      </w:r>
      <w:r>
        <w:br/>
      </w:r>
      <w:r>
        <w:rPr>
          <w:b/>
        </w:rPr>
        <w:t>Archivo leído:</w:t>
      </w:r>
      <w:r>
        <w:t xml:space="preserve"> rae_dle_inflacion_actual.html (c5\rae_dle_inflacion_actual.html) · contraste del archivo de pasajes: ✔</w:t>
      </w:r>
      <w:r>
        <w:br/>
      </w:r>
      <w:r>
        <w:rPr>
          <w:b/>
        </w:rPr>
        <w:t>Lugar:</w:t>
      </w:r>
      <w:r>
        <w:t xml:space="preserve"> Acepción 4</w:t>
      </w:r>
      <w:r>
        <w:br/>
      </w:r>
      <w:r>
        <w:rPr>
          <w:b/>
        </w:rPr>
        <w:t>Dirección:</w:t>
      </w:r>
      <w:r>
        <w:t xml:space="preserve"> </w:t>
      </w:r>
      <w:r>
        <w:t>https://dle.rae.es/inflaci%C3%B3n</w:t>
      </w:r>
      <w:r>
        <w:br/>
      </w:r>
      <w:r>
        <w:rPr>
          <w:b/>
        </w:rPr>
        <w:t>Tal como está en la fuente:</w:t>
      </w:r>
      <w:r>
        <w:t xml:space="preserve"> 4. f. Econ. Elevación del nivel general de precios.</w:t>
      </w:r>
      <w:r>
        <w:t xml:space="preserve"> (</w:t>
      </w:r>
      <w:r>
        <w:t>5.1</w:t>
      </w:r>
      <w:r>
        <w:t>, n.º 22).</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Año</w:t>
            </w:r>
          </w:p>
        </w:tc>
        <w:tc>
          <w:tcPr>
            <w:tcW w:type="dxa" w:w="3061"/>
            <w:shd w:val="clear" w:color="auto" w:fill="F1EEE8"/>
          </w:tcPr>
          <w:p>
            <w:pPr>
              <w:spacing w:after="20" w:line="264" w:lineRule="auto"/>
            </w:pPr>
            <w:r>
              <w:rPr>
                <w:b/>
              </w:rPr>
            </w:r>
            <w:r>
              <w:rPr>
                <w:rFonts w:ascii="Segoe UI" w:hAnsi="Segoe UI" w:eastAsia="Segoe UI" w:cs="Segoe UI"/>
                <w:b/>
                <w:color w:val="1F1D1A"/>
                <w:sz w:val="18"/>
              </w:rPr>
              <w:t>Precio del kilo de pan (euros)</w:t>
            </w:r>
          </w:p>
        </w:tc>
        <w:tc>
          <w:tcPr>
            <w:tcW w:type="dxa" w:w="3061"/>
            <w:shd w:val="clear" w:color="auto" w:fill="F1EEE8"/>
          </w:tcPr>
          <w:p>
            <w:pPr>
              <w:spacing w:after="20" w:line="264" w:lineRule="auto"/>
            </w:pPr>
            <w:r>
              <w:rPr>
                <w:b/>
              </w:rPr>
            </w:r>
            <w:r>
              <w:rPr>
                <w:rFonts w:ascii="Segoe UI" w:hAnsi="Segoe UI" w:eastAsia="Segoe UI" w:cs="Segoe UI"/>
                <w:b/>
                <w:color w:val="1F1D1A"/>
                <w:sz w:val="18"/>
              </w:rPr>
              <w:t>Barras de 250 g que compran 100 euros</w:t>
            </w:r>
          </w:p>
        </w:tc>
      </w:tr>
      <w:tr>
        <w:tc>
          <w:tcPr>
            <w:tcW w:type="dxa" w:w="3061"/>
          </w:tcPr>
          <w:p>
            <w:pPr>
              <w:spacing w:after="20" w:line="264" w:lineRule="auto"/>
            </w:pPr>
            <w:r/>
            <w:r>
              <w:rPr>
                <w:rFonts w:ascii="Segoe UI" w:hAnsi="Segoe UI" w:eastAsia="Segoe UI" w:cs="Segoe UI"/>
                <w:color w:val="1F1D1A"/>
                <w:sz w:val="18"/>
              </w:rPr>
              <w:t>1987</w:t>
            </w:r>
          </w:p>
        </w:tc>
        <w:tc>
          <w:tcPr>
            <w:tcW w:type="dxa" w:w="3061"/>
          </w:tcPr>
          <w:p>
            <w:pPr>
              <w:spacing w:after="20" w:line="264" w:lineRule="auto"/>
            </w:pPr>
            <w:r/>
            <w:r>
              <w:rPr>
                <w:rFonts w:ascii="Segoe UI" w:hAnsi="Segoe UI" w:eastAsia="Segoe UI" w:cs="Segoe UI"/>
                <w:color w:val="1F1D1A"/>
                <w:sz w:val="18"/>
              </w:rPr>
              <w:t>0,68</w:t>
            </w:r>
          </w:p>
        </w:tc>
        <w:tc>
          <w:tcPr>
            <w:tcW w:type="dxa" w:w="3061"/>
          </w:tcPr>
          <w:p>
            <w:pPr>
              <w:spacing w:after="20" w:line="264" w:lineRule="auto"/>
            </w:pPr>
            <w:r/>
            <w:r>
              <w:rPr>
                <w:rFonts w:ascii="Segoe UI" w:hAnsi="Segoe UI" w:eastAsia="Segoe UI" w:cs="Segoe UI"/>
                <w:color w:val="1F1D1A"/>
                <w:sz w:val="18"/>
              </w:rPr>
              <w:t>592</w:t>
            </w:r>
          </w:p>
        </w:tc>
      </w:tr>
      <w:tr>
        <w:tc>
          <w:tcPr>
            <w:tcW w:type="dxa" w:w="3061"/>
          </w:tcPr>
          <w:p>
            <w:pPr>
              <w:spacing w:after="20" w:line="264" w:lineRule="auto"/>
            </w:pPr>
            <w:r/>
            <w:r>
              <w:rPr>
                <w:rFonts w:ascii="Segoe UI" w:hAnsi="Segoe UI" w:eastAsia="Segoe UI" w:cs="Segoe UI"/>
                <w:color w:val="1F1D1A"/>
                <w:sz w:val="18"/>
              </w:rPr>
              <w:t>1999</w:t>
            </w:r>
          </w:p>
        </w:tc>
        <w:tc>
          <w:tcPr>
            <w:tcW w:type="dxa" w:w="3061"/>
          </w:tcPr>
          <w:p>
            <w:pPr>
              <w:spacing w:after="20" w:line="264" w:lineRule="auto"/>
            </w:pPr>
            <w:r/>
            <w:r>
              <w:rPr>
                <w:rFonts w:ascii="Segoe UI" w:hAnsi="Segoe UI" w:eastAsia="Segoe UI" w:cs="Segoe UI"/>
                <w:color w:val="1F1D1A"/>
                <w:sz w:val="18"/>
              </w:rPr>
              <w:t>1,51</w:t>
            </w:r>
          </w:p>
        </w:tc>
        <w:tc>
          <w:tcPr>
            <w:tcW w:type="dxa" w:w="3061"/>
          </w:tcPr>
          <w:p>
            <w:pPr>
              <w:spacing w:after="20" w:line="264" w:lineRule="auto"/>
            </w:pPr>
            <w:r/>
            <w:r>
              <w:rPr>
                <w:rFonts w:ascii="Segoe UI" w:hAnsi="Segoe UI" w:eastAsia="Segoe UI" w:cs="Segoe UI"/>
                <w:color w:val="1F1D1A"/>
                <w:sz w:val="18"/>
              </w:rPr>
              <w:t>265</w:t>
            </w:r>
          </w:p>
        </w:tc>
      </w:tr>
      <w:tr>
        <w:tc>
          <w:tcPr>
            <w:tcW w:type="dxa" w:w="3061"/>
          </w:tcPr>
          <w:p>
            <w:pPr>
              <w:spacing w:after="20" w:line="264" w:lineRule="auto"/>
            </w:pPr>
            <w:r/>
            <w:r>
              <w:rPr>
                <w:rFonts w:ascii="Segoe UI" w:hAnsi="Segoe UI" w:eastAsia="Segoe UI" w:cs="Segoe UI"/>
                <w:color w:val="1F1D1A"/>
                <w:sz w:val="18"/>
              </w:rPr>
              <w:t>2000</w:t>
            </w:r>
          </w:p>
        </w:tc>
        <w:tc>
          <w:tcPr>
            <w:tcW w:type="dxa" w:w="3061"/>
          </w:tcPr>
          <w:p>
            <w:pPr>
              <w:spacing w:after="20" w:line="264" w:lineRule="auto"/>
            </w:pPr>
            <w:r/>
            <w:r>
              <w:rPr>
                <w:rFonts w:ascii="Segoe UI" w:hAnsi="Segoe UI" w:eastAsia="Segoe UI" w:cs="Segoe UI"/>
                <w:color w:val="1F1D1A"/>
                <w:sz w:val="18"/>
              </w:rPr>
              <w:t>1,64</w:t>
            </w:r>
          </w:p>
        </w:tc>
        <w:tc>
          <w:tcPr>
            <w:tcW w:type="dxa" w:w="3061"/>
          </w:tcPr>
          <w:p>
            <w:pPr>
              <w:spacing w:after="20" w:line="264" w:lineRule="auto"/>
            </w:pPr>
            <w:r/>
            <w:r>
              <w:rPr>
                <w:rFonts w:ascii="Segoe UI" w:hAnsi="Segoe UI" w:eastAsia="Segoe UI" w:cs="Segoe UI"/>
                <w:color w:val="1F1D1A"/>
                <w:sz w:val="18"/>
              </w:rPr>
              <w:t>245</w:t>
            </w:r>
          </w:p>
        </w:tc>
      </w:tr>
      <w:tr>
        <w:tc>
          <w:tcPr>
            <w:tcW w:type="dxa" w:w="3061"/>
          </w:tcPr>
          <w:p>
            <w:pPr>
              <w:spacing w:after="20" w:line="264" w:lineRule="auto"/>
            </w:pPr>
            <w:r/>
            <w:r>
              <w:rPr>
                <w:rFonts w:ascii="Segoe UI" w:hAnsi="Segoe UI" w:eastAsia="Segoe UI" w:cs="Segoe UI"/>
                <w:color w:val="1F1D1A"/>
                <w:sz w:val="18"/>
              </w:rPr>
              <w:t>2001</w:t>
            </w:r>
          </w:p>
        </w:tc>
        <w:tc>
          <w:tcPr>
            <w:tcW w:type="dxa" w:w="3061"/>
          </w:tcPr>
          <w:p>
            <w:pPr>
              <w:spacing w:after="20" w:line="264" w:lineRule="auto"/>
            </w:pPr>
            <w:r/>
            <w:r>
              <w:rPr>
                <w:rFonts w:ascii="Segoe UI" w:hAnsi="Segoe UI" w:eastAsia="Segoe UI" w:cs="Segoe UI"/>
                <w:color w:val="1F1D1A"/>
                <w:sz w:val="18"/>
              </w:rPr>
              <w:t>1,71</w:t>
            </w:r>
          </w:p>
        </w:tc>
        <w:tc>
          <w:tcPr>
            <w:tcW w:type="dxa" w:w="3061"/>
          </w:tcPr>
          <w:p>
            <w:pPr>
              <w:spacing w:after="20" w:line="264" w:lineRule="auto"/>
            </w:pPr>
            <w:r/>
            <w:r>
              <w:rPr>
                <w:rFonts w:ascii="Segoe UI" w:hAnsi="Segoe UI" w:eastAsia="Segoe UI" w:cs="Segoe UI"/>
                <w:color w:val="1F1D1A"/>
                <w:sz w:val="18"/>
              </w:rPr>
              <w:t>234</w:t>
            </w:r>
          </w:p>
        </w:tc>
      </w:tr>
      <w:tr>
        <w:tc>
          <w:tcPr>
            <w:tcW w:type="dxa" w:w="3061"/>
          </w:tcPr>
          <w:p>
            <w:pPr>
              <w:spacing w:after="20" w:line="264" w:lineRule="auto"/>
            </w:pPr>
            <w:r/>
            <w:r>
              <w:rPr>
                <w:rFonts w:ascii="Segoe UI" w:hAnsi="Segoe UI" w:eastAsia="Segoe UI" w:cs="Segoe UI"/>
                <w:color w:val="1F1D1A"/>
                <w:sz w:val="18"/>
              </w:rPr>
              <w:t>2002</w:t>
            </w:r>
          </w:p>
        </w:tc>
        <w:tc>
          <w:tcPr>
            <w:tcW w:type="dxa" w:w="3061"/>
          </w:tcPr>
          <w:p>
            <w:pPr>
              <w:spacing w:after="20" w:line="264" w:lineRule="auto"/>
            </w:pPr>
            <w:r/>
            <w:r>
              <w:rPr>
                <w:rFonts w:ascii="Segoe UI" w:hAnsi="Segoe UI" w:eastAsia="Segoe UI" w:cs="Segoe UI"/>
                <w:color w:val="1F1D1A"/>
                <w:sz w:val="18"/>
              </w:rPr>
              <w:t>1,82</w:t>
            </w:r>
          </w:p>
        </w:tc>
        <w:tc>
          <w:tcPr>
            <w:tcW w:type="dxa" w:w="3061"/>
          </w:tcPr>
          <w:p>
            <w:pPr>
              <w:spacing w:after="20" w:line="264" w:lineRule="auto"/>
            </w:pPr>
            <w:r/>
            <w:r>
              <w:rPr>
                <w:rFonts w:ascii="Segoe UI" w:hAnsi="Segoe UI" w:eastAsia="Segoe UI" w:cs="Segoe UI"/>
                <w:color w:val="1F1D1A"/>
                <w:sz w:val="18"/>
              </w:rPr>
              <w:t>219</w:t>
            </w:r>
          </w:p>
        </w:tc>
      </w:tr>
      <w:tr>
        <w:tc>
          <w:tcPr>
            <w:tcW w:type="dxa" w:w="3061"/>
          </w:tcPr>
          <w:p>
            <w:pPr>
              <w:spacing w:after="20" w:line="264" w:lineRule="auto"/>
            </w:pPr>
            <w:r/>
            <w:r>
              <w:rPr>
                <w:rFonts w:ascii="Segoe UI" w:hAnsi="Segoe UI" w:eastAsia="Segoe UI" w:cs="Segoe UI"/>
                <w:color w:val="1F1D1A"/>
                <w:sz w:val="18"/>
              </w:rPr>
              <w:t>2003</w:t>
            </w:r>
          </w:p>
        </w:tc>
        <w:tc>
          <w:tcPr>
            <w:tcW w:type="dxa" w:w="3061"/>
          </w:tcPr>
          <w:p>
            <w:pPr>
              <w:spacing w:after="20" w:line="264" w:lineRule="auto"/>
            </w:pPr>
            <w:r/>
            <w:r>
              <w:rPr>
                <w:rFonts w:ascii="Segoe UI" w:hAnsi="Segoe UI" w:eastAsia="Segoe UI" w:cs="Segoe UI"/>
                <w:color w:val="1F1D1A"/>
                <w:sz w:val="18"/>
              </w:rPr>
              <w:t>1,85</w:t>
            </w:r>
          </w:p>
        </w:tc>
        <w:tc>
          <w:tcPr>
            <w:tcW w:type="dxa" w:w="3061"/>
          </w:tcPr>
          <w:p>
            <w:pPr>
              <w:spacing w:after="20" w:line="264" w:lineRule="auto"/>
            </w:pPr>
            <w:r/>
            <w:r>
              <w:rPr>
                <w:rFonts w:ascii="Segoe UI" w:hAnsi="Segoe UI" w:eastAsia="Segoe UI" w:cs="Segoe UI"/>
                <w:color w:val="1F1D1A"/>
                <w:sz w:val="18"/>
              </w:rPr>
              <w:t>216</w:t>
            </w:r>
          </w:p>
        </w:tc>
      </w:tr>
      <w:tr>
        <w:tc>
          <w:tcPr>
            <w:tcW w:type="dxa" w:w="3061"/>
          </w:tcPr>
          <w:p>
            <w:pPr>
              <w:spacing w:after="20" w:line="264" w:lineRule="auto"/>
            </w:pPr>
            <w:r/>
            <w:r>
              <w:rPr>
                <w:rFonts w:ascii="Segoe UI" w:hAnsi="Segoe UI" w:eastAsia="Segoe UI" w:cs="Segoe UI"/>
                <w:color w:val="1F1D1A"/>
                <w:sz w:val="18"/>
              </w:rPr>
              <w:t>2004</w:t>
            </w:r>
          </w:p>
        </w:tc>
        <w:tc>
          <w:tcPr>
            <w:tcW w:type="dxa" w:w="3061"/>
          </w:tcPr>
          <w:p>
            <w:pPr>
              <w:spacing w:after="20" w:line="264" w:lineRule="auto"/>
            </w:pPr>
            <w:r/>
            <w:r>
              <w:rPr>
                <w:rFonts w:ascii="Segoe UI" w:hAnsi="Segoe UI" w:eastAsia="Segoe UI" w:cs="Segoe UI"/>
                <w:color w:val="1F1D1A"/>
                <w:sz w:val="18"/>
              </w:rPr>
              <w:t>1,98</w:t>
            </w:r>
          </w:p>
        </w:tc>
        <w:tc>
          <w:tcPr>
            <w:tcW w:type="dxa" w:w="3061"/>
          </w:tcPr>
          <w:p>
            <w:pPr>
              <w:spacing w:after="20" w:line="264" w:lineRule="auto"/>
            </w:pPr>
            <w:r/>
            <w:r>
              <w:rPr>
                <w:rFonts w:ascii="Segoe UI" w:hAnsi="Segoe UI" w:eastAsia="Segoe UI" w:cs="Segoe UI"/>
                <w:color w:val="1F1D1A"/>
                <w:sz w:val="18"/>
              </w:rPr>
              <w:t>202</w:t>
            </w:r>
          </w:p>
        </w:tc>
      </w:tr>
      <w:tr>
        <w:tc>
          <w:tcPr>
            <w:tcW w:type="dxa" w:w="3061"/>
          </w:tcPr>
          <w:p>
            <w:pPr>
              <w:spacing w:after="20" w:line="264" w:lineRule="auto"/>
            </w:pPr>
            <w:r/>
            <w:r>
              <w:rPr>
                <w:rFonts w:ascii="Segoe UI" w:hAnsi="Segoe UI" w:eastAsia="Segoe UI" w:cs="Segoe UI"/>
                <w:color w:val="1F1D1A"/>
                <w:sz w:val="18"/>
              </w:rPr>
              <w:t>2005</w:t>
            </w:r>
          </w:p>
        </w:tc>
        <w:tc>
          <w:tcPr>
            <w:tcW w:type="dxa" w:w="3061"/>
          </w:tcPr>
          <w:p>
            <w:pPr>
              <w:spacing w:after="20" w:line="264" w:lineRule="auto"/>
            </w:pPr>
            <w:r/>
            <w:r>
              <w:rPr>
                <w:rFonts w:ascii="Segoe UI" w:hAnsi="Segoe UI" w:eastAsia="Segoe UI" w:cs="Segoe UI"/>
                <w:color w:val="1F1D1A"/>
                <w:sz w:val="18"/>
              </w:rPr>
              <w:t>2,01</w:t>
            </w:r>
          </w:p>
        </w:tc>
        <w:tc>
          <w:tcPr>
            <w:tcW w:type="dxa" w:w="3061"/>
          </w:tcPr>
          <w:p>
            <w:pPr>
              <w:spacing w:after="20" w:line="264" w:lineRule="auto"/>
            </w:pPr>
            <w:r/>
            <w:r>
              <w:rPr>
                <w:rFonts w:ascii="Segoe UI" w:hAnsi="Segoe UI" w:eastAsia="Segoe UI" w:cs="Segoe UI"/>
                <w:color w:val="1F1D1A"/>
                <w:sz w:val="18"/>
              </w:rPr>
              <w:t>199</w:t>
            </w:r>
          </w:p>
        </w:tc>
      </w:tr>
      <w:tr>
        <w:tc>
          <w:tcPr>
            <w:tcW w:type="dxa" w:w="3061"/>
          </w:tcPr>
          <w:p>
            <w:pPr>
              <w:spacing w:after="20" w:line="264" w:lineRule="auto"/>
            </w:pPr>
            <w:r/>
            <w:r>
              <w:rPr>
                <w:rFonts w:ascii="Segoe UI" w:hAnsi="Segoe UI" w:eastAsia="Segoe UI" w:cs="Segoe UI"/>
                <w:color w:val="1F1D1A"/>
                <w:sz w:val="18"/>
              </w:rPr>
              <w:t>2006</w:t>
            </w:r>
          </w:p>
        </w:tc>
        <w:tc>
          <w:tcPr>
            <w:tcW w:type="dxa" w:w="3061"/>
          </w:tcPr>
          <w:p>
            <w:pPr>
              <w:spacing w:after="20" w:line="264" w:lineRule="auto"/>
            </w:pPr>
            <w:r/>
            <w:r>
              <w:rPr>
                <w:rFonts w:ascii="Segoe UI" w:hAnsi="Segoe UI" w:eastAsia="Segoe UI" w:cs="Segoe UI"/>
                <w:color w:val="1F1D1A"/>
                <w:sz w:val="18"/>
              </w:rPr>
              <w:t>2,09</w:t>
            </w:r>
          </w:p>
        </w:tc>
        <w:tc>
          <w:tcPr>
            <w:tcW w:type="dxa" w:w="3061"/>
          </w:tcPr>
          <w:p>
            <w:pPr>
              <w:spacing w:after="20" w:line="264" w:lineRule="auto"/>
            </w:pPr>
            <w:r/>
            <w:r>
              <w:rPr>
                <w:rFonts w:ascii="Segoe UI" w:hAnsi="Segoe UI" w:eastAsia="Segoe UI" w:cs="Segoe UI"/>
                <w:color w:val="1F1D1A"/>
                <w:sz w:val="18"/>
              </w:rPr>
              <w:t>191</w:t>
            </w:r>
          </w:p>
        </w:tc>
      </w:tr>
      <w:tr>
        <w:tc>
          <w:tcPr>
            <w:tcW w:type="dxa" w:w="3061"/>
          </w:tcPr>
          <w:p>
            <w:pPr>
              <w:spacing w:after="20" w:line="264" w:lineRule="auto"/>
            </w:pPr>
            <w:r/>
            <w:r>
              <w:rPr>
                <w:rFonts w:ascii="Segoe UI" w:hAnsi="Segoe UI" w:eastAsia="Segoe UI" w:cs="Segoe UI"/>
                <w:color w:val="1F1D1A"/>
                <w:sz w:val="18"/>
              </w:rPr>
              <w:t>2007</w:t>
            </w:r>
          </w:p>
        </w:tc>
        <w:tc>
          <w:tcPr>
            <w:tcW w:type="dxa" w:w="3061"/>
          </w:tcPr>
          <w:p>
            <w:pPr>
              <w:spacing w:after="20" w:line="264" w:lineRule="auto"/>
            </w:pPr>
            <w:r/>
            <w:r>
              <w:rPr>
                <w:rFonts w:ascii="Segoe UI" w:hAnsi="Segoe UI" w:eastAsia="Segoe UI" w:cs="Segoe UI"/>
                <w:color w:val="1F1D1A"/>
                <w:sz w:val="18"/>
              </w:rPr>
              <w:t>2,16</w:t>
            </w:r>
          </w:p>
        </w:tc>
        <w:tc>
          <w:tcPr>
            <w:tcW w:type="dxa" w:w="3061"/>
          </w:tcPr>
          <w:p>
            <w:pPr>
              <w:spacing w:after="20" w:line="264" w:lineRule="auto"/>
            </w:pPr>
            <w:r/>
            <w:r>
              <w:rPr>
                <w:rFonts w:ascii="Segoe UI" w:hAnsi="Segoe UI" w:eastAsia="Segoe UI" w:cs="Segoe UI"/>
                <w:color w:val="1F1D1A"/>
                <w:sz w:val="18"/>
              </w:rPr>
              <w:t>186</w:t>
            </w:r>
          </w:p>
        </w:tc>
      </w:tr>
      <w:tr>
        <w:tc>
          <w:tcPr>
            <w:tcW w:type="dxa" w:w="3061"/>
          </w:tcPr>
          <w:p>
            <w:pPr>
              <w:spacing w:after="20" w:line="264" w:lineRule="auto"/>
            </w:pPr>
            <w:r/>
            <w:r>
              <w:rPr>
                <w:rFonts w:ascii="Segoe UI" w:hAnsi="Segoe UI" w:eastAsia="Segoe UI" w:cs="Segoe UI"/>
                <w:color w:val="1F1D1A"/>
                <w:sz w:val="18"/>
              </w:rPr>
              <w:t>2008</w:t>
            </w:r>
          </w:p>
        </w:tc>
        <w:tc>
          <w:tcPr>
            <w:tcW w:type="dxa" w:w="3061"/>
          </w:tcPr>
          <w:p>
            <w:pPr>
              <w:spacing w:after="20" w:line="264" w:lineRule="auto"/>
            </w:pPr>
            <w:r/>
            <w:r>
              <w:rPr>
                <w:rFonts w:ascii="Segoe UI" w:hAnsi="Segoe UI" w:eastAsia="Segoe UI" w:cs="Segoe UI"/>
                <w:color w:val="1F1D1A"/>
                <w:sz w:val="18"/>
              </w:rPr>
              <w:t>2,34</w:t>
            </w:r>
          </w:p>
        </w:tc>
        <w:tc>
          <w:tcPr>
            <w:tcW w:type="dxa" w:w="3061"/>
          </w:tcPr>
          <w:p>
            <w:pPr>
              <w:spacing w:after="20" w:line="264" w:lineRule="auto"/>
            </w:pPr>
            <w:r/>
            <w:r>
              <w:rPr>
                <w:rFonts w:ascii="Segoe UI" w:hAnsi="Segoe UI" w:eastAsia="Segoe UI" w:cs="Segoe UI"/>
                <w:color w:val="1F1D1A"/>
                <w:sz w:val="18"/>
              </w:rPr>
              <w:t>171</w:t>
            </w:r>
          </w:p>
        </w:tc>
      </w:tr>
      <w:tr>
        <w:tc>
          <w:tcPr>
            <w:tcW w:type="dxa" w:w="3061"/>
          </w:tcPr>
          <w:p>
            <w:pPr>
              <w:spacing w:after="20" w:line="264" w:lineRule="auto"/>
            </w:pPr>
            <w:r/>
            <w:r>
              <w:rPr>
                <w:rFonts w:ascii="Segoe UI" w:hAnsi="Segoe UI" w:eastAsia="Segoe UI" w:cs="Segoe UI"/>
                <w:color w:val="1F1D1A"/>
                <w:sz w:val="18"/>
              </w:rPr>
              <w:t>2009</w:t>
            </w:r>
          </w:p>
        </w:tc>
        <w:tc>
          <w:tcPr>
            <w:tcW w:type="dxa" w:w="3061"/>
          </w:tcPr>
          <w:p>
            <w:pPr>
              <w:spacing w:after="20" w:line="264" w:lineRule="auto"/>
            </w:pPr>
            <w:r/>
            <w:r>
              <w:rPr>
                <w:rFonts w:ascii="Segoe UI" w:hAnsi="Segoe UI" w:eastAsia="Segoe UI" w:cs="Segoe UI"/>
                <w:color w:val="1F1D1A"/>
                <w:sz w:val="18"/>
              </w:rPr>
              <w:t>2,40</w:t>
            </w:r>
          </w:p>
        </w:tc>
        <w:tc>
          <w:tcPr>
            <w:tcW w:type="dxa" w:w="3061"/>
          </w:tcPr>
          <w:p>
            <w:pPr>
              <w:spacing w:after="20" w:line="264" w:lineRule="auto"/>
            </w:pPr>
            <w:r/>
            <w:r>
              <w:rPr>
                <w:rFonts w:ascii="Segoe UI" w:hAnsi="Segoe UI" w:eastAsia="Segoe UI" w:cs="Segoe UI"/>
                <w:color w:val="1F1D1A"/>
                <w:sz w:val="18"/>
              </w:rPr>
              <w:t>167</w:t>
            </w:r>
          </w:p>
        </w:tc>
      </w:tr>
      <w:tr>
        <w:tc>
          <w:tcPr>
            <w:tcW w:type="dxa" w:w="3061"/>
          </w:tcPr>
          <w:p>
            <w:pPr>
              <w:spacing w:after="20" w:line="264" w:lineRule="auto"/>
            </w:pPr>
            <w:r/>
            <w:r>
              <w:rPr>
                <w:rFonts w:ascii="Segoe UI" w:hAnsi="Segoe UI" w:eastAsia="Segoe UI" w:cs="Segoe UI"/>
                <w:color w:val="1F1D1A"/>
                <w:sz w:val="18"/>
              </w:rPr>
              <w:t>2010</w:t>
            </w:r>
          </w:p>
        </w:tc>
        <w:tc>
          <w:tcPr>
            <w:tcW w:type="dxa" w:w="3061"/>
          </w:tcPr>
          <w:p>
            <w:pPr>
              <w:spacing w:after="20" w:line="264" w:lineRule="auto"/>
            </w:pPr>
            <w:r/>
            <w:r>
              <w:rPr>
                <w:rFonts w:ascii="Segoe UI" w:hAnsi="Segoe UI" w:eastAsia="Segoe UI" w:cs="Segoe UI"/>
                <w:color w:val="1F1D1A"/>
                <w:sz w:val="18"/>
              </w:rPr>
              <w:t>2,34</w:t>
            </w:r>
          </w:p>
        </w:tc>
        <w:tc>
          <w:tcPr>
            <w:tcW w:type="dxa" w:w="3061"/>
          </w:tcPr>
          <w:p>
            <w:pPr>
              <w:spacing w:after="20" w:line="264" w:lineRule="auto"/>
            </w:pPr>
            <w:r/>
            <w:r>
              <w:rPr>
                <w:rFonts w:ascii="Segoe UI" w:hAnsi="Segoe UI" w:eastAsia="Segoe UI" w:cs="Segoe UI"/>
                <w:color w:val="1F1D1A"/>
                <w:sz w:val="18"/>
              </w:rPr>
              <w:t>171</w:t>
            </w:r>
          </w:p>
        </w:tc>
      </w:tr>
      <w:tr>
        <w:tc>
          <w:tcPr>
            <w:tcW w:type="dxa" w:w="3061"/>
          </w:tcPr>
          <w:p>
            <w:pPr>
              <w:spacing w:after="20" w:line="264" w:lineRule="auto"/>
            </w:pPr>
            <w:r/>
            <w:r>
              <w:rPr>
                <w:rFonts w:ascii="Segoe UI" w:hAnsi="Segoe UI" w:eastAsia="Segoe UI" w:cs="Segoe UI"/>
                <w:color w:val="1F1D1A"/>
                <w:sz w:val="18"/>
              </w:rPr>
              <w:t>2011</w:t>
            </w:r>
          </w:p>
        </w:tc>
        <w:tc>
          <w:tcPr>
            <w:tcW w:type="dxa" w:w="3061"/>
          </w:tcPr>
          <w:p>
            <w:pPr>
              <w:spacing w:after="20" w:line="264" w:lineRule="auto"/>
            </w:pPr>
            <w:r/>
            <w:r>
              <w:rPr>
                <w:rFonts w:ascii="Segoe UI" w:hAnsi="Segoe UI" w:eastAsia="Segoe UI" w:cs="Segoe UI"/>
                <w:color w:val="1F1D1A"/>
                <w:sz w:val="18"/>
              </w:rPr>
              <w:t>2,40</w:t>
            </w:r>
          </w:p>
        </w:tc>
        <w:tc>
          <w:tcPr>
            <w:tcW w:type="dxa" w:w="3061"/>
          </w:tcPr>
          <w:p>
            <w:pPr>
              <w:spacing w:after="20" w:line="264" w:lineRule="auto"/>
            </w:pPr>
            <w:r/>
            <w:r>
              <w:rPr>
                <w:rFonts w:ascii="Segoe UI" w:hAnsi="Segoe UI" w:eastAsia="Segoe UI" w:cs="Segoe UI"/>
                <w:color w:val="1F1D1A"/>
                <w:sz w:val="18"/>
              </w:rPr>
              <w:t>167</w:t>
            </w:r>
          </w:p>
        </w:tc>
      </w:tr>
      <w:tr>
        <w:tc>
          <w:tcPr>
            <w:tcW w:type="dxa" w:w="3061"/>
          </w:tcPr>
          <w:p>
            <w:pPr>
              <w:spacing w:after="20" w:line="264" w:lineRule="auto"/>
            </w:pPr>
            <w:r/>
            <w:r>
              <w:rPr>
                <w:rFonts w:ascii="Segoe UI" w:hAnsi="Segoe UI" w:eastAsia="Segoe UI" w:cs="Segoe UI"/>
                <w:color w:val="1F1D1A"/>
                <w:sz w:val="18"/>
              </w:rPr>
              <w:t>2012</w:t>
            </w:r>
          </w:p>
        </w:tc>
        <w:tc>
          <w:tcPr>
            <w:tcW w:type="dxa" w:w="3061"/>
          </w:tcPr>
          <w:p>
            <w:pPr>
              <w:spacing w:after="20" w:line="264" w:lineRule="auto"/>
            </w:pPr>
            <w:r/>
            <w:r>
              <w:rPr>
                <w:rFonts w:ascii="Segoe UI" w:hAnsi="Segoe UI" w:eastAsia="Segoe UI" w:cs="Segoe UI"/>
                <w:color w:val="1F1D1A"/>
                <w:sz w:val="18"/>
              </w:rPr>
              <w:t>2,35</w:t>
            </w:r>
          </w:p>
        </w:tc>
        <w:tc>
          <w:tcPr>
            <w:tcW w:type="dxa" w:w="3061"/>
          </w:tcPr>
          <w:p>
            <w:pPr>
              <w:spacing w:after="20" w:line="264" w:lineRule="auto"/>
            </w:pPr>
            <w:r/>
            <w:r>
              <w:rPr>
                <w:rFonts w:ascii="Segoe UI" w:hAnsi="Segoe UI" w:eastAsia="Segoe UI" w:cs="Segoe UI"/>
                <w:color w:val="1F1D1A"/>
                <w:sz w:val="18"/>
              </w:rPr>
              <w:t>170</w:t>
            </w:r>
          </w:p>
        </w:tc>
      </w:tr>
      <w:tr>
        <w:tc>
          <w:tcPr>
            <w:tcW w:type="dxa" w:w="3061"/>
          </w:tcPr>
          <w:p>
            <w:pPr>
              <w:spacing w:after="20" w:line="264" w:lineRule="auto"/>
            </w:pPr>
            <w:r/>
            <w:r>
              <w:rPr>
                <w:rFonts w:ascii="Segoe UI" w:hAnsi="Segoe UI" w:eastAsia="Segoe UI" w:cs="Segoe UI"/>
                <w:color w:val="1F1D1A"/>
                <w:sz w:val="18"/>
              </w:rPr>
              <w:t>2013</w:t>
            </w:r>
          </w:p>
        </w:tc>
        <w:tc>
          <w:tcPr>
            <w:tcW w:type="dxa" w:w="3061"/>
          </w:tcPr>
          <w:p>
            <w:pPr>
              <w:spacing w:after="20" w:line="264" w:lineRule="auto"/>
            </w:pPr>
            <w:r/>
            <w:r>
              <w:rPr>
                <w:rFonts w:ascii="Segoe UI" w:hAnsi="Segoe UI" w:eastAsia="Segoe UI" w:cs="Segoe UI"/>
                <w:color w:val="1F1D1A"/>
                <w:sz w:val="18"/>
              </w:rPr>
              <w:t>2,33</w:t>
            </w:r>
          </w:p>
        </w:tc>
        <w:tc>
          <w:tcPr>
            <w:tcW w:type="dxa" w:w="3061"/>
          </w:tcPr>
          <w:p>
            <w:pPr>
              <w:spacing w:after="20" w:line="264" w:lineRule="auto"/>
            </w:pPr>
            <w:r/>
            <w:r>
              <w:rPr>
                <w:rFonts w:ascii="Segoe UI" w:hAnsi="Segoe UI" w:eastAsia="Segoe UI" w:cs="Segoe UI"/>
                <w:color w:val="1F1D1A"/>
                <w:sz w:val="18"/>
              </w:rPr>
              <w:t>172</w:t>
            </w:r>
          </w:p>
        </w:tc>
      </w:tr>
      <w:tr>
        <w:tc>
          <w:tcPr>
            <w:tcW w:type="dxa" w:w="3061"/>
          </w:tcPr>
          <w:p>
            <w:pPr>
              <w:spacing w:after="20" w:line="264" w:lineRule="auto"/>
            </w:pPr>
            <w:r/>
            <w:r>
              <w:rPr>
                <w:rFonts w:ascii="Segoe UI" w:hAnsi="Segoe UI" w:eastAsia="Segoe UI" w:cs="Segoe UI"/>
                <w:color w:val="1F1D1A"/>
                <w:sz w:val="18"/>
              </w:rPr>
              <w:t>2014</w:t>
            </w:r>
          </w:p>
        </w:tc>
        <w:tc>
          <w:tcPr>
            <w:tcW w:type="dxa" w:w="3061"/>
          </w:tcPr>
          <w:p>
            <w:pPr>
              <w:spacing w:after="20" w:line="264" w:lineRule="auto"/>
            </w:pPr>
            <w:r/>
            <w:r>
              <w:rPr>
                <w:rFonts w:ascii="Segoe UI" w:hAnsi="Segoe UI" w:eastAsia="Segoe UI" w:cs="Segoe UI"/>
                <w:color w:val="1F1D1A"/>
                <w:sz w:val="18"/>
              </w:rPr>
              <w:t>2,37</w:t>
            </w:r>
          </w:p>
        </w:tc>
        <w:tc>
          <w:tcPr>
            <w:tcW w:type="dxa" w:w="3061"/>
          </w:tcPr>
          <w:p>
            <w:pPr>
              <w:spacing w:after="20" w:line="264" w:lineRule="auto"/>
            </w:pPr>
            <w:r/>
            <w:r>
              <w:rPr>
                <w:rFonts w:ascii="Segoe UI" w:hAnsi="Segoe UI" w:eastAsia="Segoe UI" w:cs="Segoe UI"/>
                <w:color w:val="1F1D1A"/>
                <w:sz w:val="18"/>
              </w:rPr>
              <w:t>169</w:t>
            </w:r>
          </w:p>
        </w:tc>
      </w:tr>
      <w:tr>
        <w:tc>
          <w:tcPr>
            <w:tcW w:type="dxa" w:w="3061"/>
          </w:tcPr>
          <w:p>
            <w:pPr>
              <w:spacing w:after="20" w:line="264" w:lineRule="auto"/>
            </w:pPr>
            <w:r/>
            <w:r>
              <w:rPr>
                <w:rFonts w:ascii="Segoe UI" w:hAnsi="Segoe UI" w:eastAsia="Segoe UI" w:cs="Segoe UI"/>
                <w:color w:val="1F1D1A"/>
                <w:sz w:val="18"/>
              </w:rPr>
              <w:t>2015</w:t>
            </w:r>
          </w:p>
        </w:tc>
        <w:tc>
          <w:tcPr>
            <w:tcW w:type="dxa" w:w="3061"/>
          </w:tcPr>
          <w:p>
            <w:pPr>
              <w:spacing w:after="20" w:line="264" w:lineRule="auto"/>
            </w:pPr>
            <w:r/>
            <w:r>
              <w:rPr>
                <w:rFonts w:ascii="Segoe UI" w:hAnsi="Segoe UI" w:eastAsia="Segoe UI" w:cs="Segoe UI"/>
                <w:color w:val="1F1D1A"/>
                <w:sz w:val="18"/>
              </w:rPr>
              <w:t>2,41</w:t>
            </w:r>
          </w:p>
        </w:tc>
        <w:tc>
          <w:tcPr>
            <w:tcW w:type="dxa" w:w="3061"/>
          </w:tcPr>
          <w:p>
            <w:pPr>
              <w:spacing w:after="20" w:line="264" w:lineRule="auto"/>
            </w:pPr>
            <w:r/>
            <w:r>
              <w:rPr>
                <w:rFonts w:ascii="Segoe UI" w:hAnsi="Segoe UI" w:eastAsia="Segoe UI" w:cs="Segoe UI"/>
                <w:color w:val="1F1D1A"/>
                <w:sz w:val="18"/>
              </w:rPr>
              <w:t>166</w:t>
            </w:r>
          </w:p>
        </w:tc>
      </w:tr>
      <w:tr>
        <w:tc>
          <w:tcPr>
            <w:tcW w:type="dxa" w:w="3061"/>
          </w:tcPr>
          <w:p>
            <w:pPr>
              <w:spacing w:after="20" w:line="264" w:lineRule="auto"/>
            </w:pPr>
            <w:r/>
            <w:r>
              <w:rPr>
                <w:rFonts w:ascii="Segoe UI" w:hAnsi="Segoe UI" w:eastAsia="Segoe UI" w:cs="Segoe UI"/>
                <w:color w:val="1F1D1A"/>
                <w:sz w:val="18"/>
              </w:rPr>
              <w:t>2016</w:t>
            </w:r>
          </w:p>
        </w:tc>
        <w:tc>
          <w:tcPr>
            <w:tcW w:type="dxa" w:w="3061"/>
          </w:tcPr>
          <w:p>
            <w:pPr>
              <w:spacing w:after="20" w:line="264" w:lineRule="auto"/>
            </w:pPr>
            <w:r/>
            <w:r>
              <w:rPr>
                <w:rFonts w:ascii="Segoe UI" w:hAnsi="Segoe UI" w:eastAsia="Segoe UI" w:cs="Segoe UI"/>
                <w:color w:val="1F1D1A"/>
                <w:sz w:val="18"/>
              </w:rPr>
              <w:t>2,42</w:t>
            </w:r>
          </w:p>
        </w:tc>
        <w:tc>
          <w:tcPr>
            <w:tcW w:type="dxa" w:w="3061"/>
          </w:tcPr>
          <w:p>
            <w:pPr>
              <w:spacing w:after="20" w:line="264" w:lineRule="auto"/>
            </w:pPr>
            <w:r/>
            <w:r>
              <w:rPr>
                <w:rFonts w:ascii="Segoe UI" w:hAnsi="Segoe UI" w:eastAsia="Segoe UI" w:cs="Segoe UI"/>
                <w:color w:val="1F1D1A"/>
                <w:sz w:val="18"/>
              </w:rPr>
              <w:t>165</w:t>
            </w:r>
          </w:p>
        </w:tc>
      </w:tr>
      <w:tr>
        <w:tc>
          <w:tcPr>
            <w:tcW w:type="dxa" w:w="3061"/>
          </w:tcPr>
          <w:p>
            <w:pPr>
              <w:spacing w:after="20" w:line="264" w:lineRule="auto"/>
            </w:pPr>
            <w:r/>
            <w:r>
              <w:rPr>
                <w:rFonts w:ascii="Segoe UI" w:hAnsi="Segoe UI" w:eastAsia="Segoe UI" w:cs="Segoe UI"/>
                <w:color w:val="1F1D1A"/>
                <w:sz w:val="18"/>
              </w:rPr>
              <w:t>2017</w:t>
            </w:r>
          </w:p>
        </w:tc>
        <w:tc>
          <w:tcPr>
            <w:tcW w:type="dxa" w:w="3061"/>
          </w:tcPr>
          <w:p>
            <w:pPr>
              <w:spacing w:after="20" w:line="264" w:lineRule="auto"/>
            </w:pPr>
            <w:r/>
            <w:r>
              <w:rPr>
                <w:rFonts w:ascii="Segoe UI" w:hAnsi="Segoe UI" w:eastAsia="Segoe UI" w:cs="Segoe UI"/>
                <w:color w:val="1F1D1A"/>
                <w:sz w:val="18"/>
              </w:rPr>
              <w:t>2,40</w:t>
            </w:r>
          </w:p>
        </w:tc>
        <w:tc>
          <w:tcPr>
            <w:tcW w:type="dxa" w:w="3061"/>
          </w:tcPr>
          <w:p>
            <w:pPr>
              <w:spacing w:after="20" w:line="264" w:lineRule="auto"/>
            </w:pPr>
            <w:r/>
            <w:r>
              <w:rPr>
                <w:rFonts w:ascii="Segoe UI" w:hAnsi="Segoe UI" w:eastAsia="Segoe UI" w:cs="Segoe UI"/>
                <w:color w:val="1F1D1A"/>
                <w:sz w:val="18"/>
              </w:rPr>
              <w:t>167</w:t>
            </w:r>
          </w:p>
        </w:tc>
      </w:tr>
      <w:tr>
        <w:tc>
          <w:tcPr>
            <w:tcW w:type="dxa" w:w="3061"/>
          </w:tcPr>
          <w:p>
            <w:pPr>
              <w:spacing w:after="20" w:line="264" w:lineRule="auto"/>
            </w:pPr>
            <w:r/>
            <w:r>
              <w:rPr>
                <w:rFonts w:ascii="Segoe UI" w:hAnsi="Segoe UI" w:eastAsia="Segoe UI" w:cs="Segoe UI"/>
                <w:color w:val="1F1D1A"/>
                <w:sz w:val="18"/>
              </w:rPr>
              <w:t>2018</w:t>
            </w:r>
          </w:p>
        </w:tc>
        <w:tc>
          <w:tcPr>
            <w:tcW w:type="dxa" w:w="3061"/>
          </w:tcPr>
          <w:p>
            <w:pPr>
              <w:spacing w:after="20" w:line="264" w:lineRule="auto"/>
            </w:pPr>
            <w:r/>
            <w:r>
              <w:rPr>
                <w:rFonts w:ascii="Segoe UI" w:hAnsi="Segoe UI" w:eastAsia="Segoe UI" w:cs="Segoe UI"/>
                <w:color w:val="1F1D1A"/>
                <w:sz w:val="18"/>
              </w:rPr>
              <w:t>2,40</w:t>
            </w:r>
          </w:p>
        </w:tc>
        <w:tc>
          <w:tcPr>
            <w:tcW w:type="dxa" w:w="3061"/>
          </w:tcPr>
          <w:p>
            <w:pPr>
              <w:spacing w:after="20" w:line="264" w:lineRule="auto"/>
            </w:pPr>
            <w:r/>
            <w:r>
              <w:rPr>
                <w:rFonts w:ascii="Segoe UI" w:hAnsi="Segoe UI" w:eastAsia="Segoe UI" w:cs="Segoe UI"/>
                <w:color w:val="1F1D1A"/>
                <w:sz w:val="18"/>
              </w:rPr>
              <w:t>167</w:t>
            </w:r>
          </w:p>
        </w:tc>
      </w:tr>
      <w:tr>
        <w:tc>
          <w:tcPr>
            <w:tcW w:type="dxa" w:w="3061"/>
          </w:tcPr>
          <w:p>
            <w:pPr>
              <w:spacing w:after="20" w:line="264" w:lineRule="auto"/>
            </w:pPr>
            <w:r/>
            <w:r>
              <w:rPr>
                <w:rFonts w:ascii="Segoe UI" w:hAnsi="Segoe UI" w:eastAsia="Segoe UI" w:cs="Segoe UI"/>
                <w:color w:val="1F1D1A"/>
                <w:sz w:val="18"/>
              </w:rPr>
              <w:t>2019</w:t>
            </w:r>
          </w:p>
        </w:tc>
        <w:tc>
          <w:tcPr>
            <w:tcW w:type="dxa" w:w="3061"/>
          </w:tcPr>
          <w:p>
            <w:pPr>
              <w:spacing w:after="20" w:line="264" w:lineRule="auto"/>
            </w:pPr>
            <w:r/>
            <w:r>
              <w:rPr>
                <w:rFonts w:ascii="Segoe UI" w:hAnsi="Segoe UI" w:eastAsia="Segoe UI" w:cs="Segoe UI"/>
                <w:color w:val="1F1D1A"/>
                <w:sz w:val="18"/>
              </w:rPr>
              <w:t>2,43</w:t>
            </w:r>
          </w:p>
        </w:tc>
        <w:tc>
          <w:tcPr>
            <w:tcW w:type="dxa" w:w="3061"/>
          </w:tcPr>
          <w:p>
            <w:pPr>
              <w:spacing w:after="20" w:line="264" w:lineRule="auto"/>
            </w:pPr>
            <w:r/>
            <w:r>
              <w:rPr>
                <w:rFonts w:ascii="Segoe UI" w:hAnsi="Segoe UI" w:eastAsia="Segoe UI" w:cs="Segoe UI"/>
                <w:color w:val="1F1D1A"/>
                <w:sz w:val="18"/>
              </w:rPr>
              <w:t>164</w:t>
            </w:r>
          </w:p>
        </w:tc>
      </w:tr>
      <w:tr>
        <w:tc>
          <w:tcPr>
            <w:tcW w:type="dxa" w:w="3061"/>
          </w:tcPr>
          <w:p>
            <w:pPr>
              <w:spacing w:after="20" w:line="264" w:lineRule="auto"/>
            </w:pPr>
            <w:r/>
            <w:r>
              <w:rPr>
                <w:rFonts w:ascii="Segoe UI" w:hAnsi="Segoe UI" w:eastAsia="Segoe UI" w:cs="Segoe UI"/>
                <w:color w:val="1F1D1A"/>
                <w:sz w:val="18"/>
              </w:rPr>
              <w:t>2020</w:t>
            </w:r>
          </w:p>
        </w:tc>
        <w:tc>
          <w:tcPr>
            <w:tcW w:type="dxa" w:w="3061"/>
          </w:tcPr>
          <w:p>
            <w:pPr>
              <w:spacing w:after="20" w:line="264" w:lineRule="auto"/>
            </w:pPr>
            <w:r/>
            <w:r>
              <w:rPr>
                <w:rFonts w:ascii="Segoe UI" w:hAnsi="Segoe UI" w:eastAsia="Segoe UI" w:cs="Segoe UI"/>
                <w:color w:val="1F1D1A"/>
                <w:sz w:val="18"/>
              </w:rPr>
              <w:t>2,38</w:t>
            </w:r>
          </w:p>
        </w:tc>
        <w:tc>
          <w:tcPr>
            <w:tcW w:type="dxa" w:w="3061"/>
          </w:tcPr>
          <w:p>
            <w:pPr>
              <w:spacing w:after="20" w:line="264" w:lineRule="auto"/>
            </w:pPr>
            <w:r/>
            <w:r>
              <w:rPr>
                <w:rFonts w:ascii="Segoe UI" w:hAnsi="Segoe UI" w:eastAsia="Segoe UI" w:cs="Segoe UI"/>
                <w:color w:val="1F1D1A"/>
                <w:sz w:val="18"/>
              </w:rPr>
              <w:t>168</w:t>
            </w:r>
          </w:p>
        </w:tc>
      </w:tr>
      <w:tr>
        <w:tc>
          <w:tcPr>
            <w:tcW w:type="dxa" w:w="3061"/>
          </w:tcPr>
          <w:p>
            <w:pPr>
              <w:spacing w:after="20" w:line="264" w:lineRule="auto"/>
            </w:pPr>
            <w:r/>
            <w:r>
              <w:rPr>
                <w:rFonts w:ascii="Segoe UI" w:hAnsi="Segoe UI" w:eastAsia="Segoe UI" w:cs="Segoe UI"/>
                <w:color w:val="1F1D1A"/>
                <w:sz w:val="18"/>
              </w:rPr>
              <w:t>2021</w:t>
            </w:r>
          </w:p>
        </w:tc>
        <w:tc>
          <w:tcPr>
            <w:tcW w:type="dxa" w:w="3061"/>
          </w:tcPr>
          <w:p>
            <w:pPr>
              <w:spacing w:after="20" w:line="264" w:lineRule="auto"/>
            </w:pPr>
            <w:r/>
            <w:r>
              <w:rPr>
                <w:rFonts w:ascii="Segoe UI" w:hAnsi="Segoe UI" w:eastAsia="Segoe UI" w:cs="Segoe UI"/>
                <w:color w:val="1F1D1A"/>
                <w:sz w:val="18"/>
              </w:rPr>
              <w:t>2,36</w:t>
            </w:r>
          </w:p>
        </w:tc>
        <w:tc>
          <w:tcPr>
            <w:tcW w:type="dxa" w:w="3061"/>
          </w:tcPr>
          <w:p>
            <w:pPr>
              <w:spacing w:after="20" w:line="264" w:lineRule="auto"/>
            </w:pPr>
            <w:r/>
            <w:r>
              <w:rPr>
                <w:rFonts w:ascii="Segoe UI" w:hAnsi="Segoe UI" w:eastAsia="Segoe UI" w:cs="Segoe UI"/>
                <w:color w:val="1F1D1A"/>
                <w:sz w:val="18"/>
              </w:rPr>
              <w:t>169</w:t>
            </w:r>
          </w:p>
        </w:tc>
      </w:tr>
      <w:tr>
        <w:tc>
          <w:tcPr>
            <w:tcW w:type="dxa" w:w="3061"/>
          </w:tcPr>
          <w:p>
            <w:pPr>
              <w:spacing w:after="20" w:line="264" w:lineRule="auto"/>
            </w:pPr>
            <w:r/>
            <w:r>
              <w:rPr>
                <w:rFonts w:ascii="Segoe UI" w:hAnsi="Segoe UI" w:eastAsia="Segoe UI" w:cs="Segoe UI"/>
                <w:color w:val="1F1D1A"/>
                <w:sz w:val="18"/>
              </w:rPr>
              <w:t>2022</w:t>
            </w:r>
          </w:p>
        </w:tc>
        <w:tc>
          <w:tcPr>
            <w:tcW w:type="dxa" w:w="3061"/>
          </w:tcPr>
          <w:p>
            <w:pPr>
              <w:spacing w:after="20" w:line="264" w:lineRule="auto"/>
            </w:pPr>
            <w:r/>
            <w:r>
              <w:rPr>
                <w:rFonts w:ascii="Segoe UI" w:hAnsi="Segoe UI" w:eastAsia="Segoe UI" w:cs="Segoe UI"/>
                <w:color w:val="1F1D1A"/>
                <w:sz w:val="18"/>
              </w:rPr>
              <w:t>2,52</w:t>
            </w:r>
          </w:p>
        </w:tc>
        <w:tc>
          <w:tcPr>
            <w:tcW w:type="dxa" w:w="3061"/>
          </w:tcPr>
          <w:p>
            <w:pPr>
              <w:spacing w:after="20" w:line="264" w:lineRule="auto"/>
            </w:pPr>
            <w:r/>
            <w:r>
              <w:rPr>
                <w:rFonts w:ascii="Segoe UI" w:hAnsi="Segoe UI" w:eastAsia="Segoe UI" w:cs="Segoe UI"/>
                <w:color w:val="1F1D1A"/>
                <w:sz w:val="18"/>
              </w:rPr>
              <w:t>159</w:t>
            </w:r>
          </w:p>
        </w:tc>
      </w:tr>
      <w:tr>
        <w:tc>
          <w:tcPr>
            <w:tcW w:type="dxa" w:w="3061"/>
          </w:tcPr>
          <w:p>
            <w:pPr>
              <w:spacing w:after="20" w:line="264" w:lineRule="auto"/>
            </w:pPr>
            <w:r/>
            <w:r>
              <w:rPr>
                <w:rFonts w:ascii="Segoe UI" w:hAnsi="Segoe UI" w:eastAsia="Segoe UI" w:cs="Segoe UI"/>
                <w:color w:val="1F1D1A"/>
                <w:sz w:val="18"/>
              </w:rPr>
              <w:t>2023</w:t>
            </w:r>
          </w:p>
        </w:tc>
        <w:tc>
          <w:tcPr>
            <w:tcW w:type="dxa" w:w="3061"/>
          </w:tcPr>
          <w:p>
            <w:pPr>
              <w:spacing w:after="20" w:line="264" w:lineRule="auto"/>
            </w:pPr>
            <w:r/>
            <w:r>
              <w:rPr>
                <w:rFonts w:ascii="Segoe UI" w:hAnsi="Segoe UI" w:eastAsia="Segoe UI" w:cs="Segoe UI"/>
                <w:color w:val="1F1D1A"/>
                <w:sz w:val="18"/>
              </w:rPr>
              <w:t>2,64</w:t>
            </w:r>
          </w:p>
        </w:tc>
        <w:tc>
          <w:tcPr>
            <w:tcW w:type="dxa" w:w="3061"/>
          </w:tcPr>
          <w:p>
            <w:pPr>
              <w:spacing w:after="20" w:line="264" w:lineRule="auto"/>
            </w:pPr>
            <w:r/>
            <w:r>
              <w:rPr>
                <w:rFonts w:ascii="Segoe UI" w:hAnsi="Segoe UI" w:eastAsia="Segoe UI" w:cs="Segoe UI"/>
                <w:color w:val="1F1D1A"/>
                <w:sz w:val="18"/>
              </w:rPr>
              <w:t>152</w:t>
            </w:r>
          </w:p>
        </w:tc>
      </w:tr>
      <w:tr>
        <w:tc>
          <w:tcPr>
            <w:tcW w:type="dxa" w:w="3061"/>
          </w:tcPr>
          <w:p>
            <w:pPr>
              <w:spacing w:after="20" w:line="264" w:lineRule="auto"/>
            </w:pPr>
            <w:r/>
            <w:r>
              <w:rPr>
                <w:rFonts w:ascii="Segoe UI" w:hAnsi="Segoe UI" w:eastAsia="Segoe UI" w:cs="Segoe UI"/>
                <w:color w:val="1F1D1A"/>
                <w:sz w:val="18"/>
              </w:rPr>
              <w:t>2024</w:t>
            </w:r>
          </w:p>
        </w:tc>
        <w:tc>
          <w:tcPr>
            <w:tcW w:type="dxa" w:w="3061"/>
          </w:tcPr>
          <w:p>
            <w:pPr>
              <w:spacing w:after="20" w:line="264" w:lineRule="auto"/>
            </w:pPr>
            <w:r/>
            <w:r>
              <w:rPr>
                <w:rFonts w:ascii="Segoe UI" w:hAnsi="Segoe UI" w:eastAsia="Segoe UI" w:cs="Segoe UI"/>
                <w:color w:val="1F1D1A"/>
                <w:sz w:val="18"/>
              </w:rPr>
              <w:t>2,62</w:t>
            </w:r>
          </w:p>
        </w:tc>
        <w:tc>
          <w:tcPr>
            <w:tcW w:type="dxa" w:w="3061"/>
          </w:tcPr>
          <w:p>
            <w:pPr>
              <w:spacing w:after="20" w:line="264" w:lineRule="auto"/>
            </w:pPr>
            <w:r/>
            <w:r>
              <w:rPr>
                <w:rFonts w:ascii="Segoe UI" w:hAnsi="Segoe UI" w:eastAsia="Segoe UI" w:cs="Segoe UI"/>
                <w:color w:val="1F1D1A"/>
                <w:sz w:val="18"/>
              </w:rPr>
              <w:t>152</w:t>
            </w:r>
          </w:p>
        </w:tc>
      </w:tr>
      <w:tr>
        <w:tc>
          <w:tcPr>
            <w:tcW w:type="dxa" w:w="3061"/>
          </w:tcPr>
          <w:p>
            <w:pPr>
              <w:spacing w:after="20" w:line="264" w:lineRule="auto"/>
            </w:pPr>
            <w:r/>
            <w:r>
              <w:rPr>
                <w:rFonts w:ascii="Segoe UI" w:hAnsi="Segoe UI" w:eastAsia="Segoe UI" w:cs="Segoe UI"/>
                <w:color w:val="1F1D1A"/>
                <w:sz w:val="18"/>
              </w:rPr>
              <w:t>2025</w:t>
            </w:r>
          </w:p>
        </w:tc>
        <w:tc>
          <w:tcPr>
            <w:tcW w:type="dxa" w:w="3061"/>
          </w:tcPr>
          <w:p>
            <w:pPr>
              <w:spacing w:after="20" w:line="264" w:lineRule="auto"/>
            </w:pPr>
            <w:r/>
            <w:r>
              <w:rPr>
                <w:rFonts w:ascii="Segoe UI" w:hAnsi="Segoe UI" w:eastAsia="Segoe UI" w:cs="Segoe UI"/>
                <w:color w:val="1F1D1A"/>
                <w:sz w:val="18"/>
              </w:rPr>
              <w:t>2,70</w:t>
            </w:r>
          </w:p>
        </w:tc>
        <w:tc>
          <w:tcPr>
            <w:tcW w:type="dxa" w:w="3061"/>
          </w:tcPr>
          <w:p>
            <w:pPr>
              <w:spacing w:after="20" w:line="264" w:lineRule="auto"/>
            </w:pPr>
            <w:r/>
            <w:r>
              <w:rPr>
                <w:rFonts w:ascii="Segoe UI" w:hAnsi="Segoe UI" w:eastAsia="Segoe UI" w:cs="Segoe UI"/>
                <w:color w:val="1F1D1A"/>
                <w:sz w:val="18"/>
              </w:rPr>
              <w:t>148</w:t>
            </w:r>
          </w:p>
        </w:tc>
      </w:tr>
    </w:tbl>
    <w:p>
      <w:pPr>
        <w:spacing w:after="80"/>
      </w:pPr>
    </w:p>
    <w:p>
      <w:r>
        <w:t>Cómo se lee: 1987 es el precio oficial máximo de la pieza de pan común en Madrid, 258 gramos a 29 pesetas</w:t>
      </w:r>
      <w:r>
        <w:t xml:space="preserve"> (BOE núm. 180, de 29-7-1987, Real Decreto 972/1987, anexo)</w:t>
      </w:r>
      <w:r>
        <w:t>; de 1999 a 2025 es el precio medio del pan que pagan los hogares, total de España</w:t>
      </w:r>
      <w:r>
        <w:t xml:space="preserve"> (Ministerio de Agricultura, Panel de consumo alimentario en hogares, datos anuales)</w:t>
      </w:r>
      <w:r>
        <w:t>. No son la misma medida: la primera es un precio fijado por ley para una pieza, y la segunda, lo que se paga de media. Cálculo de la obra: 100 euros divididos entre el precio de una barra de 250 gramos; 100 euros son 16.638,6 pesetas al cambio fijo de 166,386</w:t>
      </w:r>
      <w:r>
        <w:t xml:space="preserve"> (Reglamento (CE) 2866/98 del Consejo, art. 1)</w:t>
      </w:r>
      <w:r>
        <w:t>.</w:t>
      </w:r>
    </w:p>
    <w:p>
      <w:r>
        <w:t>Para comparar: los precios en general se multiplicaron por unas 3,5 veces de 1986 a 2025 (cuadro de arriba), y el precio del pan, de 1987 a 2025, por unas 4 (cálculo de la obra).</w:t>
      </w:r>
    </w:p>
    <w:p>
      <w:r>
        <w:t xml:space="preserve">Sin dato oficial del precio del pan: de 1988 a 1998 no se ha hallado en el Boletín Oficial del Estado, en los anuarios del INE ni en el Ministerio de Agricultura; y antes de 1986 el Boletín solo fijaba subidas y límites por kilo, no el precio. Por eso la tabla no empieza en 1971, como el cuadro de arriba. </w:t>
      </w:r>
      <w:r>
        <w:t>[cálculo de la obra; fuentes en la investigación del 9 y 10-oct-2026]</w:t>
      </w:r>
    </w:p>
    <w:p>
      <w:r>
        <w:rPr>
          <w:b/>
        </w:rPr>
        <w:t>El euro no fue el golpe.</w:t>
      </w:r>
      <w:r>
        <w:t xml:space="preserve"> El tipo de 166,386 se fijó con los tipos de mercado y no quitó a nadie una parte de su dinero. Los precios subieron un 4,0 % en 2002, el año de los billetes, frente al 2,7 % de 2001 y el 2,6 % de 2003. La mayor pérdida fue la de 1976 a 1980: un 134,9 % en cinco años, y un 26,4 % solo en 1977</w:t>
      </w:r>
      <w:r>
        <w:t xml:space="preserve"> (INE)</w:t>
      </w:r>
      <w:r>
        <w:t xml:space="preserve">. </w:t>
      </w:r>
      <w:r>
        <w:t>[34.00-7.5]</w:t>
      </w:r>
    </w:p>
    <w:p>
      <w:r>
        <w:rPr>
          <w:b/>
        </w:rPr>
        <w:t>El salario mínimo y el salario medio.</w:t>
      </w:r>
      <w:r>
        <w:t xml:space="preserve"> El mínimo ha subido más que los precios: en 1970 era de «ciento veinte pesetas día o tres mil seiscientas pesetas mes»</w:t>
      </w:r>
      <w:r>
        <w:t xml:space="preserve"> (Decreto 720/1970)</w:t>
      </w:r>
      <w:r>
        <w:br/>
      </w:r>
      <w:r>
        <w:rPr>
          <w:b/>
        </w:rPr>
        <w:t>pasaje guardado · Decreto 720/1970</w:t>
      </w:r>
      <w:r>
        <w:br/>
      </w:r>
      <w:r>
        <w:rPr>
          <w:b/>
        </w:rPr>
        <w:t>Archivo leído:</w:t>
      </w:r>
      <w:r>
        <w:t xml:space="preserve"> 8.3_21a_Decreto_720_1970_SMI_BOE_24-03-1970.pdf (c8b\8.3_21a_Decreto_720_1970_SMI_BOE_24-03-1970.pdf) · contraste del archivo de pasajes: parcial</w:t>
      </w:r>
      <w:r>
        <w:br/>
      </w:r>
      <w:r>
        <w:rPr>
          <w:b/>
        </w:rPr>
        <w:t>Lugar:</w:t>
      </w:r>
      <w:r>
        <w:t xml:space="preserve"> Decreto 720/1970</w:t>
      </w:r>
      <w:r>
        <w:br/>
      </w:r>
      <w:r>
        <w:rPr>
          <w:b/>
        </w:rPr>
        <w:t>Tal como está en la fuente:</w:t>
      </w:r>
      <w:r>
        <w:t xml:space="preserve"> ciento veinte pesetas día o tres mil seiscientas pesetas mes</w:t>
      </w:r>
      <w:r>
        <w:t>, unos 554 euros de 2025; en 2025, de 1.184 euros al mes</w:t>
      </w:r>
      <w:r>
        <w:t xml:space="preserve"> (Real Decreto 87/2025)</w:t>
      </w:r>
      <w:r>
        <w:t>. Pero no siempre: entre 1980 y 2005 bajó en euros de hoy, de 826 a 774, y el salto llegó en 2019, con «un incremento del 22,3 por ciento»</w:t>
      </w:r>
      <w:r>
        <w:t xml:space="preserve"> (Real Decreto 1462/2018, preámbulo)</w:t>
      </w:r>
      <w:r>
        <w:br/>
      </w:r>
      <w:r>
        <w:rPr>
          <w:b/>
        </w:rPr>
        <w:t>pasaje guardado</w:t>
      </w:r>
      <w:r>
        <w:br/>
      </w:r>
      <w:r>
        <w:rPr>
          <w:b/>
        </w:rPr>
        <w:t>Archivo leído:</w:t>
      </w:r>
      <w:r>
        <w:t xml:space="preserve"> 8.3_21c_RD_1462_2018_SMI2019_BOE-A-2018-17773.pdf (c8b\8.3_21c_RD_1462_2018_SMI2019_BOE-A-2018-17773.pdf) · contraste del archivo de pasajes: ✔</w:t>
      </w:r>
      <w:r>
        <w:br/>
      </w:r>
      <w:r>
        <w:rPr>
          <w:b/>
        </w:rPr>
        <w:t>Lugar:</w:t>
      </w:r>
      <w:r>
        <w:t xml:space="preserve"> Real Decreto 1462/2018, preámbulo</w:t>
      </w:r>
      <w:r>
        <w:br/>
      </w:r>
      <w:r>
        <w:rPr>
          <w:b/>
        </w:rPr>
        <w:t>Tal como está en la fuente:</w:t>
      </w:r>
      <w:r>
        <w:t xml:space="preserve"> un incremento del 22,3 por ciento</w:t>
      </w:r>
      <w:r>
        <w:t>. El medio, no: en 2008, 21.883,42 euros al año; en 2024, 29.540,26; subió un 35,0 %, y los precios, un 35,1 %</w:t>
      </w:r>
      <w:r>
        <w:t xml:space="preserve"> (INE, Encuesta Anual de Estructura Salarial; índice de precios de consumo)</w:t>
      </w:r>
      <w:r>
        <w:t>. Quien cobra el salario medio compra hoy lo mismo que hace dieciséis años. Otra medida es la de la OCDE (salario medio anual a precios constantes, año base 2025, serie vigente descargada el 7-X-2026): de 1993 a 2023, el salario real subió un 4,04 % en España, un 28,15 % en Francia, un 21,03 % en Alemania y un 1,49 % en los Países Bajos, y bajó un 3,33 % en Italia</w:t>
      </w:r>
      <w:r>
        <w:t xml:space="preserve"> (OCDE, salario medio anual, precios constantes; cálculo de la obra)</w:t>
      </w:r>
      <w:r>
        <w:t xml:space="preserve">. </w:t>
      </w:r>
      <w:r>
        <w:t>[34.00-7.8, 9.1 a 10.11; 20.00-4.1]</w:t>
      </w:r>
    </w:p>
    <w:p>
      <w:r>
        <w:rPr>
          <w:b/>
        </w:rPr>
        <w:t>El impuesto que sube solo.</w:t>
      </w:r>
      <w:r>
        <w:t xml:space="preserve"> Ya se vio que la escala del IRPF no se actualiza desde la reforma de 2014 (</w:t>
      </w:r>
      <w:r>
        <w:t>5.1</w:t>
      </w:r>
      <w:r>
        <w:t>, n.º 5). En sentido contrario, el Real Decreto-ley 4/2024 subió la reducción por rendimientos del trabajo de 6.498 a 7.302 euros anuales, para rendimientos netos de hasta 14.852</w:t>
      </w:r>
      <w:r>
        <w:t xml:space="preserve"> (Ley 35/2006, art. 20; RDL 4/2024, exposición de motivos)</w:t>
      </w:r>
      <w:r>
        <w:t>. El efecto de la escala está medido. El Banco de España estima «que en torno a la mitad del incremento de la ratio de IRPF sobre PIB observado entre 2019 y 2023 estaría explicada por el efecto progresividad en frío», y que la recaudación de 2023 «habría sido aproximadamente 11.000 millones inferior de haberse actualizado los parámetros fiscales plenamente»</w:t>
      </w:r>
      <w:r>
        <w:t xml:space="preserve"> (Banco de España, Documento Ocasional n.º 2422, 2024, resumen y p. 24)</w:t>
      </w:r>
      <w:r>
        <w:br/>
      </w:r>
      <w:r>
        <w:rPr>
          <w:b/>
        </w:rPr>
        <w:t>leída en su fuente · Banco de España, Documento Ocasional n.º 2422, 2024, resumen y p. 24</w:t>
      </w:r>
      <w:r>
        <w:br/>
      </w:r>
      <w:r>
        <w:rPr>
          <w:b/>
        </w:rPr>
        <w:t>Archivo leído:</w:t>
      </w:r>
      <w:r>
        <w:t xml:space="preserve"> bde_documento_ocasional_2422_progresividad_en_frio.pdf (c5\bde_documento_ocasional_2422_progresividad_en_frio.pdf) · contraste del archivo de pasajes: ✔</w:t>
      </w:r>
      <w:r>
        <w:br/>
      </w:r>
      <w:r>
        <w:rPr>
          <w:b/>
        </w:rPr>
        <w:t>Lugar:</w:t>
      </w:r>
      <w:r>
        <w:t xml:space="preserve"> Pág. 24</w:t>
      </w:r>
      <w:r>
        <w:br/>
      </w:r>
      <w:r>
        <w:rPr>
          <w:b/>
        </w:rPr>
        <w:t>Dirección:</w:t>
      </w:r>
      <w:r>
        <w:t xml:space="preserve"> </w:t>
      </w:r>
      <w:r>
        <w:t>https://www.bde.es/f/webbe/SES/Secciones/Publicaciones/PublicacionesSeriadas/DocumentosOcasionales/24/Fich/do2422.pdf</w:t>
      </w:r>
      <w:r>
        <w:br/>
      </w:r>
      <w:r>
        <w:rPr>
          <w:b/>
        </w:rPr>
        <w:t>Tal como está en la fuente:</w:t>
      </w:r>
      <w:r>
        <w:t xml:space="preserve"> se estima que la recaudación en 2023 habría sido aproximadamente 11.000 millones inferior de haberse actualizado los parámetros fiscales plenamente</w:t>
      </w:r>
      <w:r>
        <w:t>; es una estimación, con el año 2023 extrapolado. Y la Autoridad Fiscal, entre 2019 y 2024: tras la evolución de la economía, el segundo factor del aumento de los ingresos es «la progresividad en frío (seis décimas), que afecta al IRPF como consecuencia de la no adaptación de los tramos a la elevada inflación en los años recientes»</w:t>
      </w:r>
      <w:r>
        <w:t xml:space="preserve"> (AIReF, documento técnico sobre la variabilidad de los ingresos tributarios, 2025)</w:t>
      </w:r>
      <w:r>
        <w:br/>
      </w:r>
      <w:r>
        <w:rPr>
          <w:b/>
        </w:rPr>
        <w:t>leída en su fuente · AIReF, documento técnico sobre la variabilidad de los ingresos tributarios, 2025</w:t>
      </w:r>
      <w:r>
        <w:br/>
      </w:r>
      <w:r>
        <w:rPr>
          <w:b/>
        </w:rPr>
        <w:t>Archivo leído:</w:t>
      </w:r>
      <w:r>
        <w:t xml:space="preserve"> airef_dt_variabilidad_ingresos_tributarios_2025.pdf (c5\airef_dt_variabilidad_ingresos_tributarios_2025.pdf) · contraste del archivo de pasajes: ✔</w:t>
      </w:r>
      <w:r>
        <w:br/>
      </w:r>
      <w:r>
        <w:rPr>
          <w:b/>
        </w:rPr>
        <w:t>Lugar:</w:t>
      </w:r>
      <w:r>
        <w:t xml:space="preserve"> AIReF, documento técnico sobre la variabilidad de los ingresos tributarios, 2025</w:t>
      </w:r>
      <w:r>
        <w:br/>
      </w:r>
      <w:r>
        <w:rPr>
          <w:b/>
        </w:rPr>
        <w:t>Tal como está en la fuente:</w:t>
      </w:r>
      <w:r>
        <w:t xml:space="preserve"> la progresividad en frío (seis décimas), que afecta al IRPF como consecuencia de la no adaptación de los tramos a la elevada inflación en los años recientes</w:t>
      </w:r>
      <w:r>
        <w:t xml:space="preserve">. </w:t>
      </w:r>
      <w:r>
        <w:t>[34.00-7.9 y 16.23; 20.00-27.1 y 27.2]</w:t>
      </w:r>
    </w:p>
    <w:p>
      <w:r>
        <w:rPr>
          <w:b/>
        </w:rPr>
        <w:t>Quién gana con la pérdida.</w:t>
      </w:r>
      <w:r>
        <w:t xml:space="preserve"> Quien debe. La inflación rebaja el valor real de las deudas, y el mayor deudor del país es el Estado (</w:t>
      </w:r>
      <w:r>
        <w:t>5.1</w:t>
      </w:r>
      <w:r>
        <w:t>, n.º 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837"/>
        <w:gridCol w:w="1837"/>
        <w:gridCol w:w="1837"/>
        <w:gridCol w:w="1837"/>
        <w:gridCol w:w="1837"/>
      </w:tblGrid>
      <w:tr>
        <w:tc>
          <w:tcPr>
            <w:tcW w:type="dxa" w:w="1837"/>
            <w:shd w:val="clear" w:color="auto" w:fill="F1EEE8"/>
          </w:tcPr>
          <w:p>
            <w:pPr>
              <w:spacing w:after="20" w:line="264" w:lineRule="auto"/>
            </w:pPr>
            <w:r>
              <w:rPr>
                <w:b/>
              </w:rPr>
            </w:r>
            <w:r>
              <w:rPr>
                <w:rFonts w:ascii="Segoe UI" w:hAnsi="Segoe UI" w:eastAsia="Segoe UI" w:cs="Segoe UI"/>
                <w:b/>
                <w:color w:val="1F1D1A"/>
                <w:sz w:val="18"/>
              </w:rPr>
              <w:t>Año</w:t>
            </w:r>
          </w:p>
        </w:tc>
        <w:tc>
          <w:tcPr>
            <w:tcW w:type="dxa" w:w="1837"/>
            <w:shd w:val="clear" w:color="auto" w:fill="F1EEE8"/>
          </w:tcPr>
          <w:p>
            <w:pPr>
              <w:spacing w:after="20" w:line="264" w:lineRule="auto"/>
            </w:pPr>
            <w:r>
              <w:rPr>
                <w:b/>
              </w:rPr>
            </w:r>
            <w:r>
              <w:rPr>
                <w:rFonts w:ascii="Segoe UI" w:hAnsi="Segoe UI" w:eastAsia="Segoe UI" w:cs="Segoe UI"/>
                <w:b/>
                <w:color w:val="1F1D1A"/>
                <w:sz w:val="18"/>
              </w:rPr>
              <w:t>Inflación</w:t>
            </w:r>
          </w:p>
        </w:tc>
        <w:tc>
          <w:tcPr>
            <w:tcW w:type="dxa" w:w="1837"/>
            <w:shd w:val="clear" w:color="auto" w:fill="F1EEE8"/>
          </w:tcPr>
          <w:p>
            <w:pPr>
              <w:spacing w:after="20" w:line="264" w:lineRule="auto"/>
            </w:pPr>
            <w:r>
              <w:rPr>
                <w:b/>
              </w:rPr>
            </w:r>
            <w:r>
              <w:rPr>
                <w:rFonts w:ascii="Segoe UI" w:hAnsi="Segoe UI" w:eastAsia="Segoe UI" w:cs="Segoe UI"/>
                <w:b/>
                <w:color w:val="1F1D1A"/>
                <w:sz w:val="18"/>
              </w:rPr>
              <w:t>Deuda al empezar el año</w:t>
            </w:r>
          </w:p>
        </w:tc>
        <w:tc>
          <w:tcPr>
            <w:tcW w:type="dxa" w:w="1837"/>
            <w:shd w:val="clear" w:color="auto" w:fill="F1EEE8"/>
          </w:tcPr>
          <w:p>
            <w:pPr>
              <w:spacing w:after="20" w:line="264" w:lineRule="auto"/>
            </w:pPr>
            <w:r>
              <w:rPr>
                <w:b/>
              </w:rPr>
            </w:r>
            <w:r>
              <w:rPr>
                <w:rFonts w:ascii="Segoe UI" w:hAnsi="Segoe UI" w:eastAsia="Segoe UI" w:cs="Segoe UI"/>
                <w:b/>
                <w:color w:val="1F1D1A"/>
                <w:sz w:val="18"/>
              </w:rPr>
              <w:t>Lo que la inflación rebajó esa deuda</w:t>
            </w:r>
          </w:p>
        </w:tc>
        <w:tc>
          <w:tcPr>
            <w:tcW w:type="dxa" w:w="1837"/>
            <w:shd w:val="clear" w:color="auto" w:fill="F1EEE8"/>
          </w:tcPr>
          <w:p>
            <w:pPr>
              <w:spacing w:after="20" w:line="264" w:lineRule="auto"/>
            </w:pPr>
            <w:r>
              <w:rPr>
                <w:b/>
              </w:rPr>
            </w:r>
            <w:r>
              <w:rPr>
                <w:rFonts w:ascii="Segoe UI" w:hAnsi="Segoe UI" w:eastAsia="Segoe UI" w:cs="Segoe UI"/>
                <w:b/>
                <w:color w:val="1F1D1A"/>
                <w:sz w:val="18"/>
              </w:rPr>
              <w:t>Intereses pagados</w:t>
            </w:r>
          </w:p>
        </w:tc>
      </w:tr>
      <w:tr>
        <w:tc>
          <w:tcPr>
            <w:tcW w:type="dxa" w:w="1837"/>
          </w:tcPr>
          <w:p>
            <w:pPr>
              <w:spacing w:after="20" w:line="264" w:lineRule="auto"/>
            </w:pPr>
            <w:r/>
            <w:r>
              <w:rPr>
                <w:rFonts w:ascii="Segoe UI" w:hAnsi="Segoe UI" w:eastAsia="Segoe UI" w:cs="Segoe UI"/>
                <w:color w:val="1F1D1A"/>
                <w:sz w:val="18"/>
              </w:rPr>
              <w:t>2021</w:t>
            </w:r>
          </w:p>
        </w:tc>
        <w:tc>
          <w:tcPr>
            <w:tcW w:type="dxa" w:w="1837"/>
          </w:tcPr>
          <w:p>
            <w:pPr>
              <w:spacing w:after="20" w:line="264" w:lineRule="auto"/>
            </w:pPr>
            <w:r/>
            <w:r>
              <w:rPr>
                <w:rFonts w:ascii="Segoe UI" w:hAnsi="Segoe UI" w:eastAsia="Segoe UI" w:cs="Segoe UI"/>
                <w:color w:val="1F1D1A"/>
                <w:sz w:val="18"/>
              </w:rPr>
              <w:t>6,5 %</w:t>
            </w:r>
          </w:p>
        </w:tc>
        <w:tc>
          <w:tcPr>
            <w:tcW w:type="dxa" w:w="1837"/>
          </w:tcPr>
          <w:p>
            <w:pPr>
              <w:spacing w:after="20" w:line="264" w:lineRule="auto"/>
            </w:pPr>
            <w:r/>
            <w:r>
              <w:rPr>
                <w:rFonts w:ascii="Segoe UI" w:hAnsi="Segoe UI" w:eastAsia="Segoe UI" w:cs="Segoe UI"/>
                <w:color w:val="1F1D1A"/>
                <w:sz w:val="18"/>
              </w:rPr>
              <w:t>1.346.916</w:t>
            </w:r>
          </w:p>
        </w:tc>
        <w:tc>
          <w:tcPr>
            <w:tcW w:type="dxa" w:w="1837"/>
          </w:tcPr>
          <w:p>
            <w:pPr>
              <w:spacing w:after="20" w:line="264" w:lineRule="auto"/>
            </w:pPr>
            <w:r/>
            <w:r>
              <w:rPr>
                <w:rFonts w:ascii="Segoe UI" w:hAnsi="Segoe UI" w:eastAsia="Segoe UI" w:cs="Segoe UI"/>
                <w:color w:val="1F1D1A"/>
                <w:sz w:val="18"/>
              </w:rPr>
              <w:t>87.550</w:t>
            </w:r>
          </w:p>
        </w:tc>
        <w:tc>
          <w:tcPr>
            <w:tcW w:type="dxa" w:w="1837"/>
          </w:tcPr>
          <w:p>
            <w:pPr>
              <w:spacing w:after="20" w:line="264" w:lineRule="auto"/>
            </w:pPr>
            <w:r/>
            <w:r>
              <w:rPr>
                <w:rFonts w:ascii="Segoe UI" w:hAnsi="Segoe UI" w:eastAsia="Segoe UI" w:cs="Segoe UI"/>
                <w:color w:val="1F1D1A"/>
                <w:sz w:val="18"/>
              </w:rPr>
              <w:t>26.170</w:t>
            </w:r>
          </w:p>
        </w:tc>
      </w:tr>
      <w:tr>
        <w:tc>
          <w:tcPr>
            <w:tcW w:type="dxa" w:w="1837"/>
          </w:tcPr>
          <w:p>
            <w:pPr>
              <w:spacing w:after="20" w:line="264" w:lineRule="auto"/>
            </w:pPr>
            <w:r/>
            <w:r>
              <w:rPr>
                <w:rFonts w:ascii="Segoe UI" w:hAnsi="Segoe UI" w:eastAsia="Segoe UI" w:cs="Segoe UI"/>
                <w:color w:val="1F1D1A"/>
                <w:sz w:val="18"/>
              </w:rPr>
              <w:t>2022</w:t>
            </w:r>
          </w:p>
        </w:tc>
        <w:tc>
          <w:tcPr>
            <w:tcW w:type="dxa" w:w="1837"/>
          </w:tcPr>
          <w:p>
            <w:pPr>
              <w:spacing w:after="20" w:line="264" w:lineRule="auto"/>
            </w:pPr>
            <w:r/>
            <w:r>
              <w:rPr>
                <w:rFonts w:ascii="Segoe UI" w:hAnsi="Segoe UI" w:eastAsia="Segoe UI" w:cs="Segoe UI"/>
                <w:color w:val="1F1D1A"/>
                <w:sz w:val="18"/>
              </w:rPr>
              <w:t>5,7 %</w:t>
            </w:r>
          </w:p>
        </w:tc>
        <w:tc>
          <w:tcPr>
            <w:tcW w:type="dxa" w:w="1837"/>
          </w:tcPr>
          <w:p>
            <w:pPr>
              <w:spacing w:after="20" w:line="264" w:lineRule="auto"/>
            </w:pPr>
            <w:r/>
            <w:r>
              <w:rPr>
                <w:rFonts w:ascii="Segoe UI" w:hAnsi="Segoe UI" w:eastAsia="Segoe UI" w:cs="Segoe UI"/>
                <w:color w:val="1F1D1A"/>
                <w:sz w:val="18"/>
              </w:rPr>
              <w:t>1.429.404</w:t>
            </w:r>
          </w:p>
        </w:tc>
        <w:tc>
          <w:tcPr>
            <w:tcW w:type="dxa" w:w="1837"/>
          </w:tcPr>
          <w:p>
            <w:pPr>
              <w:spacing w:after="20" w:line="264" w:lineRule="auto"/>
            </w:pPr>
            <w:r/>
            <w:r>
              <w:rPr>
                <w:rFonts w:ascii="Segoe UI" w:hAnsi="Segoe UI" w:eastAsia="Segoe UI" w:cs="Segoe UI"/>
                <w:color w:val="1F1D1A"/>
                <w:sz w:val="18"/>
              </w:rPr>
              <w:t>81.476</w:t>
            </w:r>
          </w:p>
        </w:tc>
        <w:tc>
          <w:tcPr>
            <w:tcW w:type="dxa" w:w="1837"/>
          </w:tcPr>
          <w:p>
            <w:pPr>
              <w:spacing w:after="20" w:line="264" w:lineRule="auto"/>
            </w:pPr>
            <w:r/>
            <w:r>
              <w:rPr>
                <w:rFonts w:ascii="Segoe UI" w:hAnsi="Segoe UI" w:eastAsia="Segoe UI" w:cs="Segoe UI"/>
                <w:color w:val="1F1D1A"/>
                <w:sz w:val="18"/>
              </w:rPr>
              <w:t>31.775</w:t>
            </w:r>
          </w:p>
        </w:tc>
      </w:tr>
      <w:tr>
        <w:tc>
          <w:tcPr>
            <w:tcW w:type="dxa" w:w="1837"/>
          </w:tcPr>
          <w:p>
            <w:pPr>
              <w:spacing w:after="20" w:line="264" w:lineRule="auto"/>
            </w:pPr>
            <w:r/>
            <w:r>
              <w:rPr>
                <w:rFonts w:ascii="Segoe UI" w:hAnsi="Segoe UI" w:eastAsia="Segoe UI" w:cs="Segoe UI"/>
                <w:color w:val="1F1D1A"/>
                <w:sz w:val="18"/>
              </w:rPr>
              <w:t>2023</w:t>
            </w:r>
          </w:p>
        </w:tc>
        <w:tc>
          <w:tcPr>
            <w:tcW w:type="dxa" w:w="1837"/>
          </w:tcPr>
          <w:p>
            <w:pPr>
              <w:spacing w:after="20" w:line="264" w:lineRule="auto"/>
            </w:pPr>
            <w:r/>
            <w:r>
              <w:rPr>
                <w:rFonts w:ascii="Segoe UI" w:hAnsi="Segoe UI" w:eastAsia="Segoe UI" w:cs="Segoe UI"/>
                <w:color w:val="1F1D1A"/>
                <w:sz w:val="18"/>
              </w:rPr>
              <w:t>3,1 %</w:t>
            </w:r>
          </w:p>
        </w:tc>
        <w:tc>
          <w:tcPr>
            <w:tcW w:type="dxa" w:w="1837"/>
          </w:tcPr>
          <w:p>
            <w:pPr>
              <w:spacing w:after="20" w:line="264" w:lineRule="auto"/>
            </w:pPr>
            <w:r/>
            <w:r>
              <w:rPr>
                <w:rFonts w:ascii="Segoe UI" w:hAnsi="Segoe UI" w:eastAsia="Segoe UI" w:cs="Segoe UI"/>
                <w:color w:val="1F1D1A"/>
                <w:sz w:val="18"/>
              </w:rPr>
              <w:t>1.504.105</w:t>
            </w:r>
          </w:p>
        </w:tc>
        <w:tc>
          <w:tcPr>
            <w:tcW w:type="dxa" w:w="1837"/>
          </w:tcPr>
          <w:p>
            <w:pPr>
              <w:spacing w:after="20" w:line="264" w:lineRule="auto"/>
            </w:pPr>
            <w:r/>
            <w:r>
              <w:rPr>
                <w:rFonts w:ascii="Segoe UI" w:hAnsi="Segoe UI" w:eastAsia="Segoe UI" w:cs="Segoe UI"/>
                <w:color w:val="1F1D1A"/>
                <w:sz w:val="18"/>
              </w:rPr>
              <w:t>46.627</w:t>
            </w:r>
          </w:p>
        </w:tc>
        <w:tc>
          <w:tcPr>
            <w:tcW w:type="dxa" w:w="1837"/>
          </w:tcPr>
          <w:p>
            <w:pPr>
              <w:spacing w:after="20" w:line="264" w:lineRule="auto"/>
            </w:pPr>
            <w:r/>
            <w:r>
              <w:rPr>
                <w:rFonts w:ascii="Segoe UI" w:hAnsi="Segoe UI" w:eastAsia="Segoe UI" w:cs="Segoe UI"/>
                <w:color w:val="1F1D1A"/>
                <w:sz w:val="18"/>
              </w:rPr>
              <w:t>35.551</w:t>
            </w:r>
          </w:p>
        </w:tc>
      </w:tr>
      <w:tr>
        <w:tc>
          <w:tcPr>
            <w:tcW w:type="dxa" w:w="1837"/>
          </w:tcPr>
          <w:p>
            <w:pPr>
              <w:spacing w:after="20" w:line="264" w:lineRule="auto"/>
            </w:pPr>
            <w:r/>
            <w:r>
              <w:rPr>
                <w:rFonts w:ascii="Segoe UI" w:hAnsi="Segoe UI" w:eastAsia="Segoe UI" w:cs="Segoe UI"/>
                <w:color w:val="1F1D1A"/>
                <w:sz w:val="18"/>
              </w:rPr>
              <w:t>2024</w:t>
            </w:r>
          </w:p>
        </w:tc>
        <w:tc>
          <w:tcPr>
            <w:tcW w:type="dxa" w:w="1837"/>
          </w:tcPr>
          <w:p>
            <w:pPr>
              <w:spacing w:after="20" w:line="264" w:lineRule="auto"/>
            </w:pPr>
            <w:r/>
            <w:r>
              <w:rPr>
                <w:rFonts w:ascii="Segoe UI" w:hAnsi="Segoe UI" w:eastAsia="Segoe UI" w:cs="Segoe UI"/>
                <w:color w:val="1F1D1A"/>
                <w:sz w:val="18"/>
              </w:rPr>
              <w:t>2,8 %</w:t>
            </w:r>
          </w:p>
        </w:tc>
        <w:tc>
          <w:tcPr>
            <w:tcW w:type="dxa" w:w="1837"/>
          </w:tcPr>
          <w:p>
            <w:pPr>
              <w:spacing w:after="20" w:line="264" w:lineRule="auto"/>
            </w:pPr>
            <w:r/>
            <w:r>
              <w:rPr>
                <w:rFonts w:ascii="Segoe UI" w:hAnsi="Segoe UI" w:eastAsia="Segoe UI" w:cs="Segoe UI"/>
                <w:color w:val="1F1D1A"/>
                <w:sz w:val="18"/>
              </w:rPr>
              <w:t>1.575.377</w:t>
            </w:r>
          </w:p>
        </w:tc>
        <w:tc>
          <w:tcPr>
            <w:tcW w:type="dxa" w:w="1837"/>
          </w:tcPr>
          <w:p>
            <w:pPr>
              <w:spacing w:after="20" w:line="264" w:lineRule="auto"/>
            </w:pPr>
            <w:r/>
            <w:r>
              <w:rPr>
                <w:rFonts w:ascii="Segoe UI" w:hAnsi="Segoe UI" w:eastAsia="Segoe UI" w:cs="Segoe UI"/>
                <w:color w:val="1F1D1A"/>
                <w:sz w:val="18"/>
              </w:rPr>
              <w:t>44.111</w:t>
            </w:r>
          </w:p>
        </w:tc>
        <w:tc>
          <w:tcPr>
            <w:tcW w:type="dxa" w:w="1837"/>
          </w:tcPr>
          <w:p>
            <w:pPr>
              <w:spacing w:after="20" w:line="264" w:lineRule="auto"/>
            </w:pPr>
            <w:r/>
            <w:r>
              <w:rPr>
                <w:rFonts w:ascii="Segoe UI" w:hAnsi="Segoe UI" w:eastAsia="Segoe UI" w:cs="Segoe UI"/>
                <w:color w:val="1F1D1A"/>
                <w:sz w:val="18"/>
              </w:rPr>
              <w:t>38.793</w:t>
            </w:r>
          </w:p>
        </w:tc>
      </w:tr>
      <w:tr>
        <w:tc>
          <w:tcPr>
            <w:tcW w:type="dxa" w:w="1837"/>
          </w:tcPr>
          <w:p>
            <w:pPr>
              <w:spacing w:after="20" w:line="264" w:lineRule="auto"/>
            </w:pPr>
            <w:r/>
            <w:r>
              <w:rPr>
                <w:rFonts w:ascii="Segoe UI" w:hAnsi="Segoe UI" w:eastAsia="Segoe UI" w:cs="Segoe UI"/>
                <w:color w:val="1F1D1A"/>
                <w:sz w:val="18"/>
              </w:rPr>
              <w:t>2025</w:t>
            </w:r>
          </w:p>
        </w:tc>
        <w:tc>
          <w:tcPr>
            <w:tcW w:type="dxa" w:w="1837"/>
          </w:tcPr>
          <w:p>
            <w:pPr>
              <w:spacing w:after="20" w:line="264" w:lineRule="auto"/>
            </w:pPr>
            <w:r/>
            <w:r>
              <w:rPr>
                <w:rFonts w:ascii="Segoe UI" w:hAnsi="Segoe UI" w:eastAsia="Segoe UI" w:cs="Segoe UI"/>
                <w:color w:val="1F1D1A"/>
                <w:sz w:val="18"/>
              </w:rPr>
              <w:t>2,9 %</w:t>
            </w:r>
          </w:p>
        </w:tc>
        <w:tc>
          <w:tcPr>
            <w:tcW w:type="dxa" w:w="1837"/>
          </w:tcPr>
          <w:p>
            <w:pPr>
              <w:spacing w:after="20" w:line="264" w:lineRule="auto"/>
            </w:pPr>
            <w:r/>
            <w:r>
              <w:rPr>
                <w:rFonts w:ascii="Segoe UI" w:hAnsi="Segoe UI" w:eastAsia="Segoe UI" w:cs="Segoe UI"/>
                <w:color w:val="1F1D1A"/>
                <w:sz w:val="18"/>
              </w:rPr>
              <w:t>1.620.573</w:t>
            </w:r>
          </w:p>
        </w:tc>
        <w:tc>
          <w:tcPr>
            <w:tcW w:type="dxa" w:w="1837"/>
          </w:tcPr>
          <w:p>
            <w:pPr>
              <w:spacing w:after="20" w:line="264" w:lineRule="auto"/>
            </w:pPr>
            <w:r/>
            <w:r>
              <w:rPr>
                <w:rFonts w:ascii="Segoe UI" w:hAnsi="Segoe UI" w:eastAsia="Segoe UI" w:cs="Segoe UI"/>
                <w:color w:val="1F1D1A"/>
                <w:sz w:val="18"/>
              </w:rPr>
              <w:t>46.997</w:t>
            </w:r>
          </w:p>
        </w:tc>
        <w:tc>
          <w:tcPr>
            <w:tcW w:type="dxa" w:w="1837"/>
          </w:tcPr>
          <w:p>
            <w:pPr>
              <w:spacing w:after="20" w:line="264" w:lineRule="auto"/>
            </w:pPr>
            <w:r/>
            <w:r>
              <w:rPr>
                <w:rFonts w:ascii="Segoe UI" w:hAnsi="Segoe UI" w:eastAsia="Segoe UI" w:cs="Segoe UI"/>
                <w:color w:val="1F1D1A"/>
                <w:sz w:val="18"/>
              </w:rPr>
              <w:t>40.314</w:t>
            </w:r>
          </w:p>
        </w:tc>
      </w:tr>
      <w:tr>
        <w:tc>
          <w:tcPr>
            <w:tcW w:type="dxa" w:w="1837"/>
          </w:tcPr>
          <w:p>
            <w:pPr>
              <w:spacing w:after="20" w:line="264" w:lineRule="auto"/>
            </w:pPr>
            <w:r/>
            <w:r>
              <w:rPr>
                <w:rFonts w:ascii="Segoe UI" w:hAnsi="Segoe UI" w:eastAsia="Segoe UI" w:cs="Segoe UI"/>
                <w:b/>
                <w:color w:val="1F1D1A"/>
                <w:sz w:val="18"/>
              </w:rPr>
              <w:t>Total</w:t>
            </w:r>
          </w:p>
        </w:tc>
        <w:tc>
          <w:tcPr>
            <w:tcW w:type="dxa" w:w="1837"/>
          </w:tcPr>
          <w:p>
            <w:pPr>
              <w:spacing w:after="20" w:line="264" w:lineRule="auto"/>
            </w:pPr>
            <w:r/>
          </w:p>
        </w:tc>
        <w:tc>
          <w:tcPr>
            <w:tcW w:type="dxa" w:w="1837"/>
          </w:tcPr>
          <w:p>
            <w:pPr>
              <w:spacing w:after="20" w:line="264" w:lineRule="auto"/>
            </w:pPr>
            <w:r/>
          </w:p>
        </w:tc>
        <w:tc>
          <w:tcPr>
            <w:tcW w:type="dxa" w:w="1837"/>
          </w:tcPr>
          <w:p>
            <w:pPr>
              <w:spacing w:after="20" w:line="264" w:lineRule="auto"/>
            </w:pPr>
            <w:r/>
            <w:r>
              <w:rPr>
                <w:rFonts w:ascii="Segoe UI" w:hAnsi="Segoe UI" w:eastAsia="Segoe UI" w:cs="Segoe UI"/>
                <w:b/>
                <w:color w:val="1F1D1A"/>
                <w:sz w:val="18"/>
              </w:rPr>
              <w:t>306.760</w:t>
            </w:r>
          </w:p>
        </w:tc>
        <w:tc>
          <w:tcPr>
            <w:tcW w:type="dxa" w:w="1837"/>
          </w:tcPr>
          <w:p>
            <w:pPr>
              <w:spacing w:after="20" w:line="264" w:lineRule="auto"/>
            </w:pPr>
            <w:r/>
            <w:r>
              <w:rPr>
                <w:rFonts w:ascii="Segoe UI" w:hAnsi="Segoe UI" w:eastAsia="Segoe UI" w:cs="Segoe UI"/>
                <w:b/>
                <w:color w:val="1F1D1A"/>
                <w:sz w:val="18"/>
              </w:rPr>
              <w:t>172.603</w:t>
            </w:r>
          </w:p>
        </w:tc>
      </w:tr>
    </w:tbl>
    <w:p>
      <w:pPr>
        <w:spacing w:after="80"/>
      </w:pPr>
    </w:p>
    <w:p>
      <w:r>
        <w:t>Millones de euros. Cálculo de la obra: la deuda al empezar el año por la subida de los precios de ese año. Es una pérdida de valor real, no un pago: la deuda se sigue debiendo, pero cada euro vale menos</w:t>
      </w:r>
      <w:r>
        <w:t xml:space="preserve"> (Eurostat, deuda e intereses de las administraciones públicas; INE, precios de diciembre a diciembre)</w:t>
      </w:r>
      <w:r>
        <w:t xml:space="preserve">. </w:t>
      </w:r>
      <w:r>
        <w:t>[34.00-7.10 y 11.1 a 11.9]</w:t>
      </w:r>
    </w:p>
    <w:p>
      <w:r>
        <w:rPr>
          <w:b/>
        </w:rPr>
        <w:t>El ahorro, sin protección escrita.</w:t>
      </w:r>
      <w:r>
        <w:t xml:space="preserve"> La Constitución obliga a garantizar en la tercera edad «pensiones adecuadas y periódicamente actualizadas» (art. 50), reserva al Estado el «Sistema monetario» (art. 149.1.11.ª) y pide «una política de estabilidad económica» (art. 40.1). Pero la palabra «ahorro» no aparece ni una vez en su texto: la pensión se actualiza por mandato; lo que alguien guardó por su cuenta, no. </w:t>
      </w:r>
      <w:r>
        <w:t>[34.00-7.7 y 16.26]</w:t>
      </w:r>
    </w:p>
    <w:p>
      <w:r>
        <w:rPr>
          <w:b/>
        </w:rPr>
        <w:t>Conclusión, lo que arrojan los datos:</w:t>
      </w:r>
      <w:r>
        <w:t xml:space="preserve"> desde 1971, el dinero guardado ha perdido el 96 % de su valor; la meta oficial es que pierda un 2 % al año; el salario medio compra lo mismo que en 2008; el IRPF sube sin ley que lo suba; y entre 2021 y 2025 la inflación rebajó la deuda del Estado más de lo que este pagó en intereses. Lo que pierde quien ahorra lo gana, en buena parte, quien debe. Y no hay una norma que proteja el ahorro privado. </w:t>
      </w:r>
      <w:r>
        <w:t>[34.00-7.3 a 7.10]</w:t>
      </w:r>
    </w:p>
    <w:p>
      <w:r>
        <w:rPr>
          <w:b/>
        </w:rPr>
        <w:t>Lectura del autor:</w:t>
      </w:r>
      <w:r>
        <w:t xml:space="preserve"> esta es la mayor maniobra para despojar a la ciudadanía de los frutos de su trabajo, no por un día concreto, sino por su método. Si a una persona le abren la caja fuerte delante, se defiende; si su dinero encoge sin que cambie la cifra del billete, no ve de quién defenderse. Como la rana que no salta del cazo porque el agua se calienta poco a poco, la pérdida se reparte en años y casi nadie la nota. Si el dinero solo se sostiene en la confianza, ¿qué confianza merece un sistema que, por sus frutos, descapitaliza los ahorros de quien confió? Los redondeos al alza que muchos vivieron con la llegada del euro pesan poco en la media de los precios; se recogen como vivencia, no como cifra. </w:t>
      </w:r>
      <w:r>
        <w:t>[34.00-7.1 y 7.11]</w:t>
      </w:r>
    </w:p>
    <w:p>
      <w:pPr>
        <w:pStyle w:val="Heading2"/>
      </w:pPr>
      <w:r>
        <w:t>8.4 La carga</w:t>
      </w:r>
    </w:p>
    <w:p>
      <w:pPr>
        <w:pBdr>
          <w:left w:val="single" w:sz="24" w:space="6" w:color="E2DED6"/>
        </w:pBdr>
        <w:shd w:val="clear" w:color="auto" w:fill="F1EEE8"/>
        <w:spacing w:before="80" w:after="160"/>
        <w:ind w:left="142" w:right="142"/>
      </w:pPr>
      <w:r>
        <w:rPr>
          <w:b/>
        </w:rPr>
        <w:t>La idea: la cifra oficial de presión fiscal mide lo que recauda el Estado frente a toda la economía, no lo que soporta una persona. Medida sobre el coste de su trabajo, la carga es mucho mayor, y distinta para el asalariado, el autónomo y el que trabaja con una sociedad.</w:t>
      </w:r>
    </w:p>
    <w:p>
      <w:r>
        <w:rPr>
          <w:b/>
        </w:rPr>
        <w:t>La carga.</w:t>
      </w:r>
      <w:r>
        <w:t xml:space="preserve"> Desde aquí, la edición llama así a lo que se lleva el Estado de lo que cuesta el trabajo de una persona. Se mide sobre el coste laboral, lo que paga quien contrata, en cinco capas de certeza decreciente: (</w:t>
      </w:r>
      <w:r>
        <w:t>1</w:t>
      </w:r>
      <w:r>
        <w:t>) cotizaciones e IRPF; (</w:t>
      </w:r>
      <w:r>
        <w:t>2</w:t>
      </w:r>
      <w:r>
        <w:t>) IVA; (</w:t>
      </w:r>
      <w:r>
        <w:t>3</w:t>
      </w:r>
      <w:r>
        <w:t>) tributos municipales e impuestos especiales; (</w:t>
      </w:r>
      <w:r>
        <w:t>4</w:t>
      </w:r>
      <w:r>
        <w:t>) la parte del Impuesto de Sociedades que recae sobre los salarios, que es una hipótesis; y (</w:t>
      </w:r>
      <w:r>
        <w:t>5</w:t>
      </w:r>
      <w:r>
        <w:t xml:space="preserve">) la carga futura del déficit. Siempre con los tres perfiles, el asalariado, el autónomo y el societario, y con los costes indirectos. </w:t>
      </w:r>
      <w:r>
        <w:t>[glosario 6.3; 21.00-3.1]</w:t>
      </w:r>
    </w:p>
    <w:p>
      <w:r>
        <w:rPr>
          <w:b/>
        </w:rPr>
        <w:t>La cifra oficial.</w:t>
      </w:r>
      <w:r>
        <w:t xml:space="preserve"> En 2024, los impuestos y cotizaciones fueron el 37,3 % del PIB en España, frente al 40,3 % de la UE</w:t>
      </w:r>
      <w:r>
        <w:t xml:space="preserve"> (Eurostat, gov_10a_taxag)</w:t>
      </w:r>
      <w:r>
        <w:t xml:space="preserve">. Es una media sobre toda la economía, no la carga de una persona. </w:t>
      </w:r>
      <w:r>
        <w:t>[21.00-3.1; 20.00-2.1]</w:t>
      </w:r>
    </w:p>
    <w:p>
      <w:r>
        <w:rPr>
          <w:b/>
        </w:rPr>
        <w:t>El asalariado medio.</w:t>
      </w:r>
      <w:r>
        <w:t xml:space="preserve"> Soltero, sin hijos, con datos de 2025: cuesta a su empresa 39.481 euros al año</w:t>
      </w:r>
      <w:r>
        <w:t xml:space="preserve"> (Instituto Juan de Mariana, Impuestómetro 2026, con datos de Molinari y EY; estudio privado)</w:t>
      </w:r>
      <w:r>
        <w:t>.</w:t>
      </w:r>
    </w:p>
    <w:p>
      <w:pPr>
        <w:pStyle w:val="ListBullet"/>
      </w:pPr>
      <w:r>
        <w:rPr>
          <w:b/>
        </w:rPr>
        <w:t>Capa 1, cotizaciones e IRPF.</w:t>
      </w:r>
      <w:r>
        <w:t xml:space="preserve"> La cifra oficial es la de la OCDE: una cuña fiscal del 41,4 % del coste laboral en España en 2025, frente al 35,1 % de su media, la décima más alta de 38 países</w:t>
      </w:r>
      <w:r>
        <w:t xml:space="preserve"> (OCDE, Taxing Wages, datos oficiales)</w:t>
      </w:r>
      <w:r>
        <w:t>. Cuenta solo el IRPF y las cotizaciones del trabajador y de la empresa</w:t>
      </w:r>
      <w:r>
        <w:t xml:space="preserve"> (OCDE, Taxing Wages, descomposición, datos oficiales)</w:t>
      </w:r>
      <w:r>
        <w:t>: no el IVA, ni los demás impuestos, ni los gastos y el tiempo de los trámites. El estudio privado da 16.156 euros, el 40,9 %. Es la parte firme.</w:t>
      </w:r>
    </w:p>
    <w:p>
      <w:pPr>
        <w:pStyle w:val="ListBullet"/>
      </w:pPr>
      <w:r>
        <w:rPr>
          <w:b/>
        </w:rPr>
        <w:t>Capa 2, con el IVA:</w:t>
      </w:r>
      <w:r>
        <w:t xml:space="preserve"> el 45,0 % acumulado (1.592 euros más; estimación del estudio, que no la desglosa por gastos).</w:t>
      </w:r>
    </w:p>
    <w:p>
      <w:pPr>
        <w:pStyle w:val="ListBullet"/>
      </w:pPr>
      <w:r>
        <w:rPr>
          <w:b/>
        </w:rPr>
        <w:t>Capa 3, con los tributos municipales y los impuestos especiales:</w:t>
      </w:r>
      <w:r>
        <w:t xml:space="preserve"> el 48,4 % (1.354 euros más; estimación). Los 705 euros municipales son los de un ciudadano medio de una capital de provincia, según el Consejo General de Economistas, e incluyen el IBI (unos 395 euros, cálculo ilustrativo del estudio), el impuesto de circulación, el de construcciones, la plusvalía municipal y el de actividades económicas; los 649 de impuestos especiales son 470 de hidrocarburos y 179 de otros bienes, como las bebidas alcohólicas</w:t>
      </w:r>
      <w:r>
        <w:t xml:space="preserve"> (Instituto Juan de Mariana, Impuestómetro 2026, anexo 1; estudio privado)</w:t>
      </w:r>
      <w:r>
        <w:t xml:space="preserve">. Queda fuera la tasa de basuras de 2025, que el estudio calcula en unos 200 euros por hogar en algunos municipios y no suma hasta que haya estudios de su impacto. El resto de lo que está dentro de las capas y de lo que queda fuera —la electricidad, el agua, las tasas de tráfico, el impuesto de matriculación— está en el </w:t>
      </w:r>
      <w:r>
        <w:t>anexo B</w:t>
      </w:r>
      <w:r>
        <w:t xml:space="preserve"> (</w:t>
      </w:r>
      <w:r>
        <w:t>B.4</w:t>
      </w:r>
      <w:r>
        <w:t>).</w:t>
      </w:r>
    </w:p>
    <w:p>
      <w:pPr>
        <w:pStyle w:val="ListBullet"/>
      </w:pPr>
      <w:r>
        <w:rPr>
          <w:b/>
        </w:rPr>
        <w:t>Capa 4, con la parte del Impuesto de Sociedades:</w:t>
      </w:r>
      <w:r>
        <w:t xml:space="preserve"> el 50,7 % (930 euros más; hipótesis: la mitad de ese impuesto recae sobre los salarios).</w:t>
      </w:r>
    </w:p>
    <w:p>
      <w:pPr>
        <w:pStyle w:val="ListBullet"/>
      </w:pPr>
      <w:r>
        <w:rPr>
          <w:b/>
        </w:rPr>
        <w:t>Capa 5, con la carga futura del déficit:</w:t>
      </w:r>
      <w:r>
        <w:t xml:space="preserve"> el 53,6 % (1.112 euros más; no se paga este año: es la parte del déficit estructural que se pagará después).</w:t>
      </w:r>
    </w:p>
    <w:p>
      <w:r>
        <w:t xml:space="preserve">De cada 100 euros que paga la empresa, al menos 41 van a cotizaciones e IRPF; unos 48 con los demás impuestos de cada año; y hasta 53,6 con una hipótesis de reparto y una obligación futura. Le quedan 46,4. </w:t>
      </w:r>
      <w:r>
        <w:t>[21.00-3.2 a 3.8 y 3.15 a 3.23; 18.00-8.5]</w:t>
      </w:r>
    </w:p>
    <w:p>
      <w:r>
        <w:rPr>
          <w:b/>
        </w:rPr>
        <w:t>Las dos bases.</w:t>
      </w:r>
      <w:r>
        <w:t xml:space="preserve"> La nómina enseña el salario bruto, 30.237 euros, que no incluye la cotización de la empresa (9.243 euros, el 30,6 % del bruto). Por eso la misma carga se lee de dos maneras, y las dos son ciertas: sobre lo que paga la empresa, 53,6 de cada 100; y por cada 100 euros de salario bruto, la empresa desembolsa 130,6, de los que 69,9 van a la carga y 60,6 llegan al trabajador. Nunca se compara con 100 lo que suma 130,6. </w:t>
      </w:r>
      <w:r>
        <w:t>[21.00-3.10 y 3.11]</w:t>
      </w:r>
    </w:p>
    <w:p>
      <w:r>
        <w:rPr>
          <w:b/>
        </w:rPr>
        <w:t>El autónomo sin sociedad.</w:t>
      </w:r>
      <w:r>
        <w:t xml:space="preserve"> No tiene empresa que cotice por él: paga toda su cuota. Cotiza según sus rendimientos netos, en tablas de quince tramos, con una base mínima de 653,59 euros al mes en el primero de la tabla reducida y una máxima de 5.101,20</w:t>
      </w:r>
      <w:r>
        <w:t xml:space="preserve"> (Orden PJC/297/2026, art. 18.1)</w:t>
      </w:r>
      <w:r>
        <w:t>, y un tipo del 31,5 %: 28,30 de contingencias comunes, 1,30 de profesionales, 0,90 de equidad intergeneracional, 0,90 de cese de actividad y 0,10 de formación</w:t>
      </w:r>
      <w:r>
        <w:t xml:space="preserve"> (arts. 18.2 y 37)</w:t>
      </w:r>
      <w:r>
        <w:t xml:space="preserve">. Su cuota va de 205,88 a 1.606,88 euros al mes (cálculo). Con el mismo valor generado que el asalariado medio, las cinco capas suman en torno al 42 % si elige la base mínima de su tramo y en torno al 53 % si elige la máxima; con la mínima paga menos hoy, y su pensión se calculará sobre menos (cálculo de la obra con las reglas de 2026). </w:t>
      </w:r>
      <w:r>
        <w:t>[21.00-3.12, 3.14 y 9.2]</w:t>
      </w:r>
    </w:p>
    <w:p>
      <w:r>
        <w:rPr>
          <w:b/>
        </w:rPr>
        <w:t>El autónomo con sociedad.</w:t>
      </w:r>
      <w:r>
        <w:t xml:space="preserve"> Si administra una sociedad con al menos un 25 % o es socio con al menos un 33 %, su base no puede ser inferior a la mínima del grupo 7 del Régimen General</w:t>
      </w:r>
      <w:r>
        <w:t xml:space="preserve"> (Ley General de la Seguridad Social, art. 308.1.a, regla 4.ª)</w:t>
      </w:r>
      <w:r>
        <w:t>: 1.424,40 euros al mes en 2026</w:t>
      </w:r>
      <w:r>
        <w:t xml:space="preserve"> (Orden PJC/297/2026, art. 3)</w:t>
      </w:r>
      <w:r>
        <w:t>. Su cuota mínima ronda los 5.384 euros al año, frente a 2.470,56 del autónomo sin sociedad con la base más baja. Y la sociedad paga además el Impuesto de Sociedades: el 25 % en general; y, si factura menos de un millón de euros, el 19 % hasta 50.000 euros de base y el 21 % el resto en 2026 (21 y 22 % en 2025; 17 y 20 % en el régimen estable)</w:t>
      </w:r>
      <w:r>
        <w:t xml:space="preserve"> (Ley 27/2014, art. 29.1 y disposición transitoria cuadragésima cuarta)</w:t>
      </w:r>
      <w:r>
        <w:t xml:space="preserve">. Con el mismo valor generado, las cinco capas suman en torno al 42 % si todo se cobra como retribución, y al 48 % si se combina retribución y dividendos (cálculo de la obra). </w:t>
      </w:r>
      <w:r>
        <w:t>[21.00-3.13 y 9.3]</w:t>
      </w:r>
    </w:p>
    <w:p>
      <w:r>
        <w:rPr>
          <w:b/>
        </w:rPr>
        <w:t>Lo que cotiza el empleado, y lo que cotiza por él la empresa.</w:t>
      </w:r>
      <w:r>
        <w:t xml:space="preserve"> El trabajador aporta el 6,50 % de su salario: 4,70 de contingencias comunes, 0,15 de equidad intergeneracional, 1,55 de desempleo y 0,10 de formación. La empresa, el 30,65 %: 23,60, 0,75, 5,50, 0,20 de garantía salarial y 0,60</w:t>
      </w:r>
      <w:r>
        <w:t xml:space="preserve"> (Orden PJC/297/2026, arts. 4, 16 y 33)</w:t>
      </w:r>
      <w:r>
        <w:t xml:space="preserve">, más la de accidentes, que varía según la actividad. Sobre el salario medio de 2024, 29.540,26 euros, son 1.920,12 euros del trabajador y 9.054,09 de la empresa (cálculo). Los perfiles de funcionario, con su propio cálculo y sus cautelas, están en el </w:t>
      </w:r>
      <w:r>
        <w:t>anexo B</w:t>
      </w:r>
      <w:r>
        <w:t xml:space="preserve">. </w:t>
      </w:r>
      <w:r>
        <w:t>[21.00-9.4 a 9.11]</w:t>
      </w:r>
    </w:p>
    <w:p>
      <w:r>
        <w:rPr>
          <w:b/>
        </w:rPr>
        <w:t>Los costes indirectos.</w:t>
      </w:r>
      <w:r>
        <w:t xml:space="preserve"> La relación con la Administración obliga a pagar a terceros que no son impuestos: gestores y asesores, abogados y procuradores, notarios y registradores, arquitectos, ingenieros, peritos, entidades de certificación y colegios profesionales. Y la ley obliga a relacionarse por medios electrónicos, al menos, a «Las personas jurídicas» y a quienes ejercen una profesión con colegiación obligatoria</w:t>
      </w:r>
      <w:r>
        <w:t xml:space="preserve"> (Ley 39/2015, art. 14.2)</w:t>
      </w:r>
      <w:r>
        <w:t>. La ley exige proyecto técnico en la obra de nueva construcción, salvo las de escasa entidad constructiva y sencillez técnica que no tengan carácter residencial ni público y se desarrollen en una sola planta, y en las intervenciones que alteren la configuración arquitectónica</w:t>
      </w:r>
      <w:r>
        <w:t xml:space="preserve"> (Ley 38/1999, art. 2.2)</w:t>
      </w:r>
      <w:r>
        <w:t>; el visado colegial, en cambio, «únicamente» es obligatorio sobre ocho clases de trabajos, de la a) a la h): el proyecto de ejecución, el certificado final de obra, las legalizaciones, la demolición sin explosivos, las voladuras especiales, los explosivos y la cartuchería y pirotecnia</w:t>
      </w:r>
      <w:r>
        <w:t xml:space="preserve"> (Real Decreto 1000/2010, art. 2)</w:t>
      </w:r>
      <w:r>
        <w:t>. Cuánto suman esos honorarios no lo mide ninguna fuente oficial: es un hueco declarado, no una cifra. La ley obliga a quien tiene una actividad económica propia a conservar los justificantes de sus operaciones y a llevar contabilidad o, según su régimen, libros registro de ventas e ingresos, de compras y gastos y de bienes de inversión</w:t>
      </w:r>
      <w:r>
        <w:t xml:space="preserve"> (Real Decreto 439/2007, art. 68)</w:t>
      </w:r>
      <w:r>
        <w:t xml:space="preserve">. Hacerlo cuesta tiempo, o el sueldo y la cotización de quien lo haga, o los honorarios de la gestoría; no se ha encontrado ninguna cifra oficial de ese coste. </w:t>
      </w:r>
      <w:r>
        <w:t>[21.00-2.1, 7.2 a 7.5; 21.00-7.4]</w:t>
      </w:r>
    </w:p>
    <w:p>
      <w:r>
        <w:rPr>
          <w:b/>
        </w:rPr>
        <w:t>El tiempo de los trámites.</w:t>
      </w:r>
      <w:r>
        <w:t xml:space="preserve"> Una asociación de autónomos cifra en 226 horas al año el tiempo de cada autónomo en trámites, y, «Teniendo en cuenta un coste medio de 15 euros por hora», en 3.390 euros</w:t>
      </w:r>
      <w:r>
        <w:t xml:space="preserve"> (ATA, nota de 10-8-2026; asociación del sector)</w:t>
      </w:r>
      <w:r>
        <w:t>: unas cinco semanas y media de cuarenta horas. Para las pymes, otra fundación da 332 horas</w:t>
      </w:r>
      <w:r>
        <w:t xml:space="preserve"> (Fundación Civismo, 2021; estudio privado)</w:t>
      </w:r>
      <w:r>
        <w:t>. Y el Banco Mundial midió 143 horas al año para que una empresa mediana pague sus impuestos, menos que las 158,8 de los países ricos de la OCDE, pero con una tasa total del 47,0 % del beneficio, frente al 39,9 %</w:t>
      </w:r>
      <w:r>
        <w:t xml:space="preserve"> (Banco Mundial, Doing Business 2020, datos de 2018)</w:t>
      </w:r>
      <w:r>
        <w:t>. Para el asalariado no hay estudio equivalente, y tampoco se ha encontrado ninguno que mida el tiempo de atender las cartas del Estado, recoger notificaciones en Correos o desplazarse al ayuntamiento: queda como pregunta abierta. Ese tiempo también es tiempo de vida (</w:t>
      </w:r>
      <w:r>
        <w:t>8.3</w:t>
      </w:r>
      <w:r>
        <w:t xml:space="preserve">), y el </w:t>
      </w:r>
      <w:r>
        <w:t>anexo B</w:t>
      </w:r>
      <w:r>
        <w:t xml:space="preserve"> (</w:t>
      </w:r>
      <w:r>
        <w:t>B.6</w:t>
      </w:r>
      <w:r>
        <w:t xml:space="preserve">) lo valora en euros. </w:t>
      </w:r>
      <w:r>
        <w:t>[21.00-7.1, 7.5 a 7.9]</w:t>
      </w:r>
    </w:p>
    <w:p>
      <w:r>
        <w:rPr>
          <w:b/>
        </w:rPr>
        <w:t>Lo que se recibe.</w:t>
      </w:r>
      <w:r>
        <w:t xml:space="preserve"> Una pieza que mide solo lo que se cobra daría una imagen incompleta.</w:t>
      </w:r>
    </w:p>
    <w:p>
      <w:pPr>
        <w:pStyle w:val="ListBullet"/>
      </w:pPr>
      <w:r>
        <w:rPr>
          <w:b/>
        </w:rPr>
        <w:t>Pensiones.</w:t>
      </w:r>
      <w:r>
        <w:t xml:space="preserve"> La OCDE calcula que, con el salario medio y una carrera completa, la pensión en España sería el 80,4 % del salario, frente al 52,0 % de su media</w:t>
      </w:r>
      <w:r>
        <w:t xml:space="preserve"> (OCDE, Pensions at a Glance 2025, datos oficiales)</w:t>
      </w:r>
      <w:r>
        <w:t>. La de jubilación se resolvió en abril de 2026 en 9,28 días de media, con un máximo legal de 90</w:t>
      </w:r>
      <w:r>
        <w:t xml:space="preserve"> (Seguridad Social, nota de 26-5-2026)</w:t>
      </w:r>
      <w:r>
        <w:t>. Y la ley obliga a que las pensiones contributivas mantengan «su poder adquisitivo»</w:t>
      </w:r>
      <w:r>
        <w:t xml:space="preserve"> (Ley General de la Seguridad Social, art. 58.1)</w:t>
      </w:r>
      <w:r>
        <w:t>.</w:t>
      </w:r>
    </w:p>
    <w:p>
      <w:pPr>
        <w:pStyle w:val="ListBullet"/>
      </w:pPr>
      <w:r>
        <w:rPr>
          <w:b/>
        </w:rPr>
        <w:t>Sanidad.</w:t>
      </w:r>
      <w:r>
        <w:t xml:space="preserve"> A 31 de diciembre de 2025, 853.509 pacientes esperaban una operación, con una espera media de 121 días, y el 21,6 % llevaba más de seis meses</w:t>
      </w:r>
      <w:r>
        <w:t xml:space="preserve"> (Ministerio de Sanidad, listas de espera)</w:t>
      </w:r>
      <w:r>
        <w:t>. La espera media era de 50 días en Madrid y de 173 en Andalucía</w:t>
      </w:r>
      <w:r>
        <w:t xml:space="preserve"> (ídem, datos por comunidad)</w:t>
      </w:r>
      <w:r>
        <w:t>. Para ver al médico de familia, 8,85 días. Aun así, valoran bien la atención el 78,5 % de los atendidos en primaria, el 77,8 % en el hospital y el 73,5 % en urgencias, y la satisfacción general es de 6,02 sobre 10</w:t>
      </w:r>
      <w:r>
        <w:t xml:space="preserve"> (Barómetro Sanitario, julio de 2025)</w:t>
      </w:r>
      <w:r>
        <w:t>. La esperanza de vida, 84,0 años, frente a 81,5 en la UE</w:t>
      </w:r>
      <w:r>
        <w:t xml:space="preserve"> (Eurostat, 2024)</w:t>
      </w:r>
      <w:r>
        <w:t>.</w:t>
      </w:r>
    </w:p>
    <w:p>
      <w:pPr>
        <w:pStyle w:val="ListBullet"/>
      </w:pPr>
      <w:r>
        <w:rPr>
          <w:b/>
        </w:rPr>
        <w:t>Educación.</w:t>
      </w:r>
      <w:r>
        <w:t xml:space="preserve"> En PISA 2022, 473 puntos en matemáticas, sin diferencia significativa con la media de la OCDE (472), y con una bajada de 8 puntos desde 2018</w:t>
      </w:r>
      <w:r>
        <w:t xml:space="preserve"> (Ministerio de Educación, INEE, boletín n.º 79)</w:t>
      </w:r>
      <w:r>
        <w:t>.</w:t>
      </w:r>
    </w:p>
    <w:p>
      <w:pPr>
        <w:pStyle w:val="ListBullet"/>
      </w:pPr>
      <w:r>
        <w:rPr>
          <w:b/>
        </w:rPr>
        <w:t>La ayuda para hacer trámites.</w:t>
      </w:r>
      <w:r>
        <w:t xml:space="preserve"> Existe por ley, y la ley deja elegir: las personas físicas «podrán elegir en todo momento» si se comunican por medios electrónicos o no</w:t>
      </w:r>
      <w:r>
        <w:t xml:space="preserve"> (Ley 39/2015, art. 14.1)</w:t>
      </w:r>
      <w:r>
        <w:t>. Pero la cita previa obligatoria funciona como barrera, y el Defensor del Pueblo recomendó admitir escritos sin ella: «El registro público es la puerta de acceso de la ciudadanía a la Administración y, precisamente por ello, debe ofrecer las menores restricciones posibles»</w:t>
      </w:r>
      <w:r>
        <w:t xml:space="preserve"> (Defensor del Pueblo, recomendación de 23-8-2023, aceptada)</w:t>
      </w:r>
      <w:r>
        <w:br/>
      </w:r>
      <w:r>
        <w:rPr>
          <w:b/>
        </w:rPr>
        <w:t>leída en su fuente · Defensor del Pueblo, recomendación de 23-8-2023, aceptada</w:t>
      </w:r>
      <w:r>
        <w:br/>
      </w:r>
      <w:r>
        <w:rPr>
          <w:b/>
        </w:rPr>
        <w:t>Archivo leído:</w:t>
      </w:r>
      <w:r>
        <w:t xml:space="preserve"> 8.4_08_DefensorPueblo_23009282_cita_previa_OAMR_Murcia.html (c8b\8.4_08_DefensorPueblo_23009282_cita_previa_OAMR_Murcia.html) · contraste del archivo de pasajes: ✔</w:t>
      </w:r>
      <w:r>
        <w:br/>
      </w:r>
      <w:r>
        <w:rPr>
          <w:b/>
        </w:rPr>
        <w:t>Lugar:</w:t>
      </w:r>
      <w:r>
        <w:t xml:space="preserve"> Defensor del Pueblo, recomendación de 23-8-2023, aceptada</w:t>
      </w:r>
      <w:r>
        <w:br/>
      </w:r>
      <w:r>
        <w:rPr>
          <w:b/>
        </w:rPr>
        <w:t>Tal como está en la fuente:</w:t>
      </w:r>
      <w:r>
        <w:t xml:space="preserve"> El registro público es la puerta de acceso de la ciudadanía a la Administración y, precisamente por ello, debe ofrecer las menores restricciones posibles</w:t>
      </w:r>
      <w:r>
        <w:t>.</w:t>
      </w:r>
    </w:p>
    <w:p>
      <w:r>
        <w:t>[21.00-11.1 a 13.7]</w:t>
      </w:r>
    </w:p>
    <w:p>
      <w:r>
        <w:rPr>
          <w:b/>
        </w:rPr>
        <w:t>Conclusión, lo que arrojan los datos:</w:t>
      </w:r>
      <w:r>
        <w:t xml:space="preserve"> cada uno de estos hechos está verificado y varios ya se vieron por separado (</w:t>
      </w:r>
      <w:r>
        <w:t>7.6</w:t>
      </w:r>
      <w:r>
        <w:t>). Que su suma sea «servidumbre» o «extorsión», en el sentido estricto de esas palabras, excede lo que prueban: ninguno describe una coacción dirigida y consciente contra una persona concreta. Lo que sí describen, sin necesitar esas palabras, es una asimetría: el Estado extrae con automatismo y precisión, y devuelve con resultados desiguales. Es la misma asimetría de la auditoría, ahora en euros: el 62,1 % de incumplimiento en lo que la Constitución promete al ciudadano (</w:t>
      </w:r>
      <w:r>
        <w:t>7.4</w:t>
      </w:r>
      <w:r>
        <w:t xml:space="preserve">). </w:t>
      </w:r>
      <w:r>
        <w:t>[21.00-15.2 y 15.5]</w:t>
      </w:r>
    </w:p>
    <w:p>
      <w:r>
        <w:rPr>
          <w:b/>
        </w:rPr>
        <w:t>Lectura del autor:</w:t>
      </w:r>
      <w:r>
        <w:t xml:space="preserve"> la propuesta de la que parte este apartado es que la suma de la carga, la burocracia y los servicios que no llegan a tiempo configura una servidumbre económica encubierta. Y lo cuenta quien lo vive, autónomo: aunque tenga gestoría, tiene que recopilar las facturas, revisar los documentos y preparar facturas que el cliente no pide, solo para poder declarar lo que gana; delegar cuesta honorarios y no quita ese trabajo; si lo hace una persona contratada para ello, cuesta su sueldo y su cotización a la Seguridad Social; y si no hay quien lo haga, se hace en el tiempo libre. Es experiencia del autor, no una estadística. Y esa carga tiene, para el autor, daños laterales: encarece toda la interacción económica entre los hombres, y es muy pesada. No está medido. Y la dispersión de los datos sobre cuántos son y cuánto cobran los cargos políticos y sus asesores funciona como una forma de dificultar su conocimiento (</w:t>
      </w:r>
      <w:r>
        <w:t>8.6</w:t>
      </w:r>
      <w:r>
        <w:t xml:space="preserve">); que esa dispersión haya sido buscada, los hechos no lo demuestran ni lo descartan. </w:t>
      </w:r>
      <w:r>
        <w:t>[21.00-15.1, 15.3 y 7.8]</w:t>
      </w:r>
    </w:p>
    <w:p>
      <w:pPr>
        <w:pStyle w:val="Heading2"/>
      </w:pPr>
      <w:r>
        <w:t>8.5 La extracción</w:t>
      </w:r>
    </w:p>
    <w:p>
      <w:pPr>
        <w:pBdr>
          <w:left w:val="single" w:sz="24" w:space="6" w:color="E2DED6"/>
        </w:pBdr>
        <w:shd w:val="clear" w:color="auto" w:fill="F1EEE8"/>
        <w:spacing w:before="80" w:after="160"/>
        <w:ind w:left="142" w:right="142"/>
      </w:pPr>
      <w:r>
        <w:rPr>
          <w:b/>
        </w:rPr>
        <w:t>La idea: el sistema toma actuando, y toma también no actuando. Cuando el ciudadano omite, el sistema tiene recargo, sanción y apremio; cuando omite el sistema, el ciudadano tiene que acudir a un tribunal y esperar años.</w:t>
      </w:r>
    </w:p>
    <w:p>
      <w:r>
        <w:rPr>
          <w:b/>
        </w:rPr>
        <w:t>La vara.</w:t>
      </w:r>
      <w:r>
        <w:t xml:space="preserve"> Es la del daño (</w:t>
      </w:r>
      <w:r>
        <w:t>2.3</w:t>
      </w:r>
      <w:r>
        <w:t>): el poder se ejerce legítimamente para evitar un daño a otros. Y para las omisiones, la obra se pone una regla estricta: solo cuenta una si hay (</w:t>
      </w:r>
      <w:r>
        <w:t>1</w:t>
      </w:r>
      <w:r>
        <w:t>) un deber jurídico documentado de actuar, (</w:t>
      </w:r>
      <w:r>
        <w:t>2</w:t>
      </w:r>
      <w:r>
        <w:t>) un plazo vencido y verificable, y (</w:t>
      </w:r>
      <w:r>
        <w:t>3</w:t>
      </w:r>
      <w:r>
        <w:t>) un tercero que lo certifique, un tribunal, la Comisión Europea o el propio Gobierno por escrito. Si falta una, es retraso, no omisión. El criterio lo toma del Código Penal, sin imputar nada a nadie: un resultado se entiende causado por omisión cuando su no evitación, «al infringir un especial deber jurídico del autor, equivalga, según el sentido del texto de la ley, a su causación»</w:t>
      </w:r>
      <w:r>
        <w:t xml:space="preserve"> (Código Penal, art. 11)</w:t>
      </w:r>
      <w:r>
        <w:br/>
      </w:r>
      <w:r>
        <w:rPr>
          <w:b/>
        </w:rPr>
        <w:t>leída en su fuente · Código Penal, art. 11</w:t>
      </w:r>
      <w:r>
        <w:br/>
      </w:r>
      <w:r>
        <w:rPr>
          <w:b/>
        </w:rPr>
        <w:t>Archivo leído:</w:t>
      </w:r>
      <w:r>
        <w:t xml:space="preserve"> cp.html (c2\cp.html) · contraste del archivo de pasajes: ✔</w:t>
      </w:r>
      <w:r>
        <w:br/>
      </w:r>
      <w:r>
        <w:rPr>
          <w:b/>
        </w:rPr>
        <w:t>Lugar:</w:t>
      </w:r>
      <w:r>
        <w:t xml:space="preserve"> Código Penal, art. 11</w:t>
      </w:r>
      <w:r>
        <w:br/>
      </w:r>
      <w:r>
        <w:rPr>
          <w:b/>
        </w:rPr>
        <w:t>Tal como está en la fuente:</w:t>
      </w:r>
      <w:r>
        <w:t xml:space="preserve"> al infringir un especial deber jurídico del autor, equivalga, según el sentido del texto de la ley, a su causación</w:t>
      </w:r>
      <w:r>
        <w:t xml:space="preserve">. </w:t>
      </w:r>
      <w:r>
        <w:t>[20.00-1.2, 30.1 y 30.2]</w:t>
      </w:r>
    </w:p>
    <w:p>
      <w:r>
        <w:rPr>
          <w:b/>
        </w:rPr>
        <w:t>1. La obligación que entra estrecha y se ensancha.</w:t>
      </w:r>
    </w:p>
    <w:p>
      <w:pPr>
        <w:pStyle w:val="ListBullet"/>
      </w:pPr>
      <w:r>
        <w:rPr>
          <w:b/>
        </w:rPr>
        <w:t>El IVA</w:t>
      </w:r>
      <w:r>
        <w:t xml:space="preserve"> entró en 1986 con un tipo general del 12 %</w:t>
      </w:r>
      <w:r>
        <w:t xml:space="preserve"> (Ley 30/1985, art. 27.1)</w:t>
      </w:r>
      <w:r>
        <w:t>; pasó al 13 % el 1 de enero de 1992</w:t>
      </w:r>
      <w:r>
        <w:t xml:space="preserve"> (Ley 31/1991, art. 81)</w:t>
      </w:r>
      <w:r>
        <w:t>, al 15 % el 1 de agosto de 1992</w:t>
      </w:r>
      <w:r>
        <w:t xml:space="preserve"> (Real Decreto-ley 5/1992, art. 1.1)</w:t>
      </w:r>
      <w:r>
        <w:t>, al 16 % en 1995</w:t>
      </w:r>
      <w:r>
        <w:t xml:space="preserve"> (Ley 41/1994, art. 78)</w:t>
      </w:r>
      <w:r>
        <w:t>, al 18 % el 1 de julio de 2010</w:t>
      </w:r>
      <w:r>
        <w:t xml:space="preserve"> (Ley 26/2009, art. 79)</w:t>
      </w:r>
      <w:r>
        <w:t xml:space="preserve"> y al 21 % el 1 de septiembre de 2012</w:t>
      </w:r>
      <w:r>
        <w:t xml:space="preserve"> (Real Decreto-ley 20/2012, art. 23)</w:t>
      </w:r>
      <w:r>
        <w:t>.</w:t>
      </w:r>
    </w:p>
    <w:p>
      <w:pPr>
        <w:pStyle w:val="ListBullet"/>
      </w:pPr>
      <w:r>
        <w:rPr>
          <w:b/>
        </w:rPr>
        <w:t>El cinturón:</w:t>
      </w:r>
      <w:r>
        <w:t xml:space="preserve"> obligatorio de instalar en los asientos delanteros en 1972</w:t>
      </w:r>
      <w:r>
        <w:t xml:space="preserve"> (Decreto 3530/1972)</w:t>
      </w:r>
      <w:r>
        <w:t>, de usar en vías interurbanas desde el 11 de noviembre de 1974</w:t>
      </w:r>
      <w:r>
        <w:t xml:space="preserve"> (Decreto 2926/1974)</w:t>
      </w:r>
      <w:r>
        <w:t>, y en 1992 también en vías urbanas y, para los turismos nuevos, en los asientos traseros</w:t>
      </w:r>
      <w:r>
        <w:t xml:space="preserve"> (Real Decreto 13/1992, art. 117 y disposiciones transitorias)</w:t>
      </w:r>
      <w:r>
        <w:t>.</w:t>
      </w:r>
    </w:p>
    <w:p>
      <w:pPr>
        <w:pStyle w:val="ListBullet"/>
      </w:pPr>
      <w:r>
        <w:rPr>
          <w:b/>
        </w:rPr>
        <w:t>El casco:</w:t>
      </w:r>
      <w:r>
        <w:t xml:space="preserve"> desde 1982, para las motos de más de 125 centímetros cúbicos en todas las vías y para las demás solo en las interurbanas</w:t>
      </w:r>
      <w:r>
        <w:t xml:space="preserve"> (Real Decreto 1467/1981)</w:t>
      </w:r>
      <w:r>
        <w:t>; desde 1992, para todas, en todas las vías</w:t>
      </w:r>
      <w:r>
        <w:t xml:space="preserve"> (Real Decreto 13/1992, art. 118.1)</w:t>
      </w:r>
      <w:r>
        <w:t>.</w:t>
      </w:r>
    </w:p>
    <w:p>
      <w:pPr>
        <w:pStyle w:val="ListBullet"/>
      </w:pPr>
      <w:r>
        <w:rPr>
          <w:b/>
        </w:rPr>
        <w:t>Y las excepciones</w:t>
      </w:r>
      <w:r>
        <w:t>, que también se dicen: el tipo incrementado del IVA bajó del 33 % al 28 % en 1992 y se suprimió en 1993</w:t>
      </w:r>
      <w:r>
        <w:t xml:space="preserve"> (Leyes 30/1985, 31/1991 y 37/1992)</w:t>
      </w:r>
      <w:r>
        <w:t>; y el cargo al autoconsumo eléctrico de 2015</w:t>
      </w:r>
      <w:r>
        <w:t xml:space="preserve"> (Real Decreto 900/2015, art. 17)</w:t>
      </w:r>
      <w:r>
        <w:t xml:space="preserve"> se derogó en 2018: «se reconoce el derecho a autoconsumir energía eléctrica sin cargos»</w:t>
      </w:r>
      <w:r>
        <w:t xml:space="preserve"> (Real Decreto-ley 15/2018, exposición de motivos)</w:t>
      </w:r>
      <w:r>
        <w:br/>
      </w:r>
      <w:r>
        <w:rPr>
          <w:b/>
        </w:rPr>
        <w:t>leída en su fuente · Real Decreto-ley 15/2018, exposición de motivos</w:t>
      </w:r>
      <w:r>
        <w:br/>
      </w:r>
      <w:r>
        <w:rPr>
          <w:b/>
        </w:rPr>
        <w:t>Archivo leído:</w:t>
      </w:r>
      <w:r>
        <w:t xml:space="preserve"> 8.5_17i_RDL_15-2018_BOE-A-2018-13593.html (c8c\8.5_17i_RDL_15-2018_BOE-A-2018-13593.html) · contraste del archivo de pasajes: ✔</w:t>
      </w:r>
      <w:r>
        <w:br/>
      </w:r>
      <w:r>
        <w:rPr>
          <w:b/>
        </w:rPr>
        <w:t>Lugar:</w:t>
      </w:r>
      <w:r>
        <w:t xml:space="preserve"> Real Decreto-ley 15/2018, exposición de motivos</w:t>
      </w:r>
      <w:r>
        <w:br/>
      </w:r>
      <w:r>
        <w:rPr>
          <w:b/>
        </w:rPr>
        <w:t>Tal como está en la fuente:</w:t>
      </w:r>
      <w:r>
        <w:t xml:space="preserve"> se reconoce el derecho a autoconsumir energía eléctrica sin cargos</w:t>
      </w:r>
      <w:r>
        <w:t>.</w:t>
      </w:r>
    </w:p>
    <w:p>
      <w:r>
        <w:t xml:space="preserve">La obligación suele entrar estrecha y ensancharse después. No siempre. </w:t>
      </w:r>
      <w:r>
        <w:t>[20.00-16.1 y 16.2; normas leídas en el BOE]</w:t>
      </w:r>
    </w:p>
    <w:p>
      <w:r>
        <w:rPr>
          <w:b/>
        </w:rPr>
        <w:t>2. Lo firme no se revisa, con una excepción.</w:t>
      </w:r>
      <w:r>
        <w:t xml:space="preserve"> La ley de los estados de alarma permite «Practicar requisas temporales de todo tipo de bienes e imponer prestaciones personales obligatorias»</w:t>
      </w:r>
      <w:r>
        <w:t xml:space="preserve"> (Ley Orgánica 4/1981, art. 11.b)</w:t>
      </w:r>
      <w:r>
        <w:br/>
      </w:r>
      <w:r>
        <w:rPr>
          <w:b/>
        </w:rPr>
        <w:t>leída en su fuente · Ley Orgánica 4/1981, art. 11.b</w:t>
      </w:r>
      <w:r>
        <w:br/>
      </w:r>
      <w:r>
        <w:rPr>
          <w:b/>
        </w:rPr>
        <w:t>Archivo leído:</w:t>
      </w:r>
      <w:r>
        <w:t xml:space="preserve"> 8.5_08a_LO_4-1981_estados_alarma_BOE.html (c8c\8.5_08a_LO_4-1981_estados_alarma_BOE.html) · contraste del archivo de pasajes: ✔</w:t>
      </w:r>
      <w:r>
        <w:br/>
      </w:r>
      <w:r>
        <w:rPr>
          <w:b/>
        </w:rPr>
        <w:t>Lugar:</w:t>
      </w:r>
      <w:r>
        <w:t xml:space="preserve"> Ley Orgánica 4/1981, art. 11.b</w:t>
      </w:r>
      <w:r>
        <w:br/>
      </w:r>
      <w:r>
        <w:rPr>
          <w:b/>
        </w:rPr>
        <w:t>Tal como está en la fuente:</w:t>
      </w:r>
      <w:r>
        <w:t xml:space="preserve"> Practicar requisas temporales de todo tipo de bienes e imponer prestaciones personales obligatorias</w:t>
      </w:r>
      <w:r>
        <w:t>, y no se ha reformado desde 1981. Cuando terminan, caen las medidas, «salvo las que consistiesen en sanciones firmes»</w:t>
      </w:r>
      <w:r>
        <w:t xml:space="preserve"> (art. 1.3)</w:t>
      </w:r>
      <w:r>
        <w:br/>
      </w:r>
      <w:r>
        <w:rPr>
          <w:b/>
        </w:rPr>
        <w:t>leída en su fuente · art. 1.3</w:t>
      </w:r>
      <w:r>
        <w:br/>
      </w:r>
      <w:r>
        <w:rPr>
          <w:b/>
        </w:rPr>
        <w:t>Archivo leído:</w:t>
      </w:r>
      <w:r>
        <w:t xml:space="preserve"> 8.5_08a_LO_4-1981_estados_alarma_BOE.html (c8c\8.5_08a_LO_4-1981_estados_alarma_BOE.html) · contraste del archivo de pasajes: ✔</w:t>
      </w:r>
      <w:r>
        <w:br/>
      </w:r>
      <w:r>
        <w:rPr>
          <w:b/>
        </w:rPr>
        <w:t>Lugar:</w:t>
      </w:r>
      <w:r>
        <w:t xml:space="preserve"> art. 1.3</w:t>
      </w:r>
      <w:r>
        <w:br/>
      </w:r>
      <w:r>
        <w:rPr>
          <w:b/>
        </w:rPr>
        <w:t>Tal como está en la fuente:</w:t>
      </w:r>
      <w:r>
        <w:t xml:space="preserve"> salvo las que consistiesen en sanciones firmes</w:t>
      </w:r>
      <w:r>
        <w:t>. El Constitucional anuló parte del primer estado de alarma (</w:t>
      </w:r>
      <w:r>
        <w:t>7.2</w:t>
      </w:r>
      <w:r>
        <w:t>, n.º 9) y fijó los efectos: no se revisan los procesos con cosa juzgada, las situaciones decididas por actos administrativos firmes ni «las demás situaciones jurídicas generadas por la aplicación de los preceptos anulados»; pero «sí es posible la revisión» de las sanciones penales o administrativas, por el art. 40.1 de su ley orgánica; y, «al tratarse de medidas que los ciudadanos tenían el deber jurídico de soportar», la sentencia no da por sí misma derecho a indemnización</w:t>
      </w:r>
      <w:r>
        <w:t xml:space="preserve"> (STC 148/2021, FJ 11)</w:t>
      </w:r>
      <w:r>
        <w:t>. Es el mismo patrón que la plusvalía (</w:t>
      </w:r>
      <w:r>
        <w:t>5.1</w:t>
      </w:r>
      <w:r>
        <w:t>, n.º 9) y que la Zona de Bajas Emisiones de Madrid (</w:t>
      </w:r>
      <w:r>
        <w:t>7.5</w:t>
      </w:r>
      <w:r>
        <w:t>, caso 2): el Supremo inadmitió el recurso del Ayuntamiento y la anulación es firme</w:t>
      </w:r>
      <w:r>
        <w:t xml:space="preserve"> (auto del Tribunal Supremo de 15-4-2026)</w:t>
      </w:r>
      <w:r>
        <w:t>; la nueva ordenanza rige hacia delante</w:t>
      </w:r>
      <w:r>
        <w:t xml:space="preserve"> (Ordenanza 2/2026, BOCM de 6-4-2026)</w:t>
      </w:r>
      <w:r>
        <w:t>, y el Ayuntamiento no devuelve lo cobrado, según la prensa</w:t>
      </w:r>
      <w:r>
        <w:t xml:space="preserve"> (fuente secundaria: prensa, abril y julio de 2026)</w:t>
      </w:r>
      <w:r>
        <w:t xml:space="preserve">. </w:t>
      </w:r>
      <w:r>
        <w:t>[20.00-17.1, 17.2 y 19.1 a 19.3]</w:t>
      </w:r>
    </w:p>
    <w:p>
      <w:r>
        <w:rPr>
          <w:b/>
        </w:rPr>
        <w:t>3. La gasolina.</w:t>
      </w:r>
      <w:r>
        <w:t xml:space="preserve"> Entre el 1 de enero de 2013 y el 1 de enero de 2019, las comunidades autónomas pudieron fijar un tramo propio del impuesto sobre hidrocarburos</w:t>
      </w:r>
      <w:r>
        <w:t xml:space="preserve"> (STS 872/2026)</w:t>
      </w:r>
      <w:r>
        <w:t>. El Tribunal de Justicia de la UE declaró que la directiva europea se opone a una norma que autoriza a las comunidades «a establecer tipos del impuesto especial diferenciados para un mismo producto y un mismo uso»</w:t>
      </w:r>
      <w:r>
        <w:t xml:space="preserve"> (sentencia de 30-5-2024, C-743/22)</w:t>
      </w:r>
      <w:r>
        <w:br/>
      </w:r>
      <w:r>
        <w:rPr>
          <w:b/>
        </w:rPr>
        <w:t>leída en su fuente · sentencia de 30-5-2024, C-743/22</w:t>
      </w:r>
      <w:r>
        <w:br/>
      </w:r>
      <w:r>
        <w:rPr>
          <w:b/>
        </w:rPr>
        <w:t>Archivo leído:</w:t>
      </w:r>
      <w:r>
        <w:t xml:space="preserve"> 8.5_12a_STJUE_C-743-22_30-05-2024_EURLex.html (c8c\8.5_12a_STJUE_C-743-22_30-05-2024_EURLex.html) · contraste del archivo de pasajes: ✔</w:t>
      </w:r>
      <w:r>
        <w:br/>
      </w:r>
      <w:r>
        <w:rPr>
          <w:b/>
        </w:rPr>
        <w:t>Lugar:</w:t>
      </w:r>
      <w:r>
        <w:t xml:space="preserve"> sentencia de 30-5-2024, C-743/22</w:t>
      </w:r>
      <w:r>
        <w:br/>
      </w:r>
      <w:r>
        <w:rPr>
          <w:b/>
        </w:rPr>
        <w:t>Tal como está en la fuente:</w:t>
      </w:r>
      <w:r>
        <w:t xml:space="preserve"> a establecer tipos del impuesto especial diferenciados para un mismo producto y un mismo uso</w:t>
      </w:r>
      <w:r>
        <w:t>. Antes ya había condenado a España por poner trabas a la indemnización de los daños causados por el legislador contra el derecho de la Unión</w:t>
      </w:r>
      <w:r>
        <w:t xml:space="preserve"> (sentencia de 28-6-2022, C-278/20)</w:t>
      </w:r>
      <w:r>
        <w:t>. Hacienda inadmitió las reclamaciones por fuera de plazo; el Supremo anuló esa inadmisión y ordenó al Consejo de Ministros tramitar el procedimiento «con libertad de criterios»; pero advirtió que «no resulta posible afirmar, en este momento procesal, la acreditación suficiente del perjuicio alegado»</w:t>
      </w:r>
      <w:r>
        <w:t xml:space="preserve"> (STS 872/2026, de 9-7-2026)</w:t>
      </w:r>
      <w:r>
        <w:br/>
      </w:r>
      <w:r>
        <w:rPr>
          <w:b/>
        </w:rPr>
        <w:t>pasaje guardado · STS 872/2026, de 9-7-2026</w:t>
      </w:r>
      <w:r>
        <w:br/>
      </w:r>
      <w:r>
        <w:rPr>
          <w:b/>
        </w:rPr>
        <w:t>Archivo leído:</w:t>
      </w:r>
      <w:r>
        <w:t xml:space="preserve"> 8.5_12c_STS_09-07-2026_tramo_autonomico_hidrocarburos_ECLI_ES_TS_2026_3102.pdf (c8c\8.5_12c_STS_09-07-2026_tramo_autonomico_hidrocarburos_ECLI_ES_TS_2026_3102.pdf) · contraste del archivo de pasajes: parcial</w:t>
      </w:r>
      <w:r>
        <w:br/>
      </w:r>
      <w:r>
        <w:rPr>
          <w:b/>
        </w:rPr>
        <w:t>Lugar:</w:t>
      </w:r>
      <w:r>
        <w:t xml:space="preserve"> STS 872/2026, de 9-7-2026</w:t>
      </w:r>
      <w:r>
        <w:br/>
      </w:r>
      <w:r>
        <w:rPr>
          <w:b/>
        </w:rPr>
        <w:t>Tal como está en la fuente:</w:t>
      </w:r>
      <w:r>
        <w:t xml:space="preserve"> no resulta posible afirmar, en este momento procesal, la acreditación suficiente del perjuicio alegado</w:t>
      </w:r>
      <w:r>
        <w:t xml:space="preserve">. Es una victoria de acceso, no de cobro. </w:t>
      </w:r>
      <w:r>
        <w:t>[20.00-21.1 y 21.2]</w:t>
      </w:r>
    </w:p>
    <w:p>
      <w:r>
        <w:rPr>
          <w:b/>
        </w:rPr>
        <w:t>4. La franquicia del IVA.</w:t>
      </w:r>
      <w:r>
        <w:t xml:space="preserve"> Ya se vio (</w:t>
      </w:r>
      <w:r>
        <w:t>7.5</w:t>
      </w:r>
      <w:r>
        <w:t>, caso 1). La Comisión lo dice así: España «Es el único Estado miembro que no lo ha hecho»</w:t>
      </w:r>
      <w:r>
        <w:t xml:space="preserve"> (Comisión Europea, comunicado de 11-3-2026)</w:t>
      </w:r>
      <w:r>
        <w:br/>
      </w:r>
      <w:r>
        <w:rPr>
          <w:b/>
        </w:rPr>
        <w:t>leída en su fuente · Comisión Europea, comunicado de 11-3-2026</w:t>
      </w:r>
      <w:r>
        <w:br/>
      </w:r>
      <w:r>
        <w:rPr>
          <w:b/>
        </w:rPr>
        <w:t>Archivo leído:</w:t>
      </w:r>
      <w:r>
        <w:t xml:space="preserve"> 19.00_Comision_Europea_IP_26_442_ES_Espana_TJUE_IVA.pdf (c7a\19.00_Comision_Europea_IP_26_442_ES_Espana_TJUE_IVA.pdf) · contraste del archivo de pasajes: ✔</w:t>
      </w:r>
      <w:r>
        <w:br/>
      </w:r>
      <w:r>
        <w:rPr>
          <w:b/>
        </w:rPr>
        <w:t>Lugar:</w:t>
      </w:r>
      <w:r>
        <w:t xml:space="preserve"> Comisión Europea, comunicado de 11-3-2026</w:t>
      </w:r>
      <w:r>
        <w:br/>
      </w:r>
      <w:r>
        <w:rPr>
          <w:b/>
        </w:rPr>
        <w:t>Tal como está en la fuente:</w:t>
      </w:r>
      <w:r>
        <w:t xml:space="preserve"> Es el único Estado miembro que no lo ha hecho</w:t>
      </w:r>
      <w:r>
        <w:t>. Pide que se calcule una suma a tanto alzado con 32.430 euros por día de retraso, con un mínimo de 7.540.000, y, si sigue sin transponer cuando haya sentencia, una multa de 135.811,20 euros al día</w:t>
      </w:r>
      <w:r>
        <w:t xml:space="preserve"> (asunto C-504/26, Diario Oficial de la UE, 6-7-2026)</w:t>
      </w:r>
      <w:r>
        <w:t>. Está pedido, no impuesto. Y dentro de España hubo quien movió ficha: Canarias subió su franquicia del impuesto canario «del límite actual de 30.000 euros hasta los 50.000 euros»</w:t>
      </w:r>
      <w:r>
        <w:t xml:space="preserve"> (Decreto ley 3/2026 de Canarias, exposición de motivos)</w:t>
      </w:r>
      <w:r>
        <w:br/>
      </w:r>
      <w:r>
        <w:rPr>
          <w:b/>
        </w:rPr>
        <w:t>leída en su fuente · Decreto ley 3/2026 de Canarias, exposición de motivos</w:t>
      </w:r>
      <w:r>
        <w:br/>
      </w:r>
      <w:r>
        <w:rPr>
          <w:b/>
        </w:rPr>
        <w:t>Archivo leído:</w:t>
      </w:r>
      <w:r>
        <w:t xml:space="preserve"> 8.5_13c_BOC_066_07-04-2026_Decreto_ley_3-2026_Canarias.pdf (c8c\8.5_13c_BOC_066_07-04-2026_Decreto_ley_3-2026_Canarias.pdf) · contraste del archivo de pasajes: ✔</w:t>
      </w:r>
      <w:r>
        <w:br/>
      </w:r>
      <w:r>
        <w:rPr>
          <w:b/>
        </w:rPr>
        <w:t>Lugar:</w:t>
      </w:r>
      <w:r>
        <w:t xml:space="preserve"> Decreto ley 3/2026 de Canarias, exposición de motivos</w:t>
      </w:r>
      <w:r>
        <w:br/>
      </w:r>
      <w:r>
        <w:rPr>
          <w:b/>
        </w:rPr>
        <w:t>Tal como está en la fuente:</w:t>
      </w:r>
      <w:r>
        <w:t xml:space="preserve"> del límite actual de 30.000 euros hasta los 50.000 euros</w:t>
      </w:r>
      <w:r>
        <w:t xml:space="preserve">. </w:t>
      </w:r>
      <w:r>
        <w:t>[20.00-25.1 y 25.2]</w:t>
      </w:r>
    </w:p>
    <w:p>
      <w:r>
        <w:rPr>
          <w:b/>
        </w:rPr>
        <w:t>5. El algoritmo del bono social.</w:t>
      </w:r>
      <w:r>
        <w:t xml:space="preserve"> La Administración decide con un programa, BOSCO, quién recibe el descuento en la luz de los hogares vulnerables. Una fundación pidió su código para comprobar si aplicaba bien la ley; se le negó. El Supremo declaró «el derecho de la Fundación Ciudadana Civio a acceder al código fuente de la aplicación informática BOSCO, condenando a la Administración demandada a proporcionárselo»</w:t>
      </w:r>
      <w:r>
        <w:t xml:space="preserve"> (STS 1119/2025, de 11-9-2025)</w:t>
      </w:r>
      <w:r>
        <w:br/>
      </w:r>
      <w:r>
        <w:rPr>
          <w:b/>
        </w:rPr>
        <w:t>leída en su fuente · STS 1119/2025, de 11-9-2025</w:t>
      </w:r>
      <w:r>
        <w:br/>
      </w:r>
      <w:r>
        <w:rPr>
          <w:b/>
        </w:rPr>
        <w:t>Archivo leído:</w:t>
      </w:r>
      <w:r>
        <w:t xml:space="preserve"> 8.5_14_STS_1119-2025_BOSCO_Civio_ECLI_ES_TS_2025_3826.pdf (c8c\8.5_14_STS_1119-2025_BOSCO_Civio_ECLI_ES_TS_2025_3826.pdf) · contraste del archivo de pasajes: ✔</w:t>
      </w:r>
      <w:r>
        <w:br/>
      </w:r>
      <w:r>
        <w:rPr>
          <w:b/>
        </w:rPr>
        <w:t>Lugar:</w:t>
      </w:r>
      <w:r>
        <w:t xml:space="preserve"> STS 1119/2025, de 11-9-2025</w:t>
      </w:r>
      <w:r>
        <w:br/>
      </w:r>
      <w:r>
        <w:rPr>
          <w:b/>
        </w:rPr>
        <w:t>Tal como está en la fuente:</w:t>
      </w:r>
      <w:r>
        <w:t xml:space="preserve"> el derecho de la Fundación Ciudadana Civio a acceder al código fuente de la aplicación informática BOSCO, condenando a la Administración demandada a proporcionárselo</w:t>
      </w:r>
      <w:r>
        <w:t xml:space="preserve">. Entre la resolución del Consejo de Transparencia, de febrero de 2019, y la sentencia pasaron más de seis años. </w:t>
      </w:r>
      <w:r>
        <w:t>[20.00-26.1 y 26.2]</w:t>
      </w:r>
    </w:p>
    <w:p>
      <w:r>
        <w:rPr>
          <w:b/>
        </w:rPr>
        <w:t>6. La medida que sanciona.</w:t>
      </w:r>
      <w:r>
        <w:t xml:space="preserve"> Un aparato que mide para sancionar debe pasar control metrológico: «lo determinante es si para la constancia de una conducta infractora miden cierto parámetro»</w:t>
      </w:r>
      <w:r>
        <w:t xml:space="preserve"> (STS de 12-11-2015, rec. 816/2015, FJ 10)</w:t>
      </w:r>
      <w:r>
        <w:br/>
      </w:r>
      <w:r>
        <w:rPr>
          <w:b/>
        </w:rPr>
        <w:t>leída en su fuente · STS de 12-11-2015, rec. 816/2015, FJ 10</w:t>
      </w:r>
      <w:r>
        <w:br/>
      </w:r>
      <w:r>
        <w:rPr>
          <w:b/>
        </w:rPr>
        <w:t>Archivo leído:</w:t>
      </w:r>
      <w:r>
        <w:t xml:space="preserve"> 8.5_11c_STS_12-11-2015_rec_816-2015_foto-rojo_San_Sebastian_civil-mercantil.pdf (c8c\8.5_11c_STS_12-11-2015_rec_816-2015_foto-rojo_San_Sebastian_civil-mercantil.pdf) · contraste del archivo de pasajes: ✔</w:t>
      </w:r>
      <w:r>
        <w:br/>
      </w:r>
      <w:r>
        <w:rPr>
          <w:b/>
        </w:rPr>
        <w:t>Lugar:</w:t>
      </w:r>
      <w:r>
        <w:t xml:space="preserve"> STS de 12-11-2015, rec. 816/2015, FJ 10</w:t>
      </w:r>
      <w:r>
        <w:br/>
      </w:r>
      <w:r>
        <w:rPr>
          <w:b/>
        </w:rPr>
        <w:t>Tal como está en la fuente:</w:t>
      </w:r>
      <w:r>
        <w:t xml:space="preserve"> lo determinante es si para la constancia de una conducta infractora miden cierto parámetro</w:t>
      </w:r>
      <w:r>
        <w:t>; y el foto-rojo «sí hace mediciones»</w:t>
      </w:r>
      <w:r>
        <w:t xml:space="preserve"> (STS 1978/2017, citada por el Procurador del Común; fuente secundaria: no se ha podido leer entera)</w:t>
      </w:r>
      <w:r>
        <w:t>. Para los radares, el margen de error es del 5 % si miden desde una ubicación sin movimiento, y del 7 % si se mueven</w:t>
      </w:r>
      <w:r>
        <w:t xml:space="preserve"> (STS 184/2018)</w:t>
      </w:r>
      <w:r>
        <w:t xml:space="preserve">. </w:t>
      </w:r>
      <w:r>
        <w:t>[20.00-20.1 y 20.2]</w:t>
      </w:r>
    </w:p>
    <w:p>
      <w:r>
        <w:rPr>
          <w:b/>
        </w:rPr>
        <w:t>7. La dependencia.</w:t>
      </w:r>
      <w:r>
        <w:t xml:space="preserve"> En 2025, 32.704 personas murieron esperando una respuesta del sistema de dependencia: 17.994 sin que se les hubiera resuelto el grado y 14.710 con el grado reconocido, esperando la prestación. Fueron 40.447 en 2023 y 34.252 en 2024; el tiempo medio de resolución, 341 días</w:t>
      </w:r>
      <w:r>
        <w:t xml:space="preserve"> (Observatorio Estatal de la Dependencia, XXVI Dictamen, presentado en el Congreso el 13-3-2026)</w:t>
      </w:r>
      <w:r>
        <w:t>. Una persona cada dieciséis minutos. A 31 de marzo de 2026 esperaban 271.556 personas: 118.716 sin valorar y 152.840 con la prestación reconocida</w:t>
      </w:r>
      <w:r>
        <w:t xml:space="preserve"> (nota de la Asociación de Directoras y Gerentes de Servicios Sociales, 10-4-2026, con datos del Ministerio)</w:t>
      </w:r>
      <w:r>
        <w:t xml:space="preserve">. </w:t>
      </w:r>
      <w:r>
        <w:t>[20.00-11.1 a 11.3]</w:t>
      </w:r>
    </w:p>
    <w:p>
      <w:r>
        <w:rPr>
          <w:b/>
        </w:rPr>
        <w:t>8. Los aforados.</w:t>
      </w:r>
      <w:r>
        <w:t xml:space="preserve"> El presidente del Consejo General del Poder Judicial lo dijo en el Congreso en 2017: «en España existen actualmente casi 250.000 aforados. De estos, algo más de 232.000 lo son de las Fuerzas y Cuerpos de Seguridad, estatales, autonómicos y locales; cinco son miembros de la familia real y el resto, 17.603, pertenecen a instituciones del Estado y de las comunidades autónomas»</w:t>
      </w:r>
      <w:r>
        <w:t xml:space="preserve"> (Diario de Sesiones del Congreso, Comisión de Justicia, n.º 157, 15-3-2017)</w:t>
      </w:r>
      <w:r>
        <w:br/>
      </w:r>
      <w:r>
        <w:rPr>
          <w:b/>
        </w:rPr>
        <w:t>leída en su fuente · Diario de Sesiones del Congreso, Comisión de Justicia, n.º 157, 15-3-2017</w:t>
      </w:r>
      <w:r>
        <w:br/>
      </w:r>
      <w:r>
        <w:rPr>
          <w:b/>
        </w:rPr>
        <w:t>Original donde está:</w:t>
      </w:r>
      <w:r>
        <w:t xml:space="preserve"> 8.5_07_DSCD-12-CO-157_Comision_Justicia_15-03-2017.txt</w:t>
      </w:r>
      <w:r>
        <w:br/>
      </w:r>
      <w:r>
        <w:t>El pasaje literal no está en el archivo de pasajes con este comienzo; la auditoría lo halló en ese original.</w:t>
      </w:r>
      <w:r>
        <w:t>. Es la cifra oficial más reciente que se ha localizado. El Supremo instruye y juzga las causas contra el Presidente del Gobierno, los miembros del Gobierno, los diputados y senadores, entre otros</w:t>
      </w:r>
      <w:r>
        <w:t xml:space="preserve"> (Ley Orgánica del Poder Judicial, art. 57.1.2.º)</w:t>
      </w:r>
      <w:r>
        <w:t>. Y el elector no puede revocar a su representante: el diputado solo pierde el escaño por las causas tasadas del Reglamento del Congreso (</w:t>
      </w:r>
      <w:r>
        <w:t>8.6</w:t>
      </w:r>
      <w:r>
        <w:t>), y «Los miembros de las Cortes Generales no estarán ligados por mandato imperativo»</w:t>
      </w:r>
      <w:r>
        <w:t xml:space="preserve"> (Constitución, art. 67.2)</w:t>
      </w:r>
      <w:r>
        <w:br/>
      </w:r>
      <w:r>
        <w:rPr>
          <w:b/>
        </w:rPr>
        <w:t>leída en su fuente · Constitución, art. 67.2</w:t>
      </w:r>
      <w:r>
        <w:br/>
      </w:r>
      <w:r>
        <w:rPr>
          <w:b/>
        </w:rPr>
        <w:t>Archivo leído:</w:t>
      </w:r>
      <w:r>
        <w:t xml:space="preserve"> constitucion_1978.html (c5\constitucion_1978.html) · contraste del archivo de pasajes: ✔</w:t>
      </w:r>
      <w:r>
        <w:br/>
      </w:r>
      <w:r>
        <w:rPr>
          <w:b/>
        </w:rPr>
        <w:t>Lugar:</w:t>
      </w:r>
      <w:r>
        <w:t xml:space="preserve"> Art. 67.2 (#a67)</w:t>
      </w:r>
      <w:r>
        <w:br/>
      </w:r>
      <w:r>
        <w:rPr>
          <w:b/>
        </w:rPr>
        <w:t>Dirección:</w:t>
      </w:r>
      <w:r>
        <w:t xml:space="preserve"> </w:t>
      </w:r>
      <w:r>
        <w:t>https://www.boe.es/buscar/act.php?id=BOE-A-1978-31229</w:t>
      </w:r>
      <w:r>
        <w:br/>
      </w:r>
      <w:r>
        <w:rPr>
          <w:b/>
        </w:rPr>
        <w:t>Tal como está en la fuente:</w:t>
      </w:r>
      <w:r>
        <w:t xml:space="preserve"> 2. Los miembros de las Cortes Generales no estarán ligados por mandato imperativo.</w:t>
      </w:r>
      <w:r>
        <w:t xml:space="preserve">. </w:t>
      </w:r>
      <w:r>
        <w:t>[20.00-18.1 y 18.2]</w:t>
      </w:r>
    </w:p>
    <w:p>
      <w:r>
        <w:rPr>
          <w:b/>
        </w:rPr>
        <w:t>9. La publicidad institucional.</w:t>
      </w:r>
      <w:r>
        <w:t xml:space="preserve"> El Estado gastó en campañas institucionales 25.915.168 euros en 2019, 70.430.604 en 2024 y 88.078.848 en 2025</w:t>
      </w:r>
      <w:r>
        <w:t xml:space="preserve"> (La Moncloa, informes anuales de publicidad y comunicación institucional)</w:t>
      </w:r>
      <w:r>
        <w:t>. La Comisión Interamericana de Derechos Humanos fija el criterio: «la asignación arbitraria y discriminatoria de publicidad oficial», «con el objetivo de presionar y castigar o premiar y privilegiar a los comunicadores sociales y a los medios de comunicación en función de sus líneas informativas, atenta contra la libertad de expresión»</w:t>
      </w:r>
      <w:r>
        <w:t xml:space="preserve"> (CIDH, Declaración de Principios sobre Libertad de Expresión, principio 13)</w:t>
      </w:r>
      <w:r>
        <w:br/>
      </w:r>
      <w:r>
        <w:rPr>
          <w:b/>
        </w:rPr>
        <w:t>leída en su fuente · CIDH, Declaración de Principios sobre Libertad de Expresión, principio 13</w:t>
      </w:r>
      <w:r>
        <w:br/>
      </w:r>
      <w:r>
        <w:rPr>
          <w:b/>
        </w:rPr>
        <w:t>Archivo leído:</w:t>
      </w:r>
      <w:r>
        <w:t xml:space="preserve"> 8.5_16d_CIDH_Declaracion_Principios_Libertad_Expresion_2000.html (c8c\8.5_16d_CIDH_Declaracion_Principios_Libertad_Expresion_2000.html) · contraste del archivo de pasajes: ✔</w:t>
      </w:r>
      <w:r>
        <w:br/>
      </w:r>
      <w:r>
        <w:rPr>
          <w:b/>
        </w:rPr>
        <w:t>Lugar:</w:t>
      </w:r>
      <w:r>
        <w:t xml:space="preserve"> CIDH, Declaración de Principios sobre Libertad de Expresión, principio 13</w:t>
      </w:r>
      <w:r>
        <w:br/>
      </w:r>
      <w:r>
        <w:rPr>
          <w:b/>
        </w:rPr>
        <w:t>Tal como está en la fuente:</w:t>
      </w:r>
      <w:r>
        <w:t xml:space="preserve"> con el objetivo de presionar y castigar o premiar y privilegiar a los comunicadores sociales y a los medios de comunicación en función de sus líneas informativas, atenta contra la libertad de expresión</w:t>
      </w:r>
      <w:r>
        <w:t xml:space="preserve">. Que el gasto español cumpla esa condición no lo ha certificado nadie: por eso no cuenta como omisión. </w:t>
      </w:r>
      <w:r>
        <w:t>[20.00-29.1 y 29.2]</w:t>
      </w:r>
    </w:p>
    <w:p>
      <w:r>
        <w:rPr>
          <w:b/>
        </w:rPr>
        <w:t>10. El consentimiento.</w:t>
      </w:r>
      <w:r>
        <w:t xml:space="preserve"> Rousseau fue más lejos que nadie: «Los diputados del pueblo no son, ni pueden ser, sus representantes; no son más que sus comisarios […]. Toda ley que el pueblo en persona no ha ratificado es nula; no es una ley. El pueblo inglés cree ser libre; se engaña mucho: no lo es más que durante la elección de los miembros del Parlamento»</w:t>
      </w:r>
      <w:r>
        <w:t xml:space="preserve"> [original: «Les députés du peuple ne sont donc ni ne peuvent être ses réprésentans, ils ne sont que ses commissaires […] Toute loi que le Peuple en personne n'a pas ratifiée est nulle ; ce n'est point une loi. Le peuple Anglois pense être libre ; il se trompe fort, il ne l'est que durant l'élection des membres du Parlement»]</w:t>
      </w:r>
      <w:r>
        <w:t xml:space="preserve"> (Rousseau, Del contrato social III, 15)</w:t>
      </w:r>
      <w:r>
        <w:br/>
      </w:r>
      <w:r>
        <w:rPr>
          <w:b/>
        </w:rPr>
        <w:t>leída en su fuente · Rousseau, Del contrato social III, 15</w:t>
      </w:r>
      <w:r>
        <w:br/>
      </w:r>
      <w:r>
        <w:rPr>
          <w:b/>
        </w:rPr>
        <w:t>Original donde está:</w:t>
      </w:r>
      <w:r>
        <w:t xml:space="preserve"> 10.00_Rousseau_Du_contrat_social_1762_texte_entier_frwikisource.html.txt</w:t>
      </w:r>
      <w:r>
        <w:br/>
      </w:r>
      <w:r>
        <w:t>El pasaje literal no está en el archivo de pasajes con este comienzo; la auditoría lo halló en ese original.</w:t>
      </w:r>
      <w:r>
        <w:t>. No es una invitación a desobedecer: es una vara. El derecho español recoge una parte: antes de redactar una ley o un reglamento, «se sustanciará una consulta pública»</w:t>
      </w:r>
      <w:r>
        <w:t xml:space="preserve"> (Ley 39/2015, art. 133.1)</w:t>
      </w:r>
      <w:r>
        <w:br/>
      </w:r>
      <w:r>
        <w:rPr>
          <w:b/>
        </w:rPr>
        <w:t>leída en su fuente · Ley 39/2015, art. 133.1</w:t>
      </w:r>
      <w:r>
        <w:br/>
      </w:r>
      <w:r>
        <w:rPr>
          <w:b/>
        </w:rPr>
        <w:t>Archivo leído:</w:t>
      </w:r>
      <w:r>
        <w:t xml:space="preserve"> l39.html (ant\c1\l39.html) · contraste del archivo de pasajes: ✔</w:t>
      </w:r>
      <w:r>
        <w:br/>
      </w:r>
      <w:r>
        <w:rPr>
          <w:b/>
        </w:rPr>
        <w:t>Lugar:</w:t>
      </w:r>
      <w:r>
        <w:t xml:space="preserve"> Ley 39/2015, art. 133.1</w:t>
      </w:r>
      <w:r>
        <w:br/>
      </w:r>
      <w:r>
        <w:rPr>
          <w:b/>
        </w:rPr>
        <w:t>Tal como está en la fuente:</w:t>
      </w:r>
      <w:r>
        <w:t xml:space="preserve"> se sustanciará una consulta pública</w:t>
      </w:r>
      <w:r>
        <w:t xml:space="preserve">. </w:t>
      </w:r>
      <w:r>
        <w:t>[20.00-8.1 y 8.2]</w:t>
      </w:r>
    </w:p>
    <w:p>
      <w:r>
        <w:rPr>
          <w:b/>
        </w:rPr>
        <w:t>11. La lista.</w:t>
      </w:r>
      <w:r>
        <w:t xml:space="preserve"> El elector del Congreso no vota a personas, sino listas: cada una lleva «la expresión del orden de colocación» de candidatos y suplentes</w:t>
      </w:r>
      <w:r>
        <w:t xml:space="preserve"> (LOREG, art. 46.3)</w:t>
      </w:r>
      <w:r>
        <w:t>; los escaños «se adjudican a los candidatos incluidos en ella, por el orden de colocación en que aparezcan»</w:t>
      </w:r>
      <w:r>
        <w:t xml:space="preserve"> (art. 163.1.e)</w:t>
      </w:r>
      <w:r>
        <w:br/>
      </w:r>
      <w:r>
        <w:rPr>
          <w:b/>
        </w:rPr>
        <w:t>leída en su fuente · art. 163.1.e</w:t>
      </w:r>
      <w:r>
        <w:br/>
      </w:r>
      <w:r>
        <w:rPr>
          <w:b/>
        </w:rPr>
        <w:t>Archivo leído:</w:t>
      </w:r>
      <w:r>
        <w:t xml:space="preserve"> loreg_lo5_1985_consolidada.html (c10\loreg_lo5_1985_consolidada.html) · contraste del archivo de pasajes: ✔</w:t>
      </w:r>
      <w:r>
        <w:br/>
      </w:r>
      <w:r>
        <w:rPr>
          <w:b/>
        </w:rPr>
        <w:t>Lugar:</w:t>
      </w:r>
      <w:r>
        <w:t xml:space="preserve"> art. 163.1.e</w:t>
      </w:r>
      <w:r>
        <w:br/>
      </w:r>
      <w:r>
        <w:rPr>
          <w:b/>
        </w:rPr>
        <w:t>Tal como está en la fuente:</w:t>
      </w:r>
      <w:r>
        <w:t xml:space="preserve"> se adjudican a los candidatos incluidos en ella, por el orden de colocación en que aparezcan</w:t>
      </w:r>
      <w:r>
        <w:t>; y la vacante es para el siguiente «de la misma lista»</w:t>
      </w:r>
      <w:r>
        <w:t xml:space="preserve"> (art. 164.1)</w:t>
      </w:r>
      <w:r>
        <w:t>. Al alcalde lo eligen los concejales entre quienes encabezan las listas, y si ninguno logra la mayoría absoluta, es alcalde el que encabeza la más votada</w:t>
      </w:r>
      <w:r>
        <w:t xml:space="preserve"> (art. 196)</w:t>
      </w:r>
      <w:r>
        <w:t>, aunque la Constitución permite otra vía: «Los Alcaldes serán elegidos por los Concejales o por los vecinos»</w:t>
      </w:r>
      <w:r>
        <w:t xml:space="preserve"> (Constitución, art. 140)</w:t>
      </w:r>
      <w:r>
        <w:br/>
      </w:r>
      <w:r>
        <w:rPr>
          <w:b/>
        </w:rPr>
        <w:t>leída en su fuente · Constitución, art. 140</w:t>
      </w:r>
      <w:r>
        <w:br/>
      </w:r>
      <w:r>
        <w:rPr>
          <w:b/>
        </w:rPr>
        <w:t>Archivo leído:</w:t>
      </w:r>
      <w:r>
        <w:t xml:space="preserve"> ce.html (ant\c1\ce.html) · contraste del archivo de pasajes: ✔</w:t>
      </w:r>
      <w:r>
        <w:br/>
      </w:r>
      <w:r>
        <w:rPr>
          <w:b/>
        </w:rPr>
        <w:t>Lugar:</w:t>
      </w:r>
      <w:r>
        <w:t xml:space="preserve"> Constitución, art. 140</w:t>
      </w:r>
      <w:r>
        <w:br/>
      </w:r>
      <w:r>
        <w:rPr>
          <w:b/>
        </w:rPr>
        <w:t>Tal como está en la fuente:</w:t>
      </w:r>
      <w:r>
        <w:t xml:space="preserve"> Los Alcaldes serán elegidos por los Concejales o por los vecinos</w:t>
      </w:r>
      <w:r>
        <w:t>. Al Presidente del Gobierno lo propone el Rey y lo inviste el Congreso (art. 99). Solo en el Senado se vota a personas: «a un máximo de tres candidatos en las circunscripciones provinciales»</w:t>
      </w:r>
      <w:r>
        <w:t xml:space="preserve"> (LOREG, art. 166.1.a)</w:t>
      </w:r>
      <w:r>
        <w:br/>
      </w:r>
      <w:r>
        <w:rPr>
          <w:b/>
        </w:rPr>
        <w:t>leída en su fuente · LOREG, art. 166.1.a</w:t>
      </w:r>
      <w:r>
        <w:br/>
      </w:r>
      <w:r>
        <w:rPr>
          <w:b/>
        </w:rPr>
        <w:t>Archivo leído:</w:t>
      </w:r>
      <w:r>
        <w:t xml:space="preserve"> loreg_lo5_1985_consolidada.html (c10\loreg_lo5_1985_consolidada.html) · contraste del archivo de pasajes: ✔</w:t>
      </w:r>
      <w:r>
        <w:br/>
      </w:r>
      <w:r>
        <w:rPr>
          <w:b/>
        </w:rPr>
        <w:t>Lugar:</w:t>
      </w:r>
      <w:r>
        <w:t xml:space="preserve"> LOREG, art. 166.1.a</w:t>
      </w:r>
      <w:r>
        <w:br/>
      </w:r>
      <w:r>
        <w:rPr>
          <w:b/>
        </w:rPr>
        <w:t>Tal como está en la fuente:</w:t>
      </w:r>
      <w:r>
        <w:t xml:space="preserve"> a un máximo de tres candidatos en las circunscripciones provinciales</w:t>
      </w:r>
      <w:r>
        <w:t xml:space="preserve">. Con listas cerradas, la continuidad de un diputado depende de que su partido lo vuelva a colocar en un puesto de salida, más que del voto a su persona: es el incentivo que pone el diseño, sea cual sea la intención de cada uno. El fin declarado del sistema, evitar la fragmentación, y su fruto reconocido, la estabilidad de los Gobiernos, se vieron en </w:t>
      </w:r>
      <w:r>
        <w:t>6.4</w:t>
      </w:r>
      <w:r>
        <w:t xml:space="preserve">. </w:t>
      </w:r>
      <w:r>
        <w:t>[20.00-15.1 a 15.4; LOREG y Constitución leídas en el BOE]</w:t>
      </w:r>
    </w:p>
    <w:p>
      <w:r>
        <w:rPr>
          <w:b/>
        </w:rPr>
        <w:t>12. Lo que la tradición jurídica dejó escrito.</w:t>
      </w:r>
      <w:r>
        <w:t xml:space="preserve"> El Diccionario panhispánico del español jurídico recoge, entre otras, estas máximas: «En caso de duda, a favor del administrado»; «En caso de duda, a favor de la libertad»; «En caso de duda, a favor del ciudadano»; «Lo que no está prohibido se considera permitido»; «Nadie sea juez sin actor»; y «Nadie está obligado a acusarse a sí mismo»</w:t>
      </w:r>
      <w:r>
        <w:t xml:space="preserve"> (Diccionario panhispánico del español jurídico)</w:t>
      </w:r>
      <w:r>
        <w:br/>
      </w:r>
      <w:r>
        <w:rPr>
          <w:b/>
        </w:rPr>
        <w:t>leída en su fuente · Diccionario panhispánico del español jurídico</w:t>
      </w:r>
      <w:r>
        <w:br/>
      </w:r>
      <w:r>
        <w:rPr>
          <w:b/>
        </w:rPr>
        <w:t>Archivo leído:</w:t>
      </w:r>
      <w:r>
        <w:t xml:space="preserve"> 8.5_05f_DPEJ_nemo_tenetur_se_ipsum_accusare (c8c\8.5_05f_DPEJ_nemo_tenetur_se_ipsum_accusare.html) · contraste del archivo de pasajes: ✔</w:t>
      </w:r>
      <w:r>
        <w:br/>
      </w:r>
      <w:r>
        <w:rPr>
          <w:b/>
        </w:rPr>
        <w:t>Dirección:</w:t>
      </w:r>
      <w:r>
        <w:t xml:space="preserve"> </w:t>
      </w:r>
      <w:r>
        <w:t>https://dpej.rae.es/lema/nemo-tenetur-se-ipsum-accusare</w:t>
      </w:r>
      <w:r>
        <w:br/>
      </w:r>
      <w:r>
        <w:rPr>
          <w:b/>
        </w:rPr>
        <w:t>Tal como está en la fuente:</w:t>
      </w:r>
      <w:r>
        <w:t xml:space="preserve"> Gral. 'Nadie está obligado a acusarse a sí mismo'.</w:t>
      </w:r>
      <w:r>
        <w:t>. La de la libertad viene del derecho romano: «cuando la interpretación sobre la libertad sea dudosa, se ha de responder a favor de la libertad»</w:t>
      </w:r>
      <w:r>
        <w:t xml:space="preserve"> [original: «Quotiens dubia interpretatio libertatis est, secundum libertatem respondendum erit.»]</w:t>
      </w:r>
      <w:r>
        <w:t xml:space="preserve"> (Digesto 50.17.20)</w:t>
      </w:r>
      <w:r>
        <w:br/>
      </w:r>
      <w:r>
        <w:rPr>
          <w:b/>
        </w:rPr>
        <w:t>leída en su fuente · Digesto 50.17.20</w:t>
      </w:r>
      <w:r>
        <w:br/>
      </w:r>
      <w:r>
        <w:rPr>
          <w:b/>
        </w:rPr>
        <w:t>Archivo leído:</w:t>
      </w:r>
      <w:r>
        <w:t xml:space="preserve"> 8.5_05b_DPEJ_in_dubio_pro_libertate.html (c8c\8.5_05b_DPEJ_in_dubio_pro_libertate.html) · contraste del archivo de pasajes: ✔</w:t>
      </w:r>
      <w:r>
        <w:br/>
      </w:r>
      <w:r>
        <w:rPr>
          <w:b/>
        </w:rPr>
        <w:t>Lugar:</w:t>
      </w:r>
      <w:r>
        <w:t xml:space="preserve"> DPEJ,</w:t>
      </w:r>
      <w:r>
        <w:br/>
      </w:r>
      <w:r>
        <w:rPr>
          <w:b/>
        </w:rPr>
        <w:t>Tal como está en la fuente:</w:t>
      </w:r>
      <w:r>
        <w:t xml:space="preserve"> in dubio pro libertate Gral. ' En caso de duda, a favor de la libertad ' (Bártolo: Commentaria ad Secunda Infortiati , 34, 5 § planem ). Pomponio: Digesto 50, 17, 20: quotiens dubia interpretatio libertatis est, secundum libertatem respondendum erit</w:t>
      </w:r>
      <w:r>
        <w:t>. Y otra, de un decreto del emperador Marco Aurelio: «hay violencia también siempre que alguien reclama sin juez lo que cree que se le debe»</w:t>
      </w:r>
      <w:r>
        <w:t xml:space="preserve"> [original: «Vis est et tunc, quotiens quis id, quod deberi sibi putat, non per iudicem reposcit.»]</w:t>
      </w:r>
      <w:r>
        <w:t xml:space="preserve"> (Digesto 48.7.7)</w:t>
      </w:r>
      <w:r>
        <w:br/>
      </w:r>
      <w:r>
        <w:rPr>
          <w:b/>
        </w:rPr>
        <w:t>leída en su fuente · Digesto 48.7.7</w:t>
      </w:r>
      <w:r>
        <w:br/>
      </w:r>
      <w:r>
        <w:rPr>
          <w:b/>
        </w:rPr>
        <w:t>Archivo leído:</w:t>
      </w:r>
      <w:r>
        <w:t xml:space="preserve"> digesto_libro_04_grenoble.html (c9g\digesto_libro_04_grenoble.html) · contraste del archivo de pasajes: ✔</w:t>
      </w:r>
      <w:r>
        <w:br/>
      </w:r>
      <w:r>
        <w:rPr>
          <w:b/>
        </w:rPr>
        <w:t>Lugar:</w:t>
      </w:r>
      <w:r>
        <w:t xml:space="preserve"> Digesto 4, 2, 13</w:t>
      </w:r>
      <w:r>
        <w:br/>
      </w:r>
      <w:r>
        <w:rPr>
          <w:b/>
        </w:rPr>
        <w:t>Tal como está en la fuente:</w:t>
      </w:r>
      <w:r>
        <w:t xml:space="preserve"> Cum Marcianus diceret: vim nullam feci, Caesar dixit: Tu vim putas esse solum, si homines vulnerentur ? Vis est et tunc, quotiens quis id, quod deberi sibi putat, non per iudicem reposcit</w:t>
      </w:r>
      <w:r>
        <w:br/>
      </w:r>
      <w:r>
        <w:rPr>
          <w:b/>
        </w:rPr>
        <w:t>Traducción guardada:</w:t>
      </w:r>
      <w:r>
        <w:t xml:space="preserve"> cuando Marciano dijo: “no he hecho violencia”, el César dijo: “¿crees que solo hay violencia si se hiere a personas? También hay violencia cuando alguien reclama lo que cree que se le debe, no por medio del juez”</w:t>
      </w:r>
      <w:r>
        <w:t>. España, además, ratificó que «Nadie será encarcelado por el solo hecho de no poder cumplir una obligación contractual»</w:t>
      </w:r>
      <w:r>
        <w:t xml:space="preserve"> (Pacto Internacional de Derechos Civiles y Políticos, art. 11, BOE de 30-4-1977)</w:t>
      </w:r>
      <w:r>
        <w:br/>
      </w:r>
      <w:r>
        <w:rPr>
          <w:b/>
        </w:rPr>
        <w:t>leída en su fuente · Pacto Internacional de Derechos Civiles y Políticos, art. 11, BOE de 30-4-1977</w:t>
      </w:r>
      <w:r>
        <w:br/>
      </w:r>
      <w:r>
        <w:rPr>
          <w:b/>
        </w:rPr>
        <w:t>Archivo leído:</w:t>
      </w:r>
      <w:r>
        <w:t xml:space="preserve"> 8.5_03_PIDCP_BOE-A-1977-10733.html (c8c\8.5_03_PIDCP_BOE-A-1977-10733.html) · contraste del archivo de pasajes: ✔</w:t>
      </w:r>
      <w:r>
        <w:br/>
      </w:r>
      <w:r>
        <w:rPr>
          <w:b/>
        </w:rPr>
        <w:t>Lugar:</w:t>
      </w:r>
      <w:r>
        <w:t xml:space="preserve"> Pacto Internacional de Derechos Civiles y Políticos, art. 11, BOE de 30-4-1977</w:t>
      </w:r>
      <w:r>
        <w:br/>
      </w:r>
      <w:r>
        <w:rPr>
          <w:b/>
        </w:rPr>
        <w:t>Tal como está en la fuente:</w:t>
      </w:r>
      <w:r>
        <w:t xml:space="preserve"> Nadie será encarcelado por el solo hecho de no poder cumplir una obligación contractual</w:t>
      </w:r>
      <w:r>
        <w:t xml:space="preserve">. </w:t>
      </w:r>
      <w:r>
        <w:t>[20.00-5.1 a 6.9]</w:t>
      </w:r>
    </w:p>
    <w:p>
      <w:r>
        <w:rPr>
          <w:b/>
        </w:rPr>
        <w:t>Conclusión, lo que arrojan los datos:</w:t>
      </w:r>
      <w:r>
        <w:t xml:space="preserve"> en cuatro casos de este apartado, quien declara el incumplimiento no es la obra, sino un tercero: el Supremo (la gasolina y BOSCO), la Comisión Europea (la franquicia) y un tribunal superior de justicia, cuya sentencia el Supremo dejó firme (la Zona de Bajas Emisiones). Y en los cuatro el patrón es el mismo: el Estado cobra o niega en el acto, y corrige tarde, cuando corrige. El silencio del ciudadano se castiga solo; el del sistema hay que perseguirlo. Contra la regla no juega todo: el silencio de la Administración a veces favorece al ciudadano, porque el vencimiento del plazo, en los procedimientos que él inicia, le «legitima» para entender estimada su solicitud, salvo las excepciones de la ley</w:t>
      </w:r>
      <w:r>
        <w:t xml:space="preserve"> (Ley 39/2015, art. 24.1)</w:t>
      </w:r>
      <w:r>
        <w:t xml:space="preserve">. </w:t>
      </w:r>
      <w:r>
        <w:t>[20.00-30.1]</w:t>
      </w:r>
    </w:p>
    <w:p>
      <w:r>
        <w:rPr>
          <w:b/>
        </w:rPr>
        <w:t>Lectura del autor:</w:t>
      </w:r>
      <w:r>
        <w:t xml:space="preserve"> el bien es como la luz, que ilumina todo lo que existe: si ves todo lo que hay, puedes decidir por ti mismo. La manipulación es controlar la iluminación: decidir qué partes se iluminan y cuáles se dejan a oscuras, y luego decirte «elige». Si se deja fuera del foco una opción, y además se impide que nadie la proponga, eso no es administrar la libertad: es una interferencia en el libre albedrío. Y la máxima romana sostiene buena parte de esta obra: tomarse la justicia por la propia mano, incluso para cobrar algo legítimo, es en sí mismo violencia. «Por sus frutos los conoceréis» (Mt 7:16), y también por lo que, debiendo hacer, no hizo. </w:t>
      </w:r>
      <w:r>
        <w:t>[20.00-1.1, 6.7 y 30.1]</w:t>
      </w:r>
    </w:p>
    <w:p>
      <w:pPr>
        <w:pStyle w:val="Heading2"/>
      </w:pPr>
      <w:r>
        <w:t>8.6 A dónde va cada euro, y quién sostiene a quién</w:t>
      </w:r>
    </w:p>
    <w:p>
      <w:pPr>
        <w:pBdr>
          <w:left w:val="single" w:sz="24" w:space="6" w:color="E2DED6"/>
        </w:pBdr>
        <w:shd w:val="clear" w:color="auto" w:fill="F1EEE8"/>
        <w:spacing w:before="80" w:after="160"/>
        <w:ind w:left="142" w:right="142"/>
      </w:pPr>
      <w:r>
        <w:rPr>
          <w:b/>
        </w:rPr>
        <w:t>La idea: el total del gasto público se publica, y se puede seguir. Lo que no se publica sumado es el detalle que permitiría juzgar si el sistema sirve al pueblo o se sirve a sí mismo.</w:t>
      </w:r>
    </w:p>
    <w:p>
      <w:r>
        <w:rPr>
          <w:b/>
        </w:rPr>
        <w:t>El año.</w:t>
      </w:r>
      <w:r>
        <w:t xml:space="preserve"> En 2025, las administraciones ingresaron 724.554 millones y gastaron 764.884: faltaron 40.330 millones, casi lo mismo que se pagó en intereses de la deuda, 40.314</w:t>
      </w:r>
      <w:r>
        <w:t xml:space="preserve"> (Eurostat, cuentas de las administraciones públicas)</w:t>
      </w:r>
      <w:r>
        <w:t>. Se pide prestado, cada año, más o menos lo que cuestan los intereses de lo ya pedido. La deuda llegó a 1.698.225 millones a final de 2025</w:t>
      </w:r>
      <w:r>
        <w:t xml:space="preserve"> (Eurostat, deuda de las administraciones públicas)</w:t>
      </w:r>
      <w:r>
        <w:t>, y para 2026 la Autoridad Fiscal estima 43.300 millones de intereses (</w:t>
      </w:r>
      <w:r>
        <w:t>7.6</w:t>
      </w:r>
      <w:r>
        <w:t xml:space="preserve">). </w:t>
      </w:r>
      <w:r>
        <w:t>[34.00-1.1 y 1.2]</w:t>
      </w:r>
    </w:p>
    <w:p>
      <w:r>
        <w:rPr>
          <w:b/>
        </w:rPr>
        <w:t>A dónde va.</w:t>
      </w:r>
      <w:r>
        <w:t xml:space="preserve"> En 2024, todas las administraciones juntas gastaron 725.001 millones de euros: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Función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Millones de euros</w:t>
            </w:r>
          </w:p>
        </w:tc>
        <w:tc>
          <w:tcPr>
            <w:tcW w:type="dxa" w:w="3061"/>
            <w:shd w:val="clear" w:color="auto" w:fill="F1EEE8"/>
          </w:tcPr>
          <w:p>
            <w:pPr>
              <w:spacing w:after="20" w:line="264" w:lineRule="auto"/>
            </w:pPr>
            <w:r>
              <w:rPr>
                <w:b/>
              </w:rPr>
            </w:r>
            <w:r>
              <w:rPr>
                <w:rFonts w:ascii="Segoe UI" w:hAnsi="Segoe UI" w:eastAsia="Segoe UI" w:cs="Segoe UI"/>
                <w:b/>
                <w:color w:val="1F1D1A"/>
                <w:sz w:val="18"/>
              </w:rPr>
              <w:t>De cada 100 €</w:t>
            </w:r>
          </w:p>
        </w:tc>
      </w:tr>
      <w:tr>
        <w:tc>
          <w:tcPr>
            <w:tcW w:type="dxa" w:w="3061"/>
          </w:tcPr>
          <w:p>
            <w:pPr>
              <w:spacing w:after="20" w:line="264" w:lineRule="auto"/>
            </w:pPr>
            <w:r/>
            <w:r>
              <w:rPr>
                <w:rFonts w:ascii="Segoe UI" w:hAnsi="Segoe UI" w:eastAsia="Segoe UI" w:cs="Segoe UI"/>
                <w:color w:val="1F1D1A"/>
                <w:sz w:val="18"/>
              </w:rPr>
              <w:t>Protección social</w:t>
            </w:r>
          </w:p>
        </w:tc>
        <w:tc>
          <w:tcPr>
            <w:tcW w:type="dxa" w:w="3061"/>
          </w:tcPr>
          <w:p>
            <w:pPr>
              <w:spacing w:after="20" w:line="264" w:lineRule="auto"/>
            </w:pPr>
            <w:r/>
            <w:r>
              <w:rPr>
                <w:rFonts w:ascii="Segoe UI" w:hAnsi="Segoe UI" w:eastAsia="Segoe UI" w:cs="Segoe UI"/>
                <w:color w:val="1F1D1A"/>
                <w:sz w:val="18"/>
              </w:rPr>
              <w:t>297.532</w:t>
            </w:r>
          </w:p>
        </w:tc>
        <w:tc>
          <w:tcPr>
            <w:tcW w:type="dxa" w:w="3061"/>
          </w:tcPr>
          <w:p>
            <w:pPr>
              <w:spacing w:after="20" w:line="264" w:lineRule="auto"/>
            </w:pPr>
            <w:r/>
            <w:r>
              <w:rPr>
                <w:rFonts w:ascii="Segoe UI" w:hAnsi="Segoe UI" w:eastAsia="Segoe UI" w:cs="Segoe UI"/>
                <w:color w:val="1F1D1A"/>
                <w:sz w:val="18"/>
              </w:rPr>
              <w:t>41,0</w:t>
            </w:r>
          </w:p>
        </w:tc>
      </w:tr>
      <w:tr>
        <w:tc>
          <w:tcPr>
            <w:tcW w:type="dxa" w:w="3061"/>
          </w:tcPr>
          <w:p>
            <w:pPr>
              <w:spacing w:after="20" w:line="264" w:lineRule="auto"/>
            </w:pPr>
            <w:r/>
            <w:r>
              <w:rPr>
                <w:rFonts w:ascii="Segoe UI" w:hAnsi="Segoe UI" w:eastAsia="Segoe UI" w:cs="Segoe UI"/>
                <w:color w:val="1F1D1A"/>
                <w:sz w:val="18"/>
              </w:rPr>
              <w:t>— de ella, pensiones de vejez</w:t>
            </w:r>
          </w:p>
        </w:tc>
        <w:tc>
          <w:tcPr>
            <w:tcW w:type="dxa" w:w="3061"/>
          </w:tcPr>
          <w:p>
            <w:pPr>
              <w:spacing w:after="20" w:line="264" w:lineRule="auto"/>
            </w:pPr>
            <w:r/>
            <w:r>
              <w:rPr>
                <w:rFonts w:ascii="Segoe UI" w:hAnsi="Segoe UI" w:eastAsia="Segoe UI" w:cs="Segoe UI"/>
                <w:color w:val="1F1D1A"/>
                <w:sz w:val="18"/>
              </w:rPr>
              <w:t>165.050</w:t>
            </w:r>
          </w:p>
        </w:tc>
        <w:tc>
          <w:tcPr>
            <w:tcW w:type="dxa" w:w="3061"/>
          </w:tcPr>
          <w:p>
            <w:pPr>
              <w:spacing w:after="20" w:line="264" w:lineRule="auto"/>
            </w:pPr>
            <w:r/>
            <w:r>
              <w:rPr>
                <w:rFonts w:ascii="Segoe UI" w:hAnsi="Segoe UI" w:eastAsia="Segoe UI" w:cs="Segoe UI"/>
                <w:color w:val="1F1D1A"/>
                <w:sz w:val="18"/>
              </w:rPr>
              <w:t>22,8</w:t>
            </w:r>
          </w:p>
        </w:tc>
      </w:tr>
      <w:tr>
        <w:tc>
          <w:tcPr>
            <w:tcW w:type="dxa" w:w="3061"/>
          </w:tcPr>
          <w:p>
            <w:pPr>
              <w:spacing w:after="20" w:line="264" w:lineRule="auto"/>
            </w:pPr>
            <w:r/>
            <w:r>
              <w:rPr>
                <w:rFonts w:ascii="Segoe UI" w:hAnsi="Segoe UI" w:eastAsia="Segoe UI" w:cs="Segoe UI"/>
                <w:color w:val="1F1D1A"/>
                <w:sz w:val="18"/>
              </w:rPr>
              <w:t>— enfermedad e incapacidad</w:t>
            </w:r>
          </w:p>
        </w:tc>
        <w:tc>
          <w:tcPr>
            <w:tcW w:type="dxa" w:w="3061"/>
          </w:tcPr>
          <w:p>
            <w:pPr>
              <w:spacing w:after="20" w:line="264" w:lineRule="auto"/>
            </w:pPr>
            <w:r/>
            <w:r>
              <w:rPr>
                <w:rFonts w:ascii="Segoe UI" w:hAnsi="Segoe UI" w:eastAsia="Segoe UI" w:cs="Segoe UI"/>
                <w:color w:val="1F1D1A"/>
                <w:sz w:val="18"/>
              </w:rPr>
              <w:t>44.019</w:t>
            </w:r>
          </w:p>
        </w:tc>
        <w:tc>
          <w:tcPr>
            <w:tcW w:type="dxa" w:w="3061"/>
          </w:tcPr>
          <w:p>
            <w:pPr>
              <w:spacing w:after="20" w:line="264" w:lineRule="auto"/>
            </w:pPr>
            <w:r/>
            <w:r>
              <w:rPr>
                <w:rFonts w:ascii="Segoe UI" w:hAnsi="Segoe UI" w:eastAsia="Segoe UI" w:cs="Segoe UI"/>
                <w:color w:val="1F1D1A"/>
                <w:sz w:val="18"/>
              </w:rPr>
              <w:t>6,1</w:t>
            </w:r>
          </w:p>
        </w:tc>
      </w:tr>
      <w:tr>
        <w:tc>
          <w:tcPr>
            <w:tcW w:type="dxa" w:w="3061"/>
          </w:tcPr>
          <w:p>
            <w:pPr>
              <w:spacing w:after="20" w:line="264" w:lineRule="auto"/>
            </w:pPr>
            <w:r/>
            <w:r>
              <w:rPr>
                <w:rFonts w:ascii="Segoe UI" w:hAnsi="Segoe UI" w:eastAsia="Segoe UI" w:cs="Segoe UI"/>
                <w:color w:val="1F1D1A"/>
                <w:sz w:val="18"/>
              </w:rPr>
              <w:t>— viudedad y orfandad</w:t>
            </w:r>
          </w:p>
        </w:tc>
        <w:tc>
          <w:tcPr>
            <w:tcW w:type="dxa" w:w="3061"/>
          </w:tcPr>
          <w:p>
            <w:pPr>
              <w:spacing w:after="20" w:line="264" w:lineRule="auto"/>
            </w:pPr>
            <w:r/>
            <w:r>
              <w:rPr>
                <w:rFonts w:ascii="Segoe UI" w:hAnsi="Segoe UI" w:eastAsia="Segoe UI" w:cs="Segoe UI"/>
                <w:color w:val="1F1D1A"/>
                <w:sz w:val="18"/>
              </w:rPr>
              <w:t>35.425</w:t>
            </w:r>
          </w:p>
        </w:tc>
        <w:tc>
          <w:tcPr>
            <w:tcW w:type="dxa" w:w="3061"/>
          </w:tcPr>
          <w:p>
            <w:pPr>
              <w:spacing w:after="20" w:line="264" w:lineRule="auto"/>
            </w:pPr>
            <w:r/>
            <w:r>
              <w:rPr>
                <w:rFonts w:ascii="Segoe UI" w:hAnsi="Segoe UI" w:eastAsia="Segoe UI" w:cs="Segoe UI"/>
                <w:color w:val="1F1D1A"/>
                <w:sz w:val="18"/>
              </w:rPr>
              <w:t>4,9</w:t>
            </w:r>
          </w:p>
        </w:tc>
      </w:tr>
      <w:tr>
        <w:tc>
          <w:tcPr>
            <w:tcW w:type="dxa" w:w="3061"/>
          </w:tcPr>
          <w:p>
            <w:pPr>
              <w:spacing w:after="20" w:line="264" w:lineRule="auto"/>
            </w:pPr>
            <w:r/>
            <w:r>
              <w:rPr>
                <w:rFonts w:ascii="Segoe UI" w:hAnsi="Segoe UI" w:eastAsia="Segoe UI" w:cs="Segoe UI"/>
                <w:color w:val="1F1D1A"/>
                <w:sz w:val="18"/>
              </w:rPr>
              <w:t>— desempleo</w:t>
            </w:r>
          </w:p>
        </w:tc>
        <w:tc>
          <w:tcPr>
            <w:tcW w:type="dxa" w:w="3061"/>
          </w:tcPr>
          <w:p>
            <w:pPr>
              <w:spacing w:after="20" w:line="264" w:lineRule="auto"/>
            </w:pPr>
            <w:r/>
            <w:r>
              <w:rPr>
                <w:rFonts w:ascii="Segoe UI" w:hAnsi="Segoe UI" w:eastAsia="Segoe UI" w:cs="Segoe UI"/>
                <w:color w:val="1F1D1A"/>
                <w:sz w:val="18"/>
              </w:rPr>
              <w:t>24.077</w:t>
            </w:r>
          </w:p>
        </w:tc>
        <w:tc>
          <w:tcPr>
            <w:tcW w:type="dxa" w:w="3061"/>
          </w:tcPr>
          <w:p>
            <w:pPr>
              <w:spacing w:after="20" w:line="264" w:lineRule="auto"/>
            </w:pPr>
            <w:r/>
            <w:r>
              <w:rPr>
                <w:rFonts w:ascii="Segoe UI" w:hAnsi="Segoe UI" w:eastAsia="Segoe UI" w:cs="Segoe UI"/>
                <w:color w:val="1F1D1A"/>
                <w:sz w:val="18"/>
              </w:rPr>
              <w:t>3,3</w:t>
            </w:r>
          </w:p>
        </w:tc>
      </w:tr>
      <w:tr>
        <w:tc>
          <w:tcPr>
            <w:tcW w:type="dxa" w:w="3061"/>
          </w:tcPr>
          <w:p>
            <w:pPr>
              <w:spacing w:after="20" w:line="264" w:lineRule="auto"/>
            </w:pPr>
            <w:r/>
            <w:r>
              <w:rPr>
                <w:rFonts w:ascii="Segoe UI" w:hAnsi="Segoe UI" w:eastAsia="Segoe UI" w:cs="Segoe UI"/>
                <w:color w:val="1F1D1A"/>
                <w:sz w:val="18"/>
              </w:rPr>
              <w:t>Sanidad</w:t>
            </w:r>
          </w:p>
        </w:tc>
        <w:tc>
          <w:tcPr>
            <w:tcW w:type="dxa" w:w="3061"/>
          </w:tcPr>
          <w:p>
            <w:pPr>
              <w:spacing w:after="20" w:line="264" w:lineRule="auto"/>
            </w:pPr>
            <w:r/>
            <w:r>
              <w:rPr>
                <w:rFonts w:ascii="Segoe UI" w:hAnsi="Segoe UI" w:eastAsia="Segoe UI" w:cs="Segoe UI"/>
                <w:color w:val="1F1D1A"/>
                <w:sz w:val="18"/>
              </w:rPr>
              <w:t>102.942</w:t>
            </w:r>
          </w:p>
        </w:tc>
        <w:tc>
          <w:tcPr>
            <w:tcW w:type="dxa" w:w="3061"/>
          </w:tcPr>
          <w:p>
            <w:pPr>
              <w:spacing w:after="20" w:line="264" w:lineRule="auto"/>
            </w:pPr>
            <w:r/>
            <w:r>
              <w:rPr>
                <w:rFonts w:ascii="Segoe UI" w:hAnsi="Segoe UI" w:eastAsia="Segoe UI" w:cs="Segoe UI"/>
                <w:color w:val="1F1D1A"/>
                <w:sz w:val="18"/>
              </w:rPr>
              <w:t>14,2</w:t>
            </w:r>
          </w:p>
        </w:tc>
      </w:tr>
      <w:tr>
        <w:tc>
          <w:tcPr>
            <w:tcW w:type="dxa" w:w="3061"/>
          </w:tcPr>
          <w:p>
            <w:pPr>
              <w:spacing w:after="20" w:line="264" w:lineRule="auto"/>
            </w:pPr>
            <w:r/>
            <w:r>
              <w:rPr>
                <w:rFonts w:ascii="Segoe UI" w:hAnsi="Segoe UI" w:eastAsia="Segoe UI" w:cs="Segoe UI"/>
                <w:color w:val="1F1D1A"/>
                <w:sz w:val="18"/>
              </w:rPr>
              <w:t>Servicios públicos generales</w:t>
            </w:r>
          </w:p>
        </w:tc>
        <w:tc>
          <w:tcPr>
            <w:tcW w:type="dxa" w:w="3061"/>
          </w:tcPr>
          <w:p>
            <w:pPr>
              <w:spacing w:after="20" w:line="264" w:lineRule="auto"/>
            </w:pPr>
            <w:r/>
            <w:r>
              <w:rPr>
                <w:rFonts w:ascii="Segoe UI" w:hAnsi="Segoe UI" w:eastAsia="Segoe UI" w:cs="Segoe UI"/>
                <w:color w:val="1F1D1A"/>
                <w:sz w:val="18"/>
              </w:rPr>
              <w:t>92.551</w:t>
            </w:r>
          </w:p>
        </w:tc>
        <w:tc>
          <w:tcPr>
            <w:tcW w:type="dxa" w:w="3061"/>
          </w:tcPr>
          <w:p>
            <w:pPr>
              <w:spacing w:after="20" w:line="264" w:lineRule="auto"/>
            </w:pPr>
            <w:r/>
            <w:r>
              <w:rPr>
                <w:rFonts w:ascii="Segoe UI" w:hAnsi="Segoe UI" w:eastAsia="Segoe UI" w:cs="Segoe UI"/>
                <w:color w:val="1F1D1A"/>
                <w:sz w:val="18"/>
              </w:rPr>
              <w:t>12,8</w:t>
            </w:r>
          </w:p>
        </w:tc>
      </w:tr>
      <w:tr>
        <w:tc>
          <w:tcPr>
            <w:tcW w:type="dxa" w:w="3061"/>
          </w:tcPr>
          <w:p>
            <w:pPr>
              <w:spacing w:after="20" w:line="264" w:lineRule="auto"/>
            </w:pPr>
            <w:r/>
            <w:r>
              <w:rPr>
                <w:rFonts w:ascii="Segoe UI" w:hAnsi="Segoe UI" w:eastAsia="Segoe UI" w:cs="Segoe UI"/>
                <w:color w:val="1F1D1A"/>
                <w:sz w:val="18"/>
              </w:rPr>
              <w:t>— de ellos, intereses de la deuda</w:t>
            </w:r>
          </w:p>
        </w:tc>
        <w:tc>
          <w:tcPr>
            <w:tcW w:type="dxa" w:w="3061"/>
          </w:tcPr>
          <w:p>
            <w:pPr>
              <w:spacing w:after="20" w:line="264" w:lineRule="auto"/>
            </w:pPr>
            <w:r/>
            <w:r>
              <w:rPr>
                <w:rFonts w:ascii="Segoe UI" w:hAnsi="Segoe UI" w:eastAsia="Segoe UI" w:cs="Segoe UI"/>
                <w:color w:val="1F1D1A"/>
                <w:sz w:val="18"/>
              </w:rPr>
              <w:t>38.793</w:t>
            </w:r>
          </w:p>
        </w:tc>
        <w:tc>
          <w:tcPr>
            <w:tcW w:type="dxa" w:w="3061"/>
          </w:tcPr>
          <w:p>
            <w:pPr>
              <w:spacing w:after="20" w:line="264" w:lineRule="auto"/>
            </w:pPr>
            <w:r/>
            <w:r>
              <w:rPr>
                <w:rFonts w:ascii="Segoe UI" w:hAnsi="Segoe UI" w:eastAsia="Segoe UI" w:cs="Segoe UI"/>
                <w:color w:val="1F1D1A"/>
                <w:sz w:val="18"/>
              </w:rPr>
              <w:t>5,4</w:t>
            </w:r>
          </w:p>
        </w:tc>
      </w:tr>
      <w:tr>
        <w:tc>
          <w:tcPr>
            <w:tcW w:type="dxa" w:w="3061"/>
          </w:tcPr>
          <w:p>
            <w:pPr>
              <w:spacing w:after="20" w:line="264" w:lineRule="auto"/>
            </w:pPr>
            <w:r/>
            <w:r>
              <w:rPr>
                <w:rFonts w:ascii="Segoe UI" w:hAnsi="Segoe UI" w:eastAsia="Segoe UI" w:cs="Segoe UI"/>
                <w:color w:val="1F1D1A"/>
                <w:sz w:val="18"/>
              </w:rPr>
              <w:t>Asuntos económicos</w:t>
            </w:r>
          </w:p>
        </w:tc>
        <w:tc>
          <w:tcPr>
            <w:tcW w:type="dxa" w:w="3061"/>
          </w:tcPr>
          <w:p>
            <w:pPr>
              <w:spacing w:after="20" w:line="264" w:lineRule="auto"/>
            </w:pPr>
            <w:r/>
            <w:r>
              <w:rPr>
                <w:rFonts w:ascii="Segoe UI" w:hAnsi="Segoe UI" w:eastAsia="Segoe UI" w:cs="Segoe UI"/>
                <w:color w:val="1F1D1A"/>
                <w:sz w:val="18"/>
              </w:rPr>
              <w:t>80.908</w:t>
            </w:r>
          </w:p>
        </w:tc>
        <w:tc>
          <w:tcPr>
            <w:tcW w:type="dxa" w:w="3061"/>
          </w:tcPr>
          <w:p>
            <w:pPr>
              <w:spacing w:after="20" w:line="264" w:lineRule="auto"/>
            </w:pPr>
            <w:r/>
            <w:r>
              <w:rPr>
                <w:rFonts w:ascii="Segoe UI" w:hAnsi="Segoe UI" w:eastAsia="Segoe UI" w:cs="Segoe UI"/>
                <w:color w:val="1F1D1A"/>
                <w:sz w:val="18"/>
              </w:rPr>
              <w:t>11,2</w:t>
            </w:r>
          </w:p>
        </w:tc>
      </w:tr>
      <w:tr>
        <w:tc>
          <w:tcPr>
            <w:tcW w:type="dxa" w:w="3061"/>
          </w:tcPr>
          <w:p>
            <w:pPr>
              <w:spacing w:after="20" w:line="264" w:lineRule="auto"/>
            </w:pPr>
            <w:r/>
            <w:r>
              <w:rPr>
                <w:rFonts w:ascii="Segoe UI" w:hAnsi="Segoe UI" w:eastAsia="Segoe UI" w:cs="Segoe UI"/>
                <w:color w:val="1F1D1A"/>
                <w:sz w:val="18"/>
              </w:rPr>
              <w:t>Educación</w:t>
            </w:r>
          </w:p>
        </w:tc>
        <w:tc>
          <w:tcPr>
            <w:tcW w:type="dxa" w:w="3061"/>
          </w:tcPr>
          <w:p>
            <w:pPr>
              <w:spacing w:after="20" w:line="264" w:lineRule="auto"/>
            </w:pPr>
            <w:r/>
            <w:r>
              <w:rPr>
                <w:rFonts w:ascii="Segoe UI" w:hAnsi="Segoe UI" w:eastAsia="Segoe UI" w:cs="Segoe UI"/>
                <w:color w:val="1F1D1A"/>
                <w:sz w:val="18"/>
              </w:rPr>
              <w:t>65.862</w:t>
            </w:r>
          </w:p>
        </w:tc>
        <w:tc>
          <w:tcPr>
            <w:tcW w:type="dxa" w:w="3061"/>
          </w:tcPr>
          <w:p>
            <w:pPr>
              <w:spacing w:after="20" w:line="264" w:lineRule="auto"/>
            </w:pPr>
            <w:r/>
            <w:r>
              <w:rPr>
                <w:rFonts w:ascii="Segoe UI" w:hAnsi="Segoe UI" w:eastAsia="Segoe UI" w:cs="Segoe UI"/>
                <w:color w:val="1F1D1A"/>
                <w:sz w:val="18"/>
              </w:rPr>
              <w:t>9,1</w:t>
            </w:r>
          </w:p>
        </w:tc>
      </w:tr>
      <w:tr>
        <w:tc>
          <w:tcPr>
            <w:tcW w:type="dxa" w:w="3061"/>
          </w:tcPr>
          <w:p>
            <w:pPr>
              <w:spacing w:after="20" w:line="264" w:lineRule="auto"/>
            </w:pPr>
            <w:r/>
            <w:r>
              <w:rPr>
                <w:rFonts w:ascii="Segoe UI" w:hAnsi="Segoe UI" w:eastAsia="Segoe UI" w:cs="Segoe UI"/>
                <w:color w:val="1F1D1A"/>
                <w:sz w:val="18"/>
              </w:rPr>
              <w:t>Orden público y seguridad</w:t>
            </w:r>
          </w:p>
        </w:tc>
        <w:tc>
          <w:tcPr>
            <w:tcW w:type="dxa" w:w="3061"/>
          </w:tcPr>
          <w:p>
            <w:pPr>
              <w:spacing w:after="20" w:line="264" w:lineRule="auto"/>
            </w:pPr>
            <w:r/>
            <w:r>
              <w:rPr>
                <w:rFonts w:ascii="Segoe UI" w:hAnsi="Segoe UI" w:eastAsia="Segoe UI" w:cs="Segoe UI"/>
                <w:color w:val="1F1D1A"/>
                <w:sz w:val="18"/>
              </w:rPr>
              <w:t>28.628</w:t>
            </w:r>
          </w:p>
        </w:tc>
        <w:tc>
          <w:tcPr>
            <w:tcW w:type="dxa" w:w="3061"/>
          </w:tcPr>
          <w:p>
            <w:pPr>
              <w:spacing w:after="20" w:line="264" w:lineRule="auto"/>
            </w:pPr>
            <w:r/>
            <w:r>
              <w:rPr>
                <w:rFonts w:ascii="Segoe UI" w:hAnsi="Segoe UI" w:eastAsia="Segoe UI" w:cs="Segoe UI"/>
                <w:color w:val="1F1D1A"/>
                <w:sz w:val="18"/>
              </w:rPr>
              <w:t>3,9</w:t>
            </w:r>
          </w:p>
        </w:tc>
      </w:tr>
      <w:tr>
        <w:tc>
          <w:tcPr>
            <w:tcW w:type="dxa" w:w="3061"/>
          </w:tcPr>
          <w:p>
            <w:pPr>
              <w:spacing w:after="20" w:line="264" w:lineRule="auto"/>
            </w:pPr>
            <w:r/>
            <w:r>
              <w:rPr>
                <w:rFonts w:ascii="Segoe UI" w:hAnsi="Segoe UI" w:eastAsia="Segoe UI" w:cs="Segoe UI"/>
                <w:color w:val="1F1D1A"/>
                <w:sz w:val="18"/>
              </w:rPr>
              <w:t>Cultura, ocio y religión</w:t>
            </w:r>
          </w:p>
        </w:tc>
        <w:tc>
          <w:tcPr>
            <w:tcW w:type="dxa" w:w="3061"/>
          </w:tcPr>
          <w:p>
            <w:pPr>
              <w:spacing w:after="20" w:line="264" w:lineRule="auto"/>
            </w:pPr>
            <w:r/>
            <w:r>
              <w:rPr>
                <w:rFonts w:ascii="Segoe UI" w:hAnsi="Segoe UI" w:eastAsia="Segoe UI" w:cs="Segoe UI"/>
                <w:color w:val="1F1D1A"/>
                <w:sz w:val="18"/>
              </w:rPr>
              <w:t>19.193</w:t>
            </w:r>
          </w:p>
        </w:tc>
        <w:tc>
          <w:tcPr>
            <w:tcW w:type="dxa" w:w="3061"/>
          </w:tcPr>
          <w:p>
            <w:pPr>
              <w:spacing w:after="20" w:line="264" w:lineRule="auto"/>
            </w:pPr>
            <w:r/>
            <w:r>
              <w:rPr>
                <w:rFonts w:ascii="Segoe UI" w:hAnsi="Segoe UI" w:eastAsia="Segoe UI" w:cs="Segoe UI"/>
                <w:color w:val="1F1D1A"/>
                <w:sz w:val="18"/>
              </w:rPr>
              <w:t>2,6</w:t>
            </w:r>
          </w:p>
        </w:tc>
      </w:tr>
      <w:tr>
        <w:tc>
          <w:tcPr>
            <w:tcW w:type="dxa" w:w="3061"/>
          </w:tcPr>
          <w:p>
            <w:pPr>
              <w:spacing w:after="20" w:line="264" w:lineRule="auto"/>
            </w:pPr>
            <w:r/>
            <w:r>
              <w:rPr>
                <w:rFonts w:ascii="Segoe UI" w:hAnsi="Segoe UI" w:eastAsia="Segoe UI" w:cs="Segoe UI"/>
                <w:color w:val="1F1D1A"/>
                <w:sz w:val="18"/>
              </w:rPr>
              <w:t>Medio ambiente</w:t>
            </w:r>
          </w:p>
        </w:tc>
        <w:tc>
          <w:tcPr>
            <w:tcW w:type="dxa" w:w="3061"/>
          </w:tcPr>
          <w:p>
            <w:pPr>
              <w:spacing w:after="20" w:line="264" w:lineRule="auto"/>
            </w:pPr>
            <w:r/>
            <w:r>
              <w:rPr>
                <w:rFonts w:ascii="Segoe UI" w:hAnsi="Segoe UI" w:eastAsia="Segoe UI" w:cs="Segoe UI"/>
                <w:color w:val="1F1D1A"/>
                <w:sz w:val="18"/>
              </w:rPr>
              <w:t>15.539</w:t>
            </w:r>
          </w:p>
        </w:tc>
        <w:tc>
          <w:tcPr>
            <w:tcW w:type="dxa" w:w="3061"/>
          </w:tcPr>
          <w:p>
            <w:pPr>
              <w:spacing w:after="20" w:line="264" w:lineRule="auto"/>
            </w:pPr>
            <w:r/>
            <w:r>
              <w:rPr>
                <w:rFonts w:ascii="Segoe UI" w:hAnsi="Segoe UI" w:eastAsia="Segoe UI" w:cs="Segoe UI"/>
                <w:color w:val="1F1D1A"/>
                <w:sz w:val="18"/>
              </w:rPr>
              <w:t>2,1</w:t>
            </w:r>
          </w:p>
        </w:tc>
      </w:tr>
      <w:tr>
        <w:tc>
          <w:tcPr>
            <w:tcW w:type="dxa" w:w="3061"/>
          </w:tcPr>
          <w:p>
            <w:pPr>
              <w:spacing w:after="20" w:line="264" w:lineRule="auto"/>
            </w:pPr>
            <w:r/>
            <w:r>
              <w:rPr>
                <w:rFonts w:ascii="Segoe UI" w:hAnsi="Segoe UI" w:eastAsia="Segoe UI" w:cs="Segoe UI"/>
                <w:color w:val="1F1D1A"/>
                <w:sz w:val="18"/>
              </w:rPr>
              <w:t>Defensa</w:t>
            </w:r>
          </w:p>
        </w:tc>
        <w:tc>
          <w:tcPr>
            <w:tcW w:type="dxa" w:w="3061"/>
          </w:tcPr>
          <w:p>
            <w:pPr>
              <w:spacing w:after="20" w:line="264" w:lineRule="auto"/>
            </w:pPr>
            <w:r/>
            <w:r>
              <w:rPr>
                <w:rFonts w:ascii="Segoe UI" w:hAnsi="Segoe UI" w:eastAsia="Segoe UI" w:cs="Segoe UI"/>
                <w:color w:val="1F1D1A"/>
                <w:sz w:val="18"/>
              </w:rPr>
              <w:t>14.233</w:t>
            </w:r>
          </w:p>
        </w:tc>
        <w:tc>
          <w:tcPr>
            <w:tcW w:type="dxa" w:w="3061"/>
          </w:tcPr>
          <w:p>
            <w:pPr>
              <w:spacing w:after="20" w:line="264" w:lineRule="auto"/>
            </w:pPr>
            <w:r/>
            <w:r>
              <w:rPr>
                <w:rFonts w:ascii="Segoe UI" w:hAnsi="Segoe UI" w:eastAsia="Segoe UI" w:cs="Segoe UI"/>
                <w:color w:val="1F1D1A"/>
                <w:sz w:val="18"/>
              </w:rPr>
              <w:t>2,0</w:t>
            </w:r>
          </w:p>
        </w:tc>
      </w:tr>
      <w:tr>
        <w:tc>
          <w:tcPr>
            <w:tcW w:type="dxa" w:w="3061"/>
          </w:tcPr>
          <w:p>
            <w:pPr>
              <w:spacing w:after="20" w:line="264" w:lineRule="auto"/>
            </w:pPr>
            <w:r/>
            <w:r>
              <w:rPr>
                <w:rFonts w:ascii="Segoe UI" w:hAnsi="Segoe UI" w:eastAsia="Segoe UI" w:cs="Segoe UI"/>
                <w:color w:val="1F1D1A"/>
                <w:sz w:val="18"/>
              </w:rPr>
              <w:t>Vivienda y servicios comunitarios</w:t>
            </w:r>
          </w:p>
        </w:tc>
        <w:tc>
          <w:tcPr>
            <w:tcW w:type="dxa" w:w="3061"/>
          </w:tcPr>
          <w:p>
            <w:pPr>
              <w:spacing w:after="20" w:line="264" w:lineRule="auto"/>
            </w:pPr>
            <w:r/>
            <w:r>
              <w:rPr>
                <w:rFonts w:ascii="Segoe UI" w:hAnsi="Segoe UI" w:eastAsia="Segoe UI" w:cs="Segoe UI"/>
                <w:color w:val="1F1D1A"/>
                <w:sz w:val="18"/>
              </w:rPr>
              <w:t>7.613</w:t>
            </w:r>
          </w:p>
        </w:tc>
        <w:tc>
          <w:tcPr>
            <w:tcW w:type="dxa" w:w="3061"/>
          </w:tcPr>
          <w:p>
            <w:pPr>
              <w:spacing w:after="20" w:line="264" w:lineRule="auto"/>
            </w:pPr>
            <w:r/>
            <w:r>
              <w:rPr>
                <w:rFonts w:ascii="Segoe UI" w:hAnsi="Segoe UI" w:eastAsia="Segoe UI" w:cs="Segoe UI"/>
                <w:color w:val="1F1D1A"/>
                <w:sz w:val="18"/>
              </w:rPr>
              <w:t>1,1</w:t>
            </w:r>
          </w:p>
        </w:tc>
      </w:tr>
      <w:tr>
        <w:tc>
          <w:tcPr>
            <w:tcW w:type="dxa" w:w="3061"/>
          </w:tcPr>
          <w:p>
            <w:pPr>
              <w:spacing w:after="20" w:line="264" w:lineRule="auto"/>
            </w:pPr>
            <w:r/>
            <w:r>
              <w:rPr>
                <w:rFonts w:ascii="Segoe UI" w:hAnsi="Segoe UI" w:eastAsia="Segoe UI" w:cs="Segoe UI"/>
                <w:b/>
                <w:color w:val="1F1D1A"/>
                <w:sz w:val="18"/>
              </w:rPr>
              <w:t>Total</w:t>
            </w:r>
          </w:p>
        </w:tc>
        <w:tc>
          <w:tcPr>
            <w:tcW w:type="dxa" w:w="3061"/>
          </w:tcPr>
          <w:p>
            <w:pPr>
              <w:spacing w:after="20" w:line="264" w:lineRule="auto"/>
            </w:pPr>
            <w:r/>
            <w:r>
              <w:rPr>
                <w:rFonts w:ascii="Segoe UI" w:hAnsi="Segoe UI" w:eastAsia="Segoe UI" w:cs="Segoe UI"/>
                <w:b/>
                <w:color w:val="1F1D1A"/>
                <w:sz w:val="18"/>
              </w:rPr>
              <w:t>725.001</w:t>
            </w:r>
          </w:p>
        </w:tc>
        <w:tc>
          <w:tcPr>
            <w:tcW w:type="dxa" w:w="3061"/>
          </w:tcPr>
          <w:p>
            <w:pPr>
              <w:spacing w:after="20" w:line="264" w:lineRule="auto"/>
            </w:pPr>
            <w:r/>
            <w:r>
              <w:rPr>
                <w:rFonts w:ascii="Segoe UI" w:hAnsi="Segoe UI" w:eastAsia="Segoe UI" w:cs="Segoe UI"/>
                <w:b/>
                <w:color w:val="1F1D1A"/>
                <w:sz w:val="18"/>
              </w:rPr>
              <w:t>100,0</w:t>
            </w:r>
          </w:p>
        </w:tc>
      </w:tr>
    </w:tbl>
    <w:p>
      <w:pPr>
        <w:spacing w:after="80"/>
      </w:pPr>
    </w:p>
    <w:p>
      <w:r>
        <w:t>Fuente: Eurostat, gasto de las administraciones públicas por funciones, España, 2024; los intereses, de las cuentas de las administraciones públicas de Eurostat. La partida de vejez mezcla las pensiones de la Seguridad Social, pagadas sobre todo con cotizaciones, con las de los funcionarios del Estado, pagadas con los Presupuestos. Unos cinco de cada cien euros van a vivienda, medio ambiente y defensa juntos; otros 5,4, a intereses. El gasto de 2024 fue el 45,5 % del PIB, frente al 48,9 % del agregado de la UE-27</w:t>
      </w:r>
      <w:r>
        <w:t xml:space="preserve"> (Eurostat, gov_10a_exp, 2024, actualizado el 16-9-2026)</w:t>
      </w:r>
      <w:r>
        <w:t>. De los 297.532 millones de protección social, 267.057 (89,8 %) son prestaciones sociales en dinero; el personal y el funcionamiento suman 16.402 (9.127 y 7.275)</w:t>
      </w:r>
      <w:r>
        <w:t xml:space="preserve"> (Eurostat, gov_10a_exp, función 10, 2024)</w:t>
      </w:r>
      <w:r>
        <w:t xml:space="preserve">. </w:t>
      </w:r>
      <w:r>
        <w:t>[34.00-2.1 a 2.19 y 16.1 a 16.2; 21.00-13.2; 34.00-16.18]</w:t>
      </w:r>
    </w:p>
    <w:p>
      <w:r>
        <w:rPr>
          <w:b/>
        </w:rPr>
        <w:t>Quién sostiene a quién.</w:t>
      </w:r>
      <w:r>
        <w:t xml:space="preserve"> De un lado, quien trabaja, por cuenta ajena o propia, sostiene el sistema con sus cotizaciones, su IRPF y su IVA: en 2025, las cotizaciones sociales sumaron 223.612 millones, y una parte de ellas la pagan las propias administraciones por su personal, con impuestos (</w:t>
      </w:r>
      <w:r>
        <w:t>5.1</w:t>
      </w:r>
      <w:r>
        <w:t>, n.º 3). Del otro, tres esferas que se sostienen con ese dinero: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Esfera</w:t>
            </w:r>
          </w:p>
        </w:tc>
        <w:tc>
          <w:tcPr>
            <w:tcW w:type="dxa" w:w="2296"/>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2296"/>
            <w:shd w:val="clear" w:color="auto" w:fill="F1EEE8"/>
          </w:tcPr>
          <w:p>
            <w:pPr>
              <w:spacing w:after="20" w:line="264" w:lineRule="auto"/>
            </w:pPr>
            <w:r>
              <w:rPr>
                <w:b/>
              </w:rPr>
            </w:r>
            <w:r>
              <w:rPr>
                <w:rFonts w:ascii="Segoe UI" w:hAnsi="Segoe UI" w:eastAsia="Segoe UI" w:cs="Segoe UI"/>
                <w:b/>
                <w:color w:val="1F1D1A"/>
                <w:sz w:val="18"/>
              </w:rPr>
              <w:t>Media al año por persona</w:t>
            </w:r>
          </w:p>
        </w:tc>
        <w:tc>
          <w:tcPr>
            <w:tcW w:type="dxa" w:w="2296"/>
            <w:shd w:val="clear" w:color="auto" w:fill="F1EEE8"/>
          </w:tcPr>
          <w:p>
            <w:pPr>
              <w:spacing w:after="20" w:line="264" w:lineRule="auto"/>
            </w:pPr>
            <w:r>
              <w:rPr>
                <w:b/>
              </w:rPr>
            </w:r>
            <w:r>
              <w:rPr>
                <w:rFonts w:ascii="Segoe UI" w:hAnsi="Segoe UI" w:eastAsia="Segoe UI" w:cs="Segoe UI"/>
                <w:b/>
                <w:color w:val="1F1D1A"/>
                <w:sz w:val="18"/>
              </w:rPr>
              <w:t>¿Se le puede despedir?</w:t>
            </w:r>
          </w:p>
        </w:tc>
      </w:tr>
      <w:tr>
        <w:tc>
          <w:tcPr>
            <w:tcW w:type="dxa" w:w="2296"/>
          </w:tcPr>
          <w:p>
            <w:pPr>
              <w:spacing w:after="20" w:line="264" w:lineRule="auto"/>
            </w:pPr>
            <w:r/>
            <w:r>
              <w:rPr>
                <w:rFonts w:ascii="Segoe UI" w:hAnsi="Segoe UI" w:eastAsia="Segoe UI" w:cs="Segoe UI"/>
                <w:color w:val="1F1D1A"/>
                <w:sz w:val="18"/>
              </w:rPr>
              <w:t>Quien trabaja en el sector privado (sostiene)</w:t>
            </w:r>
          </w:p>
        </w:tc>
        <w:tc>
          <w:tcPr>
            <w:tcW w:type="dxa" w:w="2296"/>
          </w:tcPr>
          <w:p>
            <w:pPr>
              <w:spacing w:after="20" w:line="264" w:lineRule="auto"/>
            </w:pPr>
            <w:r/>
            <w:r>
              <w:rPr>
                <w:rFonts w:ascii="Segoe UI" w:hAnsi="Segoe UI" w:eastAsia="Segoe UI" w:cs="Segoe UI"/>
                <w:color w:val="1F1D1A"/>
                <w:sz w:val="18"/>
              </w:rPr>
              <w:t>19.132.100 ocupados</w:t>
            </w:r>
          </w:p>
        </w:tc>
        <w:tc>
          <w:tcPr>
            <w:tcW w:type="dxa" w:w="2296"/>
          </w:tcPr>
          <w:p>
            <w:pPr>
              <w:spacing w:after="20" w:line="264" w:lineRule="auto"/>
            </w:pPr>
            <w:r/>
            <w:r>
              <w:rPr>
                <w:rFonts w:ascii="Segoe UI" w:hAnsi="Segoe UI" w:eastAsia="Segoe UI" w:cs="Segoe UI"/>
                <w:color w:val="1F1D1A"/>
                <w:sz w:val="18"/>
              </w:rPr>
              <w:t>22.962 € de salario</w:t>
            </w:r>
          </w:p>
        </w:tc>
        <w:tc>
          <w:tcPr>
            <w:tcW w:type="dxa" w:w="2296"/>
          </w:tcPr>
          <w:p>
            <w:pPr>
              <w:spacing w:after="20" w:line="264" w:lineRule="auto"/>
            </w:pPr>
            <w:r/>
            <w:r>
              <w:rPr>
                <w:rFonts w:ascii="Segoe UI" w:hAnsi="Segoe UI" w:eastAsia="Segoe UI" w:cs="Segoe UI"/>
                <w:color w:val="1F1D1A"/>
                <w:sz w:val="18"/>
              </w:rPr>
              <w:t>Sí, con indemnización tasada</w:t>
            </w:r>
          </w:p>
        </w:tc>
      </w:tr>
      <w:tr>
        <w:tc>
          <w:tcPr>
            <w:tcW w:type="dxa" w:w="2296"/>
          </w:tcPr>
          <w:p>
            <w:pPr>
              <w:spacing w:after="20" w:line="264" w:lineRule="auto"/>
            </w:pPr>
            <w:r/>
            <w:r>
              <w:rPr>
                <w:rFonts w:ascii="Segoe UI" w:hAnsi="Segoe UI" w:eastAsia="Segoe UI" w:cs="Segoe UI"/>
                <w:color w:val="1F1D1A"/>
                <w:sz w:val="18"/>
              </w:rPr>
              <w:t>1a. Jubilados del trabajo privado</w:t>
            </w:r>
          </w:p>
        </w:tc>
        <w:tc>
          <w:tcPr>
            <w:tcW w:type="dxa" w:w="2296"/>
          </w:tcPr>
          <w:p>
            <w:pPr>
              <w:spacing w:after="20" w:line="264" w:lineRule="auto"/>
            </w:pPr>
            <w:r/>
            <w:r>
              <w:rPr>
                <w:rFonts w:ascii="Segoe UI" w:hAnsi="Segoe UI" w:eastAsia="Segoe UI" w:cs="Segoe UI"/>
                <w:color w:val="1F1D1A"/>
                <w:sz w:val="18"/>
              </w:rPr>
              <w:t>10.547.417 pensiones</w:t>
            </w:r>
          </w:p>
        </w:tc>
        <w:tc>
          <w:tcPr>
            <w:tcW w:type="dxa" w:w="2296"/>
          </w:tcPr>
          <w:p>
            <w:pPr>
              <w:spacing w:after="20" w:line="264" w:lineRule="auto"/>
            </w:pPr>
            <w:r/>
            <w:r>
              <w:rPr>
                <w:rFonts w:ascii="Segoe UI" w:hAnsi="Segoe UI" w:eastAsia="Segoe UI" w:cs="Segoe UI"/>
                <w:color w:val="1F1D1A"/>
                <w:sz w:val="18"/>
              </w:rPr>
              <w:t>19.244 € (jubilación: 22.065 €)</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1b. Jubilados del Estado</w:t>
            </w:r>
          </w:p>
        </w:tc>
        <w:tc>
          <w:tcPr>
            <w:tcW w:type="dxa" w:w="2296"/>
          </w:tcPr>
          <w:p>
            <w:pPr>
              <w:spacing w:after="20" w:line="264" w:lineRule="auto"/>
            </w:pPr>
            <w:r/>
            <w:r>
              <w:rPr>
                <w:rFonts w:ascii="Segoe UI" w:hAnsi="Segoe UI" w:eastAsia="Segoe UI" w:cs="Segoe UI"/>
                <w:color w:val="1F1D1A"/>
                <w:sz w:val="18"/>
              </w:rPr>
              <w:t>740.431 pensiones, como mínimo</w:t>
            </w:r>
          </w:p>
        </w:tc>
        <w:tc>
          <w:tcPr>
            <w:tcW w:type="dxa" w:w="2296"/>
          </w:tcPr>
          <w:p>
            <w:pPr>
              <w:spacing w:after="20" w:line="264" w:lineRule="auto"/>
            </w:pPr>
            <w:r/>
            <w:r>
              <w:rPr>
                <w:rFonts w:ascii="Segoe UI" w:hAnsi="Segoe UI" w:eastAsia="Segoe UI" w:cs="Segoe UI"/>
                <w:color w:val="1F1D1A"/>
                <w:sz w:val="18"/>
              </w:rPr>
              <w:t>33.545 €</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 Empleados públicos y fuerzas del Estado</w:t>
            </w:r>
          </w:p>
        </w:tc>
        <w:tc>
          <w:tcPr>
            <w:tcW w:type="dxa" w:w="2296"/>
          </w:tcPr>
          <w:p>
            <w:pPr>
              <w:spacing w:after="20" w:line="264" w:lineRule="auto"/>
            </w:pPr>
            <w:r/>
            <w:r>
              <w:rPr>
                <w:rFonts w:ascii="Segoe UI" w:hAnsi="Segoe UI" w:eastAsia="Segoe UI" w:cs="Segoe UI"/>
                <w:color w:val="1F1D1A"/>
                <w:sz w:val="18"/>
              </w:rPr>
              <w:t>3.071.725</w:t>
            </w:r>
          </w:p>
        </w:tc>
        <w:tc>
          <w:tcPr>
            <w:tcW w:type="dxa" w:w="2296"/>
          </w:tcPr>
          <w:p>
            <w:pPr>
              <w:spacing w:after="20" w:line="264" w:lineRule="auto"/>
            </w:pPr>
            <w:r/>
            <w:r>
              <w:rPr>
                <w:rFonts w:ascii="Segoe UI" w:hAnsi="Segoe UI" w:eastAsia="Segoe UI" w:cs="Segoe UI"/>
                <w:color w:val="1F1D1A"/>
                <w:sz w:val="18"/>
              </w:rPr>
              <w:t>34.482 € de salario</w:t>
            </w:r>
          </w:p>
        </w:tc>
        <w:tc>
          <w:tcPr>
            <w:tcW w:type="dxa" w:w="2296"/>
          </w:tcPr>
          <w:p>
            <w:pPr>
              <w:spacing w:after="20" w:line="264" w:lineRule="auto"/>
            </w:pPr>
            <w:r/>
            <w:r>
              <w:rPr>
                <w:rFonts w:ascii="Segoe UI" w:hAnsi="Segoe UI" w:eastAsia="Segoe UI" w:cs="Segoe UI"/>
                <w:color w:val="1F1D1A"/>
                <w:sz w:val="18"/>
              </w:rPr>
              <w:t>Solo por falta muy grave o condena</w:t>
            </w:r>
          </w:p>
        </w:tc>
      </w:tr>
      <w:tr>
        <w:tc>
          <w:tcPr>
            <w:tcW w:type="dxa" w:w="2296"/>
          </w:tcPr>
          <w:p>
            <w:pPr>
              <w:spacing w:after="20" w:line="264" w:lineRule="auto"/>
            </w:pPr>
            <w:r/>
            <w:r>
              <w:rPr>
                <w:rFonts w:ascii="Segoe UI" w:hAnsi="Segoe UI" w:eastAsia="Segoe UI" w:cs="Segoe UI"/>
                <w:color w:val="1F1D1A"/>
                <w:sz w:val="18"/>
              </w:rPr>
              <w:t>3. Cargos políticos</w:t>
            </w:r>
          </w:p>
        </w:tc>
        <w:tc>
          <w:tcPr>
            <w:tcW w:type="dxa" w:w="2296"/>
          </w:tcPr>
          <w:p>
            <w:pPr>
              <w:spacing w:after="20" w:line="264" w:lineRule="auto"/>
            </w:pPr>
            <w:r/>
            <w:r>
              <w:rPr>
                <w:rFonts w:ascii="Segoe UI" w:hAnsi="Segoe UI" w:eastAsia="Segoe UI" w:cs="Segoe UI"/>
                <w:color w:val="1F1D1A"/>
                <w:sz w:val="18"/>
              </w:rPr>
              <w:t>743 altos cargos; 350 diputados; 266 senadores; 959 asesores, como mínimo</w:t>
            </w:r>
          </w:p>
        </w:tc>
        <w:tc>
          <w:tcPr>
            <w:tcW w:type="dxa" w:w="2296"/>
          </w:tcPr>
          <w:p>
            <w:pPr>
              <w:spacing w:after="20" w:line="264" w:lineRule="auto"/>
            </w:pPr>
            <w:r/>
            <w:r>
              <w:rPr>
                <w:rFonts w:ascii="Segoe UI" w:hAnsi="Segoe UI" w:eastAsia="Segoe UI" w:cs="Segoe UI"/>
                <w:color w:val="1F1D1A"/>
                <w:sz w:val="18"/>
              </w:rPr>
              <w:t>Presidente del Gobierno, 96.921,84 €; ministro, 85.513,32 €; senador de fuera de Madrid, unos 78.555 €</w:t>
            </w:r>
          </w:p>
        </w:tc>
        <w:tc>
          <w:tcPr>
            <w:tcW w:type="dxa" w:w="2296"/>
          </w:tcPr>
          <w:p>
            <w:pPr>
              <w:spacing w:after="20" w:line="264" w:lineRule="auto"/>
            </w:pPr>
            <w:r/>
            <w:r>
              <w:rPr>
                <w:rFonts w:ascii="Segoe UI" w:hAnsi="Segoe UI" w:eastAsia="Segoe UI" w:cs="Segoe UI"/>
                <w:color w:val="1F1D1A"/>
                <w:sz w:val="18"/>
              </w:rPr>
              <w:t>No durante el mandato</w:t>
            </w:r>
          </w:p>
        </w:tc>
      </w:tr>
    </w:tbl>
    <w:p>
      <w:pPr>
        <w:spacing w:after="80"/>
      </w:pPr>
    </w:p>
    <w:p>
      <w:r>
        <w:t>Fuentes y cálculos: ocupados del sector privado, autónomos incluidos, en el segundo trimestre de 2026</w:t>
      </w:r>
      <w:r>
        <w:t xml:space="preserve"> (INE, EPA, tabla 65183)</w:t>
      </w:r>
      <w:r>
        <w:t>. Salarios medios: cálculo de la obra con la tabla de retribuciones y asalariados de la Agencia Tributaria de 2024, sin corregir la jornada, la antigüedad ni la cualificación; los contratos temporales o a tiempo parcial, más frecuentes en el sector privado, bajan su media. Pensiones de la Seguridad Social: nómina de septiembre de 2026, pensión media de 1.374,6 € (jubilación, 1.576,1 €) por catorce pagas</w:t>
      </w:r>
      <w:r>
        <w:t xml:space="preserve"> (Seguridad Social, nota de 25-9-2026)</w:t>
      </w:r>
      <w:r>
        <w:t>. Clases Pasivas: pensiones de agosto de 2026, nómina mensual de 1.774,1 millones; es un mínimo, porque los empleados públicos que ingresaron desde 2011, el personal laboral y casi todos los funcionarios autonómicos y locales se jubilan por la Seguridad Social y las estadísticas no los separan</w:t>
      </w:r>
      <w:r>
        <w:t xml:space="preserve"> (ídem)</w:t>
      </w:r>
      <w:r>
        <w:t>. Empleados públicos: enero de 2026; 546.554 en el Estado, 1.930.273 en las comunidades autónomas y 594.898 en la Administración local</w:t>
      </w:r>
      <w:r>
        <w:t xml:space="preserve"> (Estadística del Personal al Servicio de las Administraciones Públicas)</w:t>
      </w:r>
      <w:r>
        <w:t>. Cargos: 743 registros de retribución de altos cargos de 2025 en el Portal de la Transparencia (recuento de la obra), con una retribución media de 92.294 euros (</w:t>
      </w:r>
      <w:r>
        <w:t>C.1</w:t>
      </w:r>
      <w:r>
        <w:t>); 266 senadores en la XV Legislatura (</w:t>
      </w:r>
      <w:r>
        <w:t>C.1</w:t>
      </w:r>
      <w:r>
        <w:t>); «trescientos cincuenta Diputados»</w:t>
      </w:r>
      <w:r>
        <w:t xml:space="preserve"> (LOREG, art. 162.1)</w:t>
      </w:r>
      <w:r>
        <w:br/>
      </w:r>
      <w:r>
        <w:rPr>
          <w:b/>
        </w:rPr>
        <w:t>leída en su fuente · LOREG, art. 162.1</w:t>
      </w:r>
      <w:r>
        <w:br/>
      </w:r>
      <w:r>
        <w:rPr>
          <w:b/>
        </w:rPr>
        <w:t>Archivo leído:</w:t>
      </w:r>
      <w:r>
        <w:t xml:space="preserve"> loreg_lo5_1985_consolidada.html (c10\loreg_lo5_1985_consolidada.html) · contraste del archivo de pasajes: ✔</w:t>
      </w:r>
      <w:r>
        <w:br/>
      </w:r>
      <w:r>
        <w:rPr>
          <w:b/>
        </w:rPr>
        <w:t>Lugar:</w:t>
      </w:r>
      <w:r>
        <w:t xml:space="preserve"> LOREG, art. 162.1</w:t>
      </w:r>
      <w:r>
        <w:br/>
      </w:r>
      <w:r>
        <w:rPr>
          <w:b/>
        </w:rPr>
        <w:t>Tal como está en la fuente:</w:t>
      </w:r>
      <w:r>
        <w:t xml:space="preserve"> trescientos cincuenta Diputados</w:t>
      </w:r>
      <w:r>
        <w:t>; personal eventual de los ministerios, 959, un mínimo porque no cuenta a los funcionarios de carrera que ocupan puestos de confianza</w:t>
      </w:r>
      <w:r>
        <w:t xml:space="preserve"> (Estadística del Personal, tabla 2.3)</w:t>
      </w:r>
      <w:r>
        <w:t>; retribuciones de 2026</w:t>
      </w:r>
      <w:r>
        <w:t xml:space="preserve"> (Hacienda, cuantías retributivas; Senado, régimen económico)</w:t>
      </w:r>
      <w:r>
        <w:t>: el senador cobra 3.417,54 € al mes de asignación y 2.193,50 € de indemnización exenta, en catorce pagas. Despido: en el despido por causas objetivas, «veinte días por año de servicio […] con un máximo de doce mensualidades»</w:t>
      </w:r>
      <w:r>
        <w:t xml:space="preserve"> (Estatuto de los Trabajadores, art. 53.1.b)</w:t>
      </w:r>
      <w:r>
        <w:br/>
      </w:r>
      <w:r>
        <w:rPr>
          <w:b/>
        </w:rPr>
        <w:t>leída en su fuente · Estatuto de los Trabajadores, art. 53.1.b</w:t>
      </w:r>
      <w:r>
        <w:br/>
      </w:r>
      <w:r>
        <w:rPr>
          <w:b/>
        </w:rPr>
        <w:t>Archivo leído:</w:t>
      </w:r>
      <w:r>
        <w:t xml:space="preserve"> BOE-A-2015-11430.txt (c9f\boe_codigos_electronicos\093_Codigo_Laboral_y_de_la_Seguridad_Social_.pdf; c8f\boe\BOE-A-2015-11430.txt) · contraste del archivo de pasajes: ✔</w:t>
      </w:r>
      <w:r>
        <w:br/>
      </w:r>
      <w:r>
        <w:rPr>
          <w:b/>
        </w:rPr>
        <w:t>Lugar:</w:t>
      </w:r>
      <w:r>
        <w:t xml:space="preserve"> Estatuto de los Trabajadores, art. 53.1.b</w:t>
      </w:r>
      <w:r>
        <w:br/>
      </w:r>
      <w:r>
        <w:rPr>
          <w:b/>
        </w:rPr>
        <w:t>Tal como está en la fuente:</w:t>
      </w:r>
      <w:r>
        <w:t xml:space="preserve"> veinte días por año de servicio […] con un máximo de doce mensualidades</w:t>
      </w:r>
      <w:r>
        <w:t>; si es improcedente, la readmisión o «treinta y tres días de salario por año de servicio […] hasta un máximo de veinticuatro mensualidades»</w:t>
      </w:r>
      <w:r>
        <w:t xml:space="preserve"> (art. 56.1)</w:t>
      </w:r>
      <w:r>
        <w:br/>
      </w:r>
      <w:r>
        <w:rPr>
          <w:b/>
        </w:rPr>
        <w:t>leída en su fuente · art. 56.1</w:t>
      </w:r>
      <w:r>
        <w:br/>
      </w:r>
      <w:r>
        <w:rPr>
          <w:b/>
        </w:rPr>
        <w:t>Archivo leído:</w:t>
      </w:r>
      <w:r>
        <w:t xml:space="preserve"> BOE-A-2015-11430.txt (c9f\boe_codigos_electronicos\093_Codigo_Laboral_y_de_la_Seguridad_Social_.pdf; c8f\boe\BOE-A-2015-11430.txt) · contraste del archivo de pasajes: ✔</w:t>
      </w:r>
      <w:r>
        <w:br/>
      </w:r>
      <w:r>
        <w:rPr>
          <w:b/>
        </w:rPr>
        <w:t>Lugar:</w:t>
      </w:r>
      <w:r>
        <w:t xml:space="preserve"> art. 56.1</w:t>
      </w:r>
      <w:r>
        <w:br/>
      </w:r>
      <w:r>
        <w:rPr>
          <w:b/>
        </w:rPr>
        <w:t>Tal como está en la fuente:</w:t>
      </w:r>
      <w:r>
        <w:t xml:space="preserve"> treinta y tres días de salario por año de servicio […] hasta un máximo de veinticuatro mensualidades</w:t>
      </w:r>
      <w:r>
        <w:t>. El funcionario de carrera tiene derecho «A la inamovilidad»</w:t>
      </w:r>
      <w:r>
        <w:t xml:space="preserve"> (Estatuto Básico del Empleado Público, art. 14.a)</w:t>
      </w:r>
      <w:r>
        <w:t>, y solo pierde la condición por renuncia, pérdida de la nacionalidad, jubilación, separación firme del servicio, que «sólo podrá sancionar la comisión de faltas muy graves», o inhabilitación penal firme</w:t>
      </w:r>
      <w:r>
        <w:t xml:space="preserve"> (arts. 63 y 96.1.a)</w:t>
      </w:r>
      <w:r>
        <w:t>. El diputado la pierde por anulación judicial de su elección, fallecimiento o incapacitación, fin del mandato o renuncia</w:t>
      </w:r>
      <w:r>
        <w:t xml:space="preserve"> (Reglamento del Congreso, art. 22)</w:t>
      </w:r>
      <w:r>
        <w:t xml:space="preserve">. </w:t>
      </w:r>
      <w:r>
        <w:t>[34.00-3.1 a 4.8 y 16.3 a 16.14]</w:t>
      </w:r>
    </w:p>
    <w:p>
      <w:r>
        <w:rPr>
          <w:b/>
        </w:rPr>
        <w:t>Lo que dicen las medias.</w:t>
      </w:r>
      <w:r>
        <w:t xml:space="preserve"> La pensión media del jubilado del Estado es 1,7 veces la del jubilado del trabajo privado, y el salario medio público, un 50 % mayor que el privado. Al asalariado se le puede despedir pagando una indemnización tasada; al funcionario de carrera, solo por falta muy grave o condena; al parlamentario, nadie durante su mandato. Son comparaciones en bruto, con sus cautelas. </w:t>
      </w:r>
      <w:r>
        <w:t>[34.00-4.7 y 14.1]</w:t>
      </w:r>
    </w:p>
    <w:p>
      <w:r>
        <w:rPr>
          <w:b/>
        </w:rPr>
        <w:t>Lo que se prometió a quien cotiza.</w:t>
      </w:r>
      <w:r>
        <w:t xml:space="preserve"> Quien cotiza cree pagar su jubilación, y la ley dice que el sistema es de reparto (</w:t>
      </w:r>
      <w:r>
        <w:t>5.1</w:t>
      </w:r>
      <w:r>
        <w:t>, n.º 1): la pensión de quien cotiza hoy dependerá de quienes coticen detrás. Hoy hay unos dos afiliados por cada pensión: 21.844.414 afiliados en diciembre de 2025</w:t>
      </w:r>
      <w:r>
        <w:t xml:space="preserve"> (Seguridad Social, nota de 5-1-2026)</w:t>
      </w:r>
      <w:r>
        <w:t xml:space="preserve"> para 10.547.417 pensiones en septiembre de 2026; y la fecundidad está en 1,10 hijos por mujer (</w:t>
      </w:r>
      <w:r>
        <w:t>8.8</w:t>
      </w:r>
      <w:r>
        <w:t xml:space="preserve">). </w:t>
      </w:r>
      <w:r>
        <w:t>[34.00-5.1 y 16.15]</w:t>
      </w:r>
    </w:p>
    <w:p>
      <w:r>
        <w:rPr>
          <w:b/>
        </w:rPr>
        <w:t>La hucha.</w:t>
      </w:r>
      <w:r>
        <w:t xml:space="preserve"> El Fondo de Reserva llegó a 66.815 millones en 2011. Desde 2012 se dejó sin efecto su límite anual de disposición: «Durante los ejercicios 2012, 2013 y 2014, no resultará de aplicación el límite del tres por ciento»</w:t>
      </w:r>
      <w:r>
        <w:t xml:space="preserve"> (Real Decreto-ley 28/2012, art. 1)</w:t>
      </w:r>
      <w:r>
        <w:br/>
      </w:r>
      <w:r>
        <w:rPr>
          <w:b/>
        </w:rPr>
        <w:t>leída en su fuente · Real Decreto-ley 28/2012, art. 1</w:t>
      </w:r>
      <w:r>
        <w:br/>
      </w:r>
      <w:r>
        <w:rPr>
          <w:b/>
        </w:rPr>
        <w:t>Archivo leído:</w:t>
      </w:r>
      <w:r>
        <w:t xml:space="preserve"> 8.5_18a_RDL_28-2012_Fondo_Reserva_BOE-A-2012-14695.html (c8c\8.5_18a_RDL_28-2012_Fondo_Reserva_BOE-A-2012-14695.html) · contraste del archivo de pasajes: ✔</w:t>
      </w:r>
      <w:r>
        <w:br/>
      </w:r>
      <w:r>
        <w:rPr>
          <w:b/>
        </w:rPr>
        <w:t>Lugar:</w:t>
      </w:r>
      <w:r>
        <w:t xml:space="preserve"> Real Decreto-ley 28/2012, art. 1</w:t>
      </w:r>
      <w:r>
        <w:br/>
      </w:r>
      <w:r>
        <w:rPr>
          <w:b/>
        </w:rPr>
        <w:t>Tal como está en la fuente:</w:t>
      </w:r>
      <w:r>
        <w:t xml:space="preserve"> Durante los ejercicios 2012, 2013 y 2014, no resultará de aplicación el límite del tres por ciento</w:t>
      </w:r>
      <w:r>
        <w:t>; después, para 2015 y 2016 y para 2017 y 2018, por las leyes de presupuestos. Lo dispuesto, año por año: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020"/>
        <w:gridCol w:w="1020"/>
        <w:gridCol w:w="1020"/>
        <w:gridCol w:w="1020"/>
        <w:gridCol w:w="1020"/>
        <w:gridCol w:w="1020"/>
        <w:gridCol w:w="1020"/>
        <w:gridCol w:w="1020"/>
        <w:gridCol w:w="1020"/>
      </w:tblGrid>
      <w:tr>
        <w:tc>
          <w:tcPr>
            <w:tcW w:type="dxa" w:w="1020"/>
            <w:shd w:val="clear" w:color="auto" w:fill="F1EEE8"/>
          </w:tcPr>
          <w:p>
            <w:pPr>
              <w:spacing w:after="20" w:line="264" w:lineRule="auto"/>
            </w:pPr>
            <w:r>
              <w:rPr>
                <w:b/>
              </w:rPr>
            </w:r>
            <w:r>
              <w:rPr>
                <w:rFonts w:ascii="Segoe UI" w:hAnsi="Segoe UI" w:eastAsia="Segoe UI" w:cs="Segoe UI"/>
                <w:b/>
                <w:color w:val="1F1D1A"/>
                <w:sz w:val="18"/>
              </w:rPr>
              <w:t>2012</w:t>
            </w:r>
          </w:p>
        </w:tc>
        <w:tc>
          <w:tcPr>
            <w:tcW w:type="dxa" w:w="1020"/>
            <w:shd w:val="clear" w:color="auto" w:fill="F1EEE8"/>
          </w:tcPr>
          <w:p>
            <w:pPr>
              <w:spacing w:after="20" w:line="264" w:lineRule="auto"/>
            </w:pPr>
            <w:r>
              <w:rPr>
                <w:b/>
              </w:rPr>
            </w:r>
            <w:r>
              <w:rPr>
                <w:rFonts w:ascii="Segoe UI" w:hAnsi="Segoe UI" w:eastAsia="Segoe UI" w:cs="Segoe UI"/>
                <w:b/>
                <w:color w:val="1F1D1A"/>
                <w:sz w:val="18"/>
              </w:rPr>
              <w:t>2013</w:t>
            </w:r>
          </w:p>
        </w:tc>
        <w:tc>
          <w:tcPr>
            <w:tcW w:type="dxa" w:w="1020"/>
            <w:shd w:val="clear" w:color="auto" w:fill="F1EEE8"/>
          </w:tcPr>
          <w:p>
            <w:pPr>
              <w:spacing w:after="20" w:line="264" w:lineRule="auto"/>
            </w:pPr>
            <w:r>
              <w:rPr>
                <w:b/>
              </w:rPr>
            </w:r>
            <w:r>
              <w:rPr>
                <w:rFonts w:ascii="Segoe UI" w:hAnsi="Segoe UI" w:eastAsia="Segoe UI" w:cs="Segoe UI"/>
                <w:b/>
                <w:color w:val="1F1D1A"/>
                <w:sz w:val="18"/>
              </w:rPr>
              <w:t>2014</w:t>
            </w:r>
          </w:p>
        </w:tc>
        <w:tc>
          <w:tcPr>
            <w:tcW w:type="dxa" w:w="1020"/>
            <w:shd w:val="clear" w:color="auto" w:fill="F1EEE8"/>
          </w:tcPr>
          <w:p>
            <w:pPr>
              <w:spacing w:after="20" w:line="264" w:lineRule="auto"/>
            </w:pPr>
            <w:r>
              <w:rPr>
                <w:b/>
              </w:rPr>
            </w:r>
            <w:r>
              <w:rPr>
                <w:rFonts w:ascii="Segoe UI" w:hAnsi="Segoe UI" w:eastAsia="Segoe UI" w:cs="Segoe UI"/>
                <w:b/>
                <w:color w:val="1F1D1A"/>
                <w:sz w:val="18"/>
              </w:rPr>
              <w:t>2015</w:t>
            </w:r>
          </w:p>
        </w:tc>
        <w:tc>
          <w:tcPr>
            <w:tcW w:type="dxa" w:w="1020"/>
            <w:shd w:val="clear" w:color="auto" w:fill="F1EEE8"/>
          </w:tcPr>
          <w:p>
            <w:pPr>
              <w:spacing w:after="20" w:line="264" w:lineRule="auto"/>
            </w:pPr>
            <w:r>
              <w:rPr>
                <w:b/>
              </w:rPr>
            </w:r>
            <w:r>
              <w:rPr>
                <w:rFonts w:ascii="Segoe UI" w:hAnsi="Segoe UI" w:eastAsia="Segoe UI" w:cs="Segoe UI"/>
                <w:b/>
                <w:color w:val="1F1D1A"/>
                <w:sz w:val="18"/>
              </w:rPr>
              <w:t>2016</w:t>
            </w:r>
          </w:p>
        </w:tc>
        <w:tc>
          <w:tcPr>
            <w:tcW w:type="dxa" w:w="1020"/>
            <w:shd w:val="clear" w:color="auto" w:fill="F1EEE8"/>
          </w:tcPr>
          <w:p>
            <w:pPr>
              <w:spacing w:after="20" w:line="264" w:lineRule="auto"/>
            </w:pPr>
            <w:r>
              <w:rPr>
                <w:b/>
              </w:rPr>
            </w:r>
            <w:r>
              <w:rPr>
                <w:rFonts w:ascii="Segoe UI" w:hAnsi="Segoe UI" w:eastAsia="Segoe UI" w:cs="Segoe UI"/>
                <w:b/>
                <w:color w:val="1F1D1A"/>
                <w:sz w:val="18"/>
              </w:rPr>
              <w:t>2017</w:t>
            </w:r>
          </w:p>
        </w:tc>
        <w:tc>
          <w:tcPr>
            <w:tcW w:type="dxa" w:w="1020"/>
            <w:shd w:val="clear" w:color="auto" w:fill="F1EEE8"/>
          </w:tcPr>
          <w:p>
            <w:pPr>
              <w:spacing w:after="20" w:line="264" w:lineRule="auto"/>
            </w:pPr>
            <w:r>
              <w:rPr>
                <w:b/>
              </w:rPr>
            </w:r>
            <w:r>
              <w:rPr>
                <w:rFonts w:ascii="Segoe UI" w:hAnsi="Segoe UI" w:eastAsia="Segoe UI" w:cs="Segoe UI"/>
                <w:b/>
                <w:color w:val="1F1D1A"/>
                <w:sz w:val="18"/>
              </w:rPr>
              <w:t>2018</w:t>
            </w:r>
          </w:p>
        </w:tc>
        <w:tc>
          <w:tcPr>
            <w:tcW w:type="dxa" w:w="1020"/>
            <w:shd w:val="clear" w:color="auto" w:fill="F1EEE8"/>
          </w:tcPr>
          <w:p>
            <w:pPr>
              <w:spacing w:after="20" w:line="264" w:lineRule="auto"/>
            </w:pPr>
            <w:r>
              <w:rPr>
                <w:b/>
              </w:rPr>
            </w:r>
            <w:r>
              <w:rPr>
                <w:rFonts w:ascii="Segoe UI" w:hAnsi="Segoe UI" w:eastAsia="Segoe UI" w:cs="Segoe UI"/>
                <w:b/>
                <w:color w:val="1F1D1A"/>
                <w:sz w:val="18"/>
              </w:rPr>
              <w:t>2019</w:t>
            </w:r>
          </w:p>
        </w:tc>
        <w:tc>
          <w:tcPr>
            <w:tcW w:type="dxa" w:w="1020"/>
            <w:shd w:val="clear" w:color="auto" w:fill="F1EEE8"/>
          </w:tcPr>
          <w:p>
            <w:pPr>
              <w:spacing w:after="20" w:line="264" w:lineRule="auto"/>
            </w:pPr>
            <w:r>
              <w:rPr>
                <w:b/>
              </w:rPr>
            </w:r>
            <w:r>
              <w:rPr>
                <w:rFonts w:ascii="Segoe UI" w:hAnsi="Segoe UI" w:eastAsia="Segoe UI" w:cs="Segoe UI"/>
                <w:b/>
                <w:color w:val="1F1D1A"/>
                <w:sz w:val="18"/>
              </w:rPr>
              <w:t>Total</w:t>
            </w:r>
          </w:p>
        </w:tc>
      </w:tr>
      <w:tr>
        <w:tc>
          <w:tcPr>
            <w:tcW w:type="dxa" w:w="1020"/>
          </w:tcPr>
          <w:p>
            <w:pPr>
              <w:spacing w:after="20" w:line="264" w:lineRule="auto"/>
            </w:pPr>
            <w:r/>
            <w:r>
              <w:rPr>
                <w:rFonts w:ascii="Segoe UI" w:hAnsi="Segoe UI" w:eastAsia="Segoe UI" w:cs="Segoe UI"/>
                <w:color w:val="1F1D1A"/>
                <w:sz w:val="18"/>
              </w:rPr>
              <w:t>7.003</w:t>
            </w:r>
          </w:p>
        </w:tc>
        <w:tc>
          <w:tcPr>
            <w:tcW w:type="dxa" w:w="1020"/>
          </w:tcPr>
          <w:p>
            <w:pPr>
              <w:spacing w:after="20" w:line="264" w:lineRule="auto"/>
            </w:pPr>
            <w:r/>
            <w:r>
              <w:rPr>
                <w:rFonts w:ascii="Segoe UI" w:hAnsi="Segoe UI" w:eastAsia="Segoe UI" w:cs="Segoe UI"/>
                <w:color w:val="1F1D1A"/>
                <w:sz w:val="18"/>
              </w:rPr>
              <w:t>11.648</w:t>
            </w:r>
          </w:p>
        </w:tc>
        <w:tc>
          <w:tcPr>
            <w:tcW w:type="dxa" w:w="1020"/>
          </w:tcPr>
          <w:p>
            <w:pPr>
              <w:spacing w:after="20" w:line="264" w:lineRule="auto"/>
            </w:pPr>
            <w:r/>
            <w:r>
              <w:rPr>
                <w:rFonts w:ascii="Segoe UI" w:hAnsi="Segoe UI" w:eastAsia="Segoe UI" w:cs="Segoe UI"/>
                <w:color w:val="1F1D1A"/>
                <w:sz w:val="18"/>
              </w:rPr>
              <w:t>15.300</w:t>
            </w:r>
          </w:p>
        </w:tc>
        <w:tc>
          <w:tcPr>
            <w:tcW w:type="dxa" w:w="1020"/>
          </w:tcPr>
          <w:p>
            <w:pPr>
              <w:spacing w:after="20" w:line="264" w:lineRule="auto"/>
            </w:pPr>
            <w:r/>
            <w:r>
              <w:rPr>
                <w:rFonts w:ascii="Segoe UI" w:hAnsi="Segoe UI" w:eastAsia="Segoe UI" w:cs="Segoe UI"/>
                <w:color w:val="1F1D1A"/>
                <w:sz w:val="18"/>
              </w:rPr>
              <w:t>13.250</w:t>
            </w:r>
          </w:p>
        </w:tc>
        <w:tc>
          <w:tcPr>
            <w:tcW w:type="dxa" w:w="1020"/>
          </w:tcPr>
          <w:p>
            <w:pPr>
              <w:spacing w:after="20" w:line="264" w:lineRule="auto"/>
            </w:pPr>
            <w:r/>
            <w:r>
              <w:rPr>
                <w:rFonts w:ascii="Segoe UI" w:hAnsi="Segoe UI" w:eastAsia="Segoe UI" w:cs="Segoe UI"/>
                <w:color w:val="1F1D1A"/>
                <w:sz w:val="18"/>
              </w:rPr>
              <w:t>20.136</w:t>
            </w:r>
          </w:p>
        </w:tc>
        <w:tc>
          <w:tcPr>
            <w:tcW w:type="dxa" w:w="1020"/>
          </w:tcPr>
          <w:p>
            <w:pPr>
              <w:spacing w:after="20" w:line="264" w:lineRule="auto"/>
            </w:pPr>
            <w:r/>
            <w:r>
              <w:rPr>
                <w:rFonts w:ascii="Segoe UI" w:hAnsi="Segoe UI" w:eastAsia="Segoe UI" w:cs="Segoe UI"/>
                <w:color w:val="1F1D1A"/>
                <w:sz w:val="18"/>
              </w:rPr>
              <w:t>7.100</w:t>
            </w:r>
          </w:p>
        </w:tc>
        <w:tc>
          <w:tcPr>
            <w:tcW w:type="dxa" w:w="1020"/>
          </w:tcPr>
          <w:p>
            <w:pPr>
              <w:spacing w:after="20" w:line="264" w:lineRule="auto"/>
            </w:pPr>
            <w:r/>
            <w:r>
              <w:rPr>
                <w:rFonts w:ascii="Segoe UI" w:hAnsi="Segoe UI" w:eastAsia="Segoe UI" w:cs="Segoe UI"/>
                <w:color w:val="1F1D1A"/>
                <w:sz w:val="18"/>
              </w:rPr>
              <w:t>3.000</w:t>
            </w:r>
          </w:p>
        </w:tc>
        <w:tc>
          <w:tcPr>
            <w:tcW w:type="dxa" w:w="1020"/>
          </w:tcPr>
          <w:p>
            <w:pPr>
              <w:spacing w:after="20" w:line="264" w:lineRule="auto"/>
            </w:pPr>
            <w:r/>
            <w:r>
              <w:rPr>
                <w:rFonts w:ascii="Segoe UI" w:hAnsi="Segoe UI" w:eastAsia="Segoe UI" w:cs="Segoe UI"/>
                <w:color w:val="1F1D1A"/>
                <w:sz w:val="18"/>
              </w:rPr>
              <w:t>2.900</w:t>
            </w:r>
          </w:p>
        </w:tc>
        <w:tc>
          <w:tcPr>
            <w:tcW w:type="dxa" w:w="1020"/>
          </w:tcPr>
          <w:p>
            <w:pPr>
              <w:spacing w:after="20" w:line="264" w:lineRule="auto"/>
            </w:pPr>
            <w:r/>
            <w:r>
              <w:rPr>
                <w:rFonts w:ascii="Segoe UI" w:hAnsi="Segoe UI" w:eastAsia="Segoe UI" w:cs="Segoe UI"/>
                <w:color w:val="1F1D1A"/>
                <w:sz w:val="18"/>
              </w:rPr>
              <w:t>80.337</w:t>
            </w:r>
          </w:p>
        </w:tc>
      </w:tr>
    </w:tbl>
    <w:p>
      <w:pPr>
        <w:spacing w:after="80"/>
      </w:pPr>
    </w:p>
    <w:p>
      <w:r>
        <w:t>Millones de euros. A final de 2018 quedaban 5.043 millones, y en 2020, 2.138</w:t>
      </w:r>
      <w:r>
        <w:t xml:space="preserve"> (Fondo de Reserva, informes a las Cortes Generales de 2020 y 2025)</w:t>
      </w:r>
      <w:r>
        <w:t>. Hoy vuelve a tener 14.069,81 millones (31-12-2025), pero gracias a una cotización nueva que pagan trabajadores y empresas desde 2023, el mecanismo de equidad intergeneracional: 10.150 millones de 2023 a 2025</w:t>
      </w:r>
      <w:r>
        <w:t xml:space="preserve"> (informe de 2025)</w:t>
      </w:r>
      <w:r>
        <w:t>. La última dotación al Fondo con cargo a excedentes fue la de 2010</w:t>
      </w:r>
      <w:r>
        <w:t xml:space="preserve"> (Fondo de Reserva, informe de 2025)</w:t>
      </w:r>
      <w:r>
        <w:t>. No fue apropiación: se usó para pagar pensiones (</w:t>
      </w:r>
      <w:r>
        <w:t>7.5</w:t>
      </w:r>
      <w:r>
        <w:t>, caso 4). Y en qué está invertida: «La cartera está compuesta, exclusivamente, por deuda pública española»</w:t>
      </w:r>
      <w:r>
        <w:t xml:space="preserve"> (ídem)</w:t>
      </w:r>
      <w:r>
        <w:br/>
      </w:r>
      <w:r>
        <w:rPr>
          <w:b/>
        </w:rPr>
        <w:t>leída en su fuente · ídem</w:t>
      </w:r>
      <w:r>
        <w:br/>
      </w:r>
      <w:r>
        <w:rPr>
          <w:b/>
        </w:rPr>
        <w:t>Archivo leído:</w:t>
      </w:r>
      <w:r>
        <w:t xml:space="preserve"> fondo_reserva_informe_cortes_2025.pdf (c5\fondo_reserva_informe_cortes_2025.pdf) · contraste del archivo de pasajes: ✔</w:t>
      </w:r>
      <w:r>
        <w:br/>
      </w:r>
      <w:r>
        <w:rPr>
          <w:b/>
        </w:rPr>
        <w:t>Lugar:</w:t>
      </w:r>
      <w:r>
        <w:t xml:space="preserve"> Pág. PDF 33 (impresa 31)</w:t>
      </w:r>
      <w:r>
        <w:br/>
      </w:r>
      <w:r>
        <w:rPr>
          <w:b/>
        </w:rPr>
        <w:t>Dirección:</w:t>
      </w:r>
      <w:r>
        <w:t xml:space="preserve"> </w:t>
      </w:r>
      <w:r>
        <w:t>https://www.seg-social.es/descarga/es/15072026</w:t>
      </w:r>
      <w:r>
        <w:br/>
      </w:r>
      <w:r>
        <w:rPr>
          <w:b/>
        </w:rPr>
        <w:t>Tal como está en la fuente:</w:t>
      </w:r>
      <w:r>
        <w:t xml:space="preserve"> La cartera está compuesta, exclusivamente, por deuda pública española y su clasificación por tramos</w:t>
      </w:r>
      <w:r>
        <w:t>, porque la ley ordena invertirla en títulos públicos y en su comité se sienta el Director General del Tesoro (</w:t>
      </w:r>
      <w:r>
        <w:t>5.1</w:t>
      </w:r>
      <w:r>
        <w:t xml:space="preserve">, n.º 2). </w:t>
      </w:r>
      <w:r>
        <w:t>[34.00-5.2, 5.3 y 6.6; 20.00-10.1 a 10.3; cifras corregidas con el informe de 2020]</w:t>
      </w:r>
    </w:p>
    <w:p>
      <w:r>
        <w:rPr>
          <w:b/>
        </w:rPr>
        <w:t>Lo que rindió.</w:t>
      </w:r>
      <w:r>
        <w:t xml:space="preserve"> En los últimos diez años, el Fondo rindió un 0,12 % al año, mientras los precios subían un 2,39 % (índice armonizado de Eurostat, cálculo de la obra): perdió valor real. En veinte años, un 2,91 % al año, apenas por encima de los precios. La comparación con los planes de pensiones la hace el propio informe oficial: en diez años, los de renta variable rindieron un 9,10 % al año y el conjunto de los planes, un 3,70 %</w:t>
      </w:r>
      <w:r>
        <w:t xml:space="preserve"> (Fondo de Reserva, informe de 2025, con datos de INVERCO)</w:t>
      </w:r>
      <w:r>
        <w:t>. Qué ha pasado con un depósito de todos lo juzgan las tradiciones con la regla de devolver lo confiado (</w:t>
      </w:r>
      <w:r>
        <w:t>3.2</w:t>
      </w:r>
      <w:r>
        <w:t xml:space="preserve">, P5). </w:t>
      </w:r>
      <w:r>
        <w:t>[34.00-6.1 a 6.5; 00.0-4.6]</w:t>
      </w:r>
    </w:p>
    <w:p>
      <w:r>
        <w:rPr>
          <w:b/>
        </w:rPr>
        <w:t>El velo y el muro de opacidad.</w:t>
      </w:r>
      <w:r>
        <w:t xml:space="preserve"> Desde aquí, la edición distingue dos cosas. </w:t>
      </w:r>
      <w:r>
        <w:rPr>
          <w:b/>
        </w:rPr>
        <w:t>El velo</w:t>
      </w:r>
      <w:r>
        <w:t xml:space="preserve"> es la complejidad que esconde cómo funciona el sistema, aunque esté a la vista de todos: «El camuflaje no es el secreto, sino la complejidad: está a la vista de todos, escondido en cientos de miles de páginas» (Pórtico V). Es lo que el título de la obra promete disolver. </w:t>
      </w:r>
      <w:r>
        <w:rPr>
          <w:b/>
        </w:rPr>
        <w:t>El muro de opacidad</w:t>
      </w:r>
      <w:r>
        <w:t xml:space="preserve"> son los datos que el Estado no publica, o publica de forma que no se pueden sumar. Esto es lo que la obra intentó, y dónde se topó con el muro (el detalle de cada intento, con su fecha, en el </w:t>
      </w:r>
      <w:r>
        <w:t>anexo C</w:t>
      </w:r>
      <w:r>
        <w:t>):</w:t>
      </w:r>
    </w:p>
    <w:p>
      <w:pPr>
        <w:pStyle w:val="ListBullet"/>
      </w:pPr>
      <w:r>
        <w:rPr>
          <w:b/>
        </w:rPr>
        <w:t>Altos cargos:</w:t>
      </w:r>
      <w:r>
        <w:t xml:space="preserve"> el Portal de la Transparencia publica cada retribución, pero en 23 ficheros, sin un total y con un tope de 1.000 registros por consulta.</w:t>
      </w:r>
    </w:p>
    <w:p>
      <w:pPr>
        <w:pStyle w:val="ListBullet"/>
      </w:pPr>
      <w:r>
        <w:rPr>
          <w:b/>
        </w:rPr>
        <w:t>Asesores:</w:t>
      </w:r>
      <w:r>
        <w:t xml:space="preserve"> no hay un coste total de todos los asesores del Estado; solo consta el de la Presidencia del Gobierno, 18,03 millones al año.</w:t>
      </w:r>
    </w:p>
    <w:p>
      <w:pPr>
        <w:pStyle w:val="ListBullet"/>
      </w:pPr>
      <w:r>
        <w:rPr>
          <w:b/>
        </w:rPr>
        <w:t>Cargos de las comunidades y los ayuntamientos:</w:t>
      </w:r>
      <w:r>
        <w:t xml:space="preserve"> el sistema del Ministerio recoge lo que cobran, pero no publica totales; sumarlo exigiría consultar una a una más de 8.000 entidades.</w:t>
      </w:r>
    </w:p>
    <w:p>
      <w:pPr>
        <w:pStyle w:val="ListBullet"/>
      </w:pPr>
      <w:r>
        <w:rPr>
          <w:b/>
        </w:rPr>
        <w:t>Jubilados del Estado:</w:t>
      </w:r>
      <w:r>
        <w:t xml:space="preserve"> las estadísticas no separan a los empleados públicos que ingresaron desde 2011; por eso Clases Pasivas es solo un mínimo.</w:t>
      </w:r>
    </w:p>
    <w:p>
      <w:pPr>
        <w:pStyle w:val="ListBullet"/>
      </w:pPr>
      <w:r>
        <w:rPr>
          <w:b/>
        </w:rPr>
        <w:t>Cotizaciones:</w:t>
      </w:r>
      <w:r>
        <w:t xml:space="preserve"> no se separa lo que las administraciones cotizan por su propio personal, con impuestos, de lo que cotizan las empresas.</w:t>
      </w:r>
    </w:p>
    <w:p>
      <w:pPr>
        <w:pStyle w:val="ListBullet"/>
      </w:pPr>
      <w:r>
        <w:rPr>
          <w:b/>
        </w:rPr>
        <w:t>Militares y policías:</w:t>
      </w:r>
      <w:r>
        <w:t xml:space="preserve"> los Presupuestos no separan su sueldo del resto del personal de sus ministerios.</w:t>
      </w:r>
    </w:p>
    <w:p>
      <w:pPr>
        <w:pStyle w:val="ListBullet"/>
      </w:pPr>
      <w:r>
        <w:rPr>
          <w:b/>
        </w:rPr>
        <w:t>Prestaciones de los exparlamentarios:</w:t>
      </w:r>
      <w:r>
        <w:t xml:space="preserve"> los Presupuestos no las separan; las únicas cifras son de prensa y no coinciden.</w:t>
      </w:r>
    </w:p>
    <w:p>
      <w:r>
        <w:t>La ley obliga a publicar cada dato; nadie está obligado a publicar la suma. Cerrar el muro exigiría pedir cada dato por la vía que la ley abre a todos, «Todas las personas tienen derecho a acceder a la información pública»</w:t>
      </w:r>
      <w:r>
        <w:t xml:space="preserve"> (Ley 19/2013, art. 12)</w:t>
      </w:r>
      <w:r>
        <w:br/>
      </w:r>
      <w:r>
        <w:rPr>
          <w:b/>
        </w:rPr>
        <w:t>leída en su fuente · Ley 19/2013, art. 12</w:t>
      </w:r>
      <w:r>
        <w:br/>
      </w:r>
      <w:r>
        <w:rPr>
          <w:b/>
        </w:rPr>
        <w:t>Archivo leído:</w:t>
      </w:r>
      <w:r>
        <w:t xml:space="preserve"> ley19_2013_transparencia.html (c5\ley19_2013_transparencia.html) · contraste del archivo de pasajes: ✔</w:t>
      </w:r>
      <w:r>
        <w:br/>
      </w:r>
      <w:r>
        <w:rPr>
          <w:b/>
        </w:rPr>
        <w:t>Lugar:</w:t>
      </w:r>
      <w:r>
        <w:t xml:space="preserve"> Art. 12 (#a12)</w:t>
      </w:r>
      <w:r>
        <w:br/>
      </w:r>
      <w:r>
        <w:rPr>
          <w:b/>
        </w:rPr>
        <w:t>Dirección:</w:t>
      </w:r>
      <w:r>
        <w:t xml:space="preserve"> </w:t>
      </w:r>
      <w:r>
        <w:t>https://www.boe.es/buscar/act.php?id=BOE-A-2013-12887</w:t>
      </w:r>
      <w:r>
        <w:br/>
      </w:r>
      <w:r>
        <w:rPr>
          <w:b/>
        </w:rPr>
        <w:t>Tal como está en la fuente:</w:t>
      </w:r>
      <w:r>
        <w:t xml:space="preserve"> Todas las personas tienen derecho a acceder a la información pública, en los términos previstos</w:t>
      </w:r>
      <w:r>
        <w:t>, y dejar constancia de la respuesta o del silencio (</w:t>
      </w:r>
      <w:r>
        <w:t>10.4</w:t>
      </w:r>
      <w:r>
        <w:t xml:space="preserve">). </w:t>
      </w:r>
      <w:r>
        <w:t>[glosario 6.4; 34.00-12.1 a 12.12]</w:t>
      </w:r>
    </w:p>
    <w:p>
      <w:r>
        <w:rPr>
          <w:b/>
        </w:rPr>
        <w:t>Conclusión, lo que arrojan los datos:</w:t>
      </w:r>
      <w:r>
        <w:t xml:space="preserve"> la protección social es la mayor partida del gasto, y las pensiones de quien trabajó las pagan, sobre todo, quienes trabajan hoy: la ley establece un sistema de reparto, no de ahorro. La hucha se vació y la ley obliga a invertirla en títulos públicos: hoy, solo deuda española, con un rendimiento que en diez años no ha cubierto los precios. El agujero de cada año equivale a los intereses, y los intereses suben. La pensión media del Estado es 1,7 veces la del trabajo privado y el salario medio público, un 50 % mayor. Y el detalle de quién cobra qué no se publica sumado. </w:t>
      </w:r>
      <w:r>
        <w:t>[34.00-14.1]</w:t>
      </w:r>
    </w:p>
    <w:p>
      <w:r>
        <w:rPr>
          <w:b/>
        </w:rPr>
        <w:t>Lectura del autor:</w:t>
      </w:r>
      <w:r>
        <w:t xml:space="preserve"> el sistema está diseñado para sostenerse a sí mismo, no para servir al pueblo. Quien cotiza lo hace de buena fe, creyendo que paga su jubilación; el Estado, como custodio, debía hacer crecer ese dinero, invirtiéndolo en empresas sólidas que beneficiaran al conjunto del país y lo protegieran de la pérdida de valor de la moneda, para devolvérselo a la persona en los años en que es más vulnerable. En lugar de eso, la hucha se presta al propio Estado, que fija el interés de esa deuda conociendo cómo funciona el sistema y sabiendo que la moneda pierde valor: aquí se ve mala fe. Y lo que no alcanza se cubre con más deuda, que pagarán quienes todavía ni siquiera cotizan, o con dinero creado de la nada por el Banco Central Europeo, que es quien decide hoy la política monetaria del euro, y que se paga con los ahorros de todos (</w:t>
      </w:r>
      <w:r>
        <w:t>8.1</w:t>
      </w:r>
      <w:r>
        <w:t xml:space="preserve"> y </w:t>
      </w:r>
      <w:r>
        <w:t>8.3</w:t>
      </w:r>
      <w:r>
        <w:t xml:space="preserve">). Un sistema que nació viciado en 1971, cuando se rompió el último vínculo de la moneda con el oro, da frutos viciados: esto apunta hacia el padre de la mentira (Jn 8:44). «Por sus frutos los conoceréis» (Mt 7:16). «El que tiene oídos para oir, oiga» (Mt 11:15). </w:t>
      </w:r>
      <w:r>
        <w:t>[34.00-15.1, 15.3 y 15.4]</w:t>
      </w:r>
    </w:p>
    <w:p>
      <w:pPr>
        <w:pStyle w:val="Heading2"/>
      </w:pPr>
      <w:r>
        <w:t>8.7 La industria, el campo y la vivienda</w:t>
      </w:r>
    </w:p>
    <w:p>
      <w:pPr>
        <w:pBdr>
          <w:left w:val="single" w:sz="24" w:space="6" w:color="E2DED6"/>
        </w:pBdr>
        <w:shd w:val="clear" w:color="auto" w:fill="F1EEE8"/>
        <w:spacing w:before="80" w:after="160"/>
        <w:ind w:left="142" w:right="142"/>
      </w:pPr>
      <w:r>
        <w:rPr>
          <w:b/>
        </w:rPr>
        <w:t>La idea: «cada vez que el Estado mete mano en algo, lo asfixia». La obra no lo acepta ni lo descarta en bloque: lo comprueba sector por sector, y dice dónde se confirma, dónde se complica y dónde no aguanta.</w:t>
      </w:r>
    </w:p>
    <w:p>
      <w:r>
        <w:rPr>
          <w:b/>
        </w:rPr>
        <w:t>La reconversión.</w:t>
      </w:r>
      <w:r>
        <w:t xml:space="preserve"> La primera norma de 1981 partía de un diagnóstico: «La situación de crisis por la que atraviesan sectores básicos de nuestra industria exige un planteamiento específico y la adopción de medidas de reconversión industrial»</w:t>
      </w:r>
      <w:r>
        <w:t xml:space="preserve"> (Real Decreto-ley 9/1981, preámbulo)</w:t>
      </w:r>
      <w:r>
        <w:br/>
      </w:r>
      <w:r>
        <w:rPr>
          <w:b/>
        </w:rPr>
        <w:t>leída en su fuente · Real Decreto-ley 9/1981, preámbulo</w:t>
      </w:r>
      <w:r>
        <w:br/>
      </w:r>
      <w:r>
        <w:rPr>
          <w:b/>
        </w:rPr>
        <w:t>Archivo leído:</w:t>
      </w:r>
      <w:r>
        <w:t xml:space="preserve"> 8.7_BOE-A-1981-13087_RDL_9-1981.html (c8d\8.7_BOE-A-1981-13087_RDL_9-1981.html) · contraste del archivo de pasajes: ✔</w:t>
      </w:r>
      <w:r>
        <w:br/>
      </w:r>
      <w:r>
        <w:rPr>
          <w:b/>
        </w:rPr>
        <w:t>Lugar:</w:t>
      </w:r>
      <w:r>
        <w:t xml:space="preserve"> Real Decreto-ley 9/1981, preámbulo</w:t>
      </w:r>
      <w:r>
        <w:br/>
      </w:r>
      <w:r>
        <w:rPr>
          <w:b/>
        </w:rPr>
        <w:t>Tal como está en la fuente:</w:t>
      </w:r>
      <w:r>
        <w:t xml:space="preserve"> La situación de crisis por la que atraviesan sectores básicos de nuestra industria exige un planteamiento específico y la adopción de medidas de reconversión industrial</w:t>
      </w:r>
      <w:r>
        <w:t>. La de 1983 la continuó con un nuevo marco</w:t>
      </w:r>
      <w:r>
        <w:t xml:space="preserve"> (Real Decreto-ley 8/1983, de Reconversión y Reindustrialización)</w:t>
      </w:r>
      <w:r>
        <w:t>. La siderurgia y la construcción naval estaban entre los sectores sometidos a reconversión. Pero la destrucción venía de antes: «entre 1977 y 1982 la industria perdió 600.000 empleos y fueron innumerables las empresas manufactureras que desaparecieron»; y entre 1977 y 1985, «alrededor de 850.000 puestos de trabajo, a pesar de que el índice de producción industrial registraba un aumento anual medio del 1,2%»</w:t>
      </w:r>
      <w:r>
        <w:t xml:space="preserve"> (Marín Arce, «La fase dura de la reconversión industrial: 1983-1986», Historia del Presente, n.º 8, 2006)</w:t>
      </w:r>
      <w:r>
        <w:br/>
      </w:r>
      <w:r>
        <w:rPr>
          <w:b/>
        </w:rPr>
        <w:t>leída en su fuente · Marín Arce, «La fase dura de la reconversión industrial: 1983-1986», Historia del Presente</w:t>
      </w:r>
      <w:r>
        <w:br/>
      </w:r>
      <w:r>
        <w:rPr>
          <w:b/>
        </w:rPr>
        <w:t>Archivo leído:</w:t>
      </w:r>
      <w:r>
        <w:t xml:space="preserve"> 8.7_MarinArce_2006_La_fase_dura_reconversion_HistoriaPresente8.pdf (c8d\8.7_MarinArce_2006_La_fase_dura_reconversion_HistoriaPresente8.pdf) · contraste del archivo de pasajes: ✔</w:t>
      </w:r>
      <w:r>
        <w:br/>
      </w:r>
      <w:r>
        <w:rPr>
          <w:b/>
        </w:rPr>
        <w:t>Lugar:</w:t>
      </w:r>
      <w:r>
        <w:t xml:space="preserve"> Marín Arce, «La fase dura de la reconversión industrial: 1983-1986», Historia del Presente, n.º 8, 2006</w:t>
      </w:r>
      <w:r>
        <w:br/>
      </w:r>
      <w:r>
        <w:rPr>
          <w:b/>
        </w:rPr>
        <w:t>Tal como está en la fuente:</w:t>
      </w:r>
      <w:r>
        <w:t xml:space="preserve"> alrededor de 850.000 puestos de trabajo, a pesar de que el índice de producción industrial registraba un aumento anual medio del 1,2%</w:t>
      </w:r>
      <w:r>
        <w:t xml:space="preserve">. </w:t>
      </w:r>
      <w:r>
        <w:t>[26.00-1.1 a 1.3]</w:t>
      </w:r>
    </w:p>
    <w:p>
      <w:r>
        <w:rPr>
          <w:b/>
        </w:rPr>
        <w:t>Las privatizaciones.</w:t>
      </w:r>
      <w:r>
        <w:t xml:space="preserve"> Entre 1996 y 2002, el Consejo de Ministros autorizó «48 operaciones de privatización» que «han afectado a 45 empresas»</w:t>
      </w:r>
      <w:r>
        <w:t xml:space="preserve"> (Tribunal de Cuentas, informe de fiscalización de las privatizaciones de 1996 a 2002, BOCG de 13-1-2006)</w:t>
      </w:r>
      <w:r>
        <w:br/>
      </w:r>
      <w:r>
        <w:rPr>
          <w:b/>
        </w:rPr>
        <w:t>pasaje guardado</w:t>
      </w:r>
      <w:r>
        <w:br/>
      </w:r>
      <w:r>
        <w:rPr>
          <w:b/>
        </w:rPr>
        <w:t>Archivo leído:</w:t>
      </w:r>
      <w:r>
        <w:t xml:space="preserve"> 8.7_TCu_privatizaciones_1996-2002_BOCG_CG_A216.pdf (c8d\8.7_TCu_privatizaciones_1996-2002_BOCG_CG_A216.pdf) · contraste del archivo de pasajes: ✔</w:t>
      </w:r>
      <w:r>
        <w:br/>
      </w:r>
      <w:r>
        <w:rPr>
          <w:b/>
        </w:rPr>
        <w:t>Lugar:</w:t>
      </w:r>
      <w:r>
        <w:t xml:space="preserve"> Tribunal de Cuentas, informe de fiscalización de las privatizaciones de 1996 a 2002, BOCG de 13-1-2006</w:t>
      </w:r>
      <w:r>
        <w:br/>
      </w:r>
      <w:r>
        <w:rPr>
          <w:b/>
        </w:rPr>
        <w:t>Tal como está en la fuente:</w:t>
      </w:r>
      <w:r>
        <w:t xml:space="preserve"> han afectado a 45 empresas</w:t>
      </w:r>
      <w:r>
        <w:t>. En 1997 se ingresaron 12.481 millones de euros y en 1998, 13.083</w:t>
      </w:r>
      <w:r>
        <w:t xml:space="preserve"> (Bel y Costas, Revista de Historia Industrial, 2001, con datos del Consejo Consultivo de Privatizaciones)</w:t>
      </w:r>
      <w:r>
        <w:t>. Y fue obra de Gobiernos de distinto signo: Endesa se empezó a vender en 1988, y su última gran venta fue en 1998</w:t>
      </w:r>
      <w:r>
        <w:t xml:space="preserve"> (ídem; Tribunal de Cuentas)</w:t>
      </w:r>
      <w:r>
        <w:t xml:space="preserve">. </w:t>
      </w:r>
      <w:r>
        <w:t>[26.00-2.1 y 2.2]</w:t>
      </w:r>
    </w:p>
    <w:p>
      <w:r>
        <w:rPr>
          <w:b/>
        </w:rPr>
        <w:t>El puesto de España en el mundo, por PIB.</w:t>
      </w:r>
      <w:r>
        <w:t xml:space="preserve"> Duodécima en 1970 y octava en 2007</w:t>
      </w:r>
      <w:r>
        <w:t xml:space="preserve"> (Banco Mundial, PIB en dólares corrientes)</w:t>
      </w:r>
      <w:r>
        <w:t>; decimoquinta en 2024 y duodécima en 2025, con una previsión de la decimocuarta para 2026</w:t>
      </w:r>
      <w:r>
        <w:t xml:space="preserve"> (FMI, Perspectivas de la economía mundial, abril de 2026)</w:t>
      </w:r>
      <w:r>
        <w:t xml:space="preserve">. Son puestos calculados por la obra ordenando los datos de cada organismo; en 1970 solo hay datos de 146 economías. </w:t>
      </w:r>
      <w:r>
        <w:t>[26.00-3.1 y 3.2]</w:t>
      </w:r>
    </w:p>
    <w:p>
      <w:r>
        <w:rPr>
          <w:b/>
        </w:rPr>
        <w:t>El campo.</w:t>
      </w:r>
      <w:r>
        <w:t xml:space="preserve"> En 2023, los programas nacionales de control de toda la UE analizaron 132.793 muestras de alimentos, con un 98 % de cumplimiento; y la tasa de incumplimiento de las muestras de fuera de la Unión, el 3,4 %, triplicaba la de las propias, el 1,0 %</w:t>
      </w:r>
      <w:r>
        <w:t xml:space="preserve"> (EFSA, informe de la UE sobre residuos de plaguicidas de 2023)</w:t>
      </w:r>
      <w:r>
        <w:t>. España analizó 2.492 muestras, y según una organización ecologista, con los datos oficiales, el 9,63 % de los alimentos importados contenía plaguicidas no autorizados en la UE, frente al 4,70 % de los de aquí</w:t>
      </w:r>
      <w:r>
        <w:t xml:space="preserve"> (Ecologistas en Acción, «Directo a tus hormonas», 2025; parte interesada)</w:t>
      </w:r>
      <w:r>
        <w:t xml:space="preserve">. Exigir a lo importado lo mismo que a lo europeo, las llamadas cláusulas espejo, sigue en debate. </w:t>
      </w:r>
      <w:r>
        <w:t>[26.00-4.1 y 4.2]</w:t>
      </w:r>
    </w:p>
    <w:p>
      <w:r>
        <w:rPr>
          <w:b/>
        </w:rPr>
        <w:t>La vivienda en Cataluña.</w:t>
      </w:r>
      <w:r>
        <w:t xml:space="preserve"> Cataluña fue la primera en declarar zonas de mercado residencial tensionado con la ley de vivienda de 2023: 140 municipios, con efectos desde marzo de 2024</w:t>
      </w:r>
      <w:r>
        <w:t xml:space="preserve"> (BOE de 15-3-2024)</w:t>
      </w:r>
      <w:r>
        <w:t>, y otros 131</w:t>
      </w:r>
      <w:r>
        <w:t xml:space="preserve"> (BOE de 9-10-2024)</w:t>
      </w:r>
      <w:r>
        <w:t>; en total, «7.172.196 personas, lo que representa un 90,7 %» de la población catalana</w:t>
      </w:r>
      <w:r>
        <w:t xml:space="preserve"> (Generalitat de Catalunya, memoria justificativa, 1-7-2024)</w:t>
      </w:r>
      <w:r>
        <w:t>. En julio de 2026 se tramitaba prorrogar la declaración en 118 de los 140 (5.919.365 habitantes) y declarar 53 nuevos</w:t>
      </w:r>
      <w:r>
        <w:t xml:space="preserve"> (Generalitat, memorias de julio de 2026)</w:t>
      </w:r>
      <w:r>
        <w:t>. Los contratos de alquiler con fianza depositada en Cataluña fueron 167.953 en 2018, 152.770 en 2022, 132.988 en 2023, 118.626 en 2024 y unos 108.057 en 2025</w:t>
      </w:r>
      <w:r>
        <w:t xml:space="preserve"> (Generalitat, datos abiertos, fianzas del Incasòl; 2025, suma de trimestres de la obra, porque la fila anual publicada no cuadra)</w:t>
      </w:r>
      <w:r>
        <w:t xml:space="preserve">. Caen, y la caída empezó antes de la declaración; el dato no dice por qué. </w:t>
      </w:r>
      <w:r>
        <w:t>[26.00-5.1 a 5.4]</w:t>
      </w:r>
    </w:p>
    <w:p>
      <w:r>
        <w:rPr>
          <w:b/>
        </w:rPr>
        <w:t>Conclusión, lo que arrojan los datos:</w:t>
      </w:r>
      <w:r>
        <w:t xml:space="preserve"> la tesis se confirma en parte: la industria perdió unos 850.000 empleos entre 1977 y 1985, y los contratos de alquiler registrados caen en Cataluña, aunque desde antes de que se regulara. Pero se complica: la pérdida de empleo industrial empezó antes de la reconversión, las privatizaciones las hicieron Gobiernos de distinto signo, y el puesto de España sube y baja según el año y la medida. Y un punto no aguantó el contraste: la propia obra descartó sus cifras sobre la ocupación, que venían de blogs y no de organismos oficiales. Lo que el diseño legal hace en ese terreno se vio en </w:t>
      </w:r>
      <w:r>
        <w:t>7.7</w:t>
      </w:r>
      <w:r>
        <w:t xml:space="preserve">. </w:t>
      </w:r>
      <w:r>
        <w:t>[26.00-6.1 y 7.1]</w:t>
      </w:r>
    </w:p>
    <w:p>
      <w:r>
        <w:rPr>
          <w:b/>
        </w:rPr>
        <w:t>Lectura del autor:</w:t>
      </w:r>
      <w:r>
        <w:t xml:space="preserve"> el mismo actor que levantó la industria pesada durante la autarquía la desmontó después, y el coste lo pagaron comarcas enteras. </w:t>
      </w:r>
      <w:r>
        <w:t>[26.00-8.3]</w:t>
      </w:r>
    </w:p>
    <w:p>
      <w:pPr>
        <w:pStyle w:val="Heading2"/>
      </w:pPr>
      <w:r>
        <w:t>8.8 Vivienda y fecundidad</w:t>
      </w:r>
    </w:p>
    <w:p>
      <w:pPr>
        <w:pBdr>
          <w:left w:val="single" w:sz="24" w:space="6" w:color="E2DED6"/>
        </w:pBdr>
        <w:shd w:val="clear" w:color="auto" w:fill="F1EEE8"/>
        <w:spacing w:before="80" w:after="160"/>
        <w:ind w:left="142" w:right="142"/>
      </w:pPr>
      <w:r>
        <w:rPr>
          <w:b/>
        </w:rPr>
        <w:t>La idea: la vivienda se ha alejado del salario y los hijos están en mínimos. Que lo uno cause lo otro, o que ambos vengan de la captura institucional, no está demostrado: la pregunta causal queda abierta.</w:t>
      </w:r>
    </w:p>
    <w:p>
      <w:r>
        <w:rPr>
          <w:b/>
        </w:rPr>
        <w:t>Los años de renta.</w:t>
      </w:r>
      <w:r>
        <w:t xml:space="preserve"> El Banco de España divide el precio medio de una vivienda libre de 93,75 metros cuadrados construidos entre la renta bruta estimada del hogar mediano. Su primer dato, de marzo de 1987, es 2,9 años; el máximo, 9,46, en septiembre de 2007; el mínimo de la década siguiente, 6,59, en marzo de 2015. En septiembre de 2025, 7,65 años, y en junio de 2026, 8,36, el más alto desde 2011</w:t>
      </w:r>
      <w:r>
        <w:t xml:space="preserve"> (Banco de España, indicadores del mercado inmobiliario, cuadro SI 1.5)</w:t>
      </w:r>
      <w:r>
        <w:t xml:space="preserve">. Es renta bruta del hogar, antes de impuestos y cotizaciones: no es el esfuerzo real. </w:t>
      </w:r>
      <w:r>
        <w:t>[27.00-1.1 a 1.3]</w:t>
      </w:r>
    </w:p>
    <w:p>
      <w:r>
        <w:rPr>
          <w:b/>
        </w:rPr>
        <w:t>El esfuerzo.</w:t>
      </w:r>
      <w:r>
        <w:t xml:space="preserve"> El mismo cuadro mide lo que se lleva el primer año de una hipoteca por el 80 % del precio sobre la renta disponible del hogar mediano: el 72,47 % en junio de 1990, el máximo de la serie; el 34,30 % en septiembre de 2025; y el 38,01 % en junio de 2026</w:t>
      </w:r>
      <w:r>
        <w:t xml:space="preserve"> (ídem)</w:t>
      </w:r>
      <w:r>
        <w:t>. El tipo de los préstamos libres para adquisición de vivienda era del 16,46 % en junio de 1990 y del 17,05 % en enero de 1991</w:t>
      </w:r>
      <w:r>
        <w:t xml:space="preserve"> (Banco de España, serie SI_1_5.40)</w:t>
      </w:r>
      <w:r>
        <w:t xml:space="preserve">. </w:t>
      </w:r>
      <w:r>
        <w:t>[27.00-1.1]</w:t>
      </w:r>
    </w:p>
    <w:p>
      <w:r>
        <w:rPr>
          <w:b/>
        </w:rPr>
        <w:t>La aritmética de una persona.</w:t>
      </w:r>
      <w:r>
        <w:t xml:space="preserve"> Con el salario medio, 29.540,26 euros brutos</w:t>
      </w:r>
      <w:r>
        <w:t xml:space="preserve"> (INE, Encuesta Anual de Estructura Salarial 2024)</w:t>
      </w:r>
      <w:r>
        <w:t>, y ahorrando lo que ahorran de media los hogares, el 12,0 % de su renta disponible en 2025</w:t>
      </w:r>
      <w:r>
        <w:t xml:space="preserve"> (INE, cuentas de los sectores, cuarto trimestre de 2025)</w:t>
      </w:r>
      <w:r>
        <w:t>, una persona sola tardaría unos 25 años en reunir la entrada y los gastos de compra, en torno al 30 % del precio, y más de 80 en reunir el precio entero. Incluso gastando solo lo que gasta de media una persona, 13.626 euros al año</w:t>
      </w:r>
      <w:r>
        <w:t xml:space="preserve"> (INE, Encuesta de Presupuestos Familiares 2024)</w:t>
      </w:r>
      <w:r>
        <w:t xml:space="preserve">, harían falta unos 7 años para la entrada y unos 25 para todo. Una pareja con dos sueldos tarda más o menos la mitad. Es aritmética de la obra, con un precio aproximado. </w:t>
      </w:r>
      <w:r>
        <w:t>[27.00-1.2]</w:t>
      </w:r>
    </w:p>
    <w:p>
      <w:r>
        <w:rPr>
          <w:b/>
        </w:rPr>
        <w:t>Un ejemplo sindical.</w:t>
      </w:r>
      <w:r>
        <w:t xml:space="preserve"> Un sindicato calculó 58 años para un trabajador de la hostelería de Madrid con el salario medio de su convenio, 15.675,70 euros netos al año, que dedicara el 40 % del sueldo a una vivienda de 364.860 euros, sin contar intereses; con el sueldo entero, 23,3 años</w:t>
      </w:r>
      <w:r>
        <w:t xml:space="preserve"> (UGT, «Convenios colectivos y derecho a la vivienda en la Comunidad de Madrid», 7-10-2025; parte interesada)</w:t>
      </w:r>
      <w:r>
        <w:t xml:space="preserve">. Es un ejemplo de una comunidad, no una media nacional, y no se compara sin más con el dato del Banco de España. </w:t>
      </w:r>
      <w:r>
        <w:t>[27.00-2.1 a 3.1]</w:t>
      </w:r>
    </w:p>
    <w:p>
      <w:r>
        <w:rPr>
          <w:b/>
        </w:rPr>
        <w:t>Los hijos.</w:t>
      </w:r>
      <w:r>
        <w:t xml:space="preserve"> En 2024 nacieron 318.005 niños, un 0,8 % menos que el año anterior, y el número medio de hijos por mujer bajó a 1,10: 1,07 entre las madres españolas y 1,27 entre las extranjeras</w:t>
      </w:r>
      <w:r>
        <w:t xml:space="preserve"> (INE, Movimiento Natural de la Población, nota de 19-11-2025)</w:t>
      </w:r>
      <w:r>
        <w:t>. Es el mínimo de la serie, que empieza en 1975 con 2,77; el anterior mínimo fue 1,13, en 1998</w:t>
      </w:r>
      <w:r>
        <w:t xml:space="preserve"> (INE, indicadores demográficos básicos, tabla 1407)</w:t>
      </w:r>
      <w:r>
        <w:t xml:space="preserve">. </w:t>
      </w:r>
      <w:r>
        <w:t>[27.00-4.1 y 4.2]</w:t>
      </w:r>
    </w:p>
    <w:p>
      <w:r>
        <w:rPr>
          <w:b/>
        </w:rPr>
        <w:t>La pregunta causal.</w:t>
      </w:r>
      <w:r>
        <w:t xml:space="preserve"> La tentación es unir todo en una frase: la captura institucional causa el vaciado del poder adquisitivo y la caída de los hijos. La obra no lo afirma: ningún dato reúne todavía las dos cosas, y hay dos explicaciones rivales sin refutar: causas económicas generales, como la política monetaria europea, la falta de oferta de vivienda o la globalización; o una causa común, como la crisis de 2008, de la que ambas cosas serían efectos paralelos. La obra lo califica como «correlación temporal y geográfica, sin mecanismo demostrado». </w:t>
      </w:r>
      <w:r>
        <w:t>[27.00-0.2, 5.1, 8.1 y 8.2]</w:t>
      </w:r>
    </w:p>
    <w:p>
      <w:r>
        <w:rPr>
          <w:b/>
        </w:rPr>
        <w:t>Conclusión, lo que arrojan los datos:</w:t>
      </w:r>
      <w:r>
        <w:t xml:space="preserve"> dos cifras de fuente oficial, 8,36 años de renta bruta de un hogar mediano y un 38 % de su renta disponible el primer año de hipoteca, y una fecundidad en su mínimo, en el mismo país y el mismo periodo, dibujan un vaciado real del poder adquisitivo aplicado a la decisión más básica: formar un hogar. Lo que no dicen es por qué. Lo que sí está documentado son mecanismos del propio Estado que reducen la renta disponible: el IRPF que sube solo y la pérdida de valor del dinero (</w:t>
      </w:r>
      <w:r>
        <w:t>8.3</w:t>
      </w:r>
      <w:r>
        <w:t xml:space="preserve">). No prueban que causen la caída de los hijos, y la obra no lo afirma. </w:t>
      </w:r>
      <w:r>
        <w:t>[27.00-6.1 y 7.11]</w:t>
      </w:r>
    </w:p>
    <w:p>
      <w:r>
        <w:rPr>
          <w:b/>
        </w:rPr>
        <w:t>Lectura del autor:</w:t>
      </w:r>
      <w:r>
        <w:t xml:space="preserve"> un sistema que se lleva el tiempo de vida con la excusa de cubrir a quien ya cumplió divide a la población y la sobrecarga: nadie quiere asumir responsabilidades, no se forman familias y, como no se ve un futuro, no se quieren traer hijos. La obra deja abierta la pregunta causal; esta es la lectura del autor. </w:t>
      </w:r>
      <w:r>
        <w:t>[34.00-15.2]</w:t>
      </w:r>
    </w:p>
    <w:p>
      <w:pPr>
        <w:pStyle w:val="Heading2"/>
      </w:pPr>
      <w:r>
        <w:t>8.9 La confianza</w:t>
      </w:r>
    </w:p>
    <w:p>
      <w:pPr>
        <w:pBdr>
          <w:left w:val="single" w:sz="24" w:space="6" w:color="E2DED6"/>
        </w:pBdr>
        <w:shd w:val="clear" w:color="auto" w:fill="F1EEE8"/>
        <w:spacing w:before="80" w:after="160"/>
        <w:ind w:left="142" w:right="142"/>
      </w:pPr>
      <w:r>
        <w:rPr>
          <w:b/>
        </w:rPr>
        <w:t>La idea: la sensación de que la gente es peor que antes es, según la mejor evidencia disponible, una ilusión. Lo que sí está bajo es la confianza en las instituciones.</w:t>
      </w:r>
    </w:p>
    <w:p>
      <w:r>
        <w:rPr>
          <w:b/>
        </w:rPr>
        <w:t>La ilusión del declive moral.</w:t>
      </w:r>
      <w:r>
        <w:t xml:space="preserve"> Un estudio publicado en </w:t>
      </w:r>
      <w:r>
        <w:rPr>
          <w:i/>
        </w:rPr>
        <w:t>Nature</w:t>
      </w:r>
      <w:r>
        <w:t xml:space="preserve"> lo midió a una escala inédita: con más de 12,4 millones de personas, mostró que la gente de al menos 60 países cree que la moral está en declive, que lo ha creído durante al menos 70 años, y que lo que la gente dice de la moral de sus contemporáneos no ha bajado con el tiempo, «lo que sugiere que la percepción del declive moral es una ilusión»</w:t>
      </w:r>
      <w:r>
        <w:t xml:space="preserve"> [original: «suggesting that the perception of moral decline is an illusion»]</w:t>
      </w:r>
      <w:r>
        <w:t xml:space="preserve"> (Mastroianni y Gilbert, «The illusion of moral decline» (La ilusión del declive moral), Nature 618, 2023)</w:t>
      </w:r>
      <w:r>
        <w:br/>
      </w:r>
      <w:r>
        <w:rPr>
          <w:b/>
        </w:rPr>
        <w:t>leída en su fuente · Mastroianni y Gilbert, «The illusion of moral decline» (La ilusión del declive moral), Nat</w:t>
      </w:r>
      <w:r>
        <w:br/>
      </w:r>
      <w:r>
        <w:rPr>
          <w:b/>
        </w:rPr>
        <w:t>Archivo leído:</w:t>
      </w:r>
      <w:r>
        <w:t xml:space="preserve"> 8.9_Mastroianni_Gilbert_2023_Nature_illusion_moral_decline_PMC10284688.txt (c8d\8.9_Mastroianni_Gilbert_2023_Nature_illusion_moral_decline_PMC10284688.txt) · contraste del archivo de pasajes: ✔</w:t>
      </w:r>
      <w:r>
        <w:br/>
      </w:r>
      <w:r>
        <w:rPr>
          <w:b/>
        </w:rPr>
        <w:t>Lugar:</w:t>
      </w:r>
      <w:r>
        <w:t xml:space="preserve"> Mastroianni y Gilbert, «The illusion of moral decline» (La ilusión del declive moral), Nature 618, 2023</w:t>
      </w:r>
      <w:r>
        <w:br/>
      </w:r>
      <w:r>
        <w:rPr>
          <w:b/>
        </w:rPr>
        <w:t>Tal como está en la fuente:</w:t>
      </w:r>
      <w:r>
        <w:t xml:space="preserve"> suggesting that the perception of moral decline is an illusion</w:t>
      </w:r>
      <w:r>
        <w:t xml:space="preserve">. En las encuestas de Estados Unidos de 1949 a 2019, en el 84 % de las preguntas la mayoría dijo que la moral había empeorado. El mecanismo que proponen: la exposición sesgada a la información y la memoria sesgada. Y la percepción se atenúa, desaparece o se invierte cuando se pregunta por personas que uno conoce bien o por épocas anteriores a su nacimiento. </w:t>
      </w:r>
      <w:r>
        <w:t>[29.00-1.1 a 3.1]</w:t>
      </w:r>
    </w:p>
    <w:p>
      <w:r>
        <w:rPr>
          <w:b/>
        </w:rPr>
        <w:t>La réplica.</w:t>
      </w:r>
      <w:r>
        <w:t xml:space="preserve"> Un equipo independiente repitió uno de los estudios en 2024, y sus resultados «coincidieron extremadamente de cerca con los del estudio original»</w:t>
      </w:r>
      <w:r>
        <w:t xml:space="preserve"> [original: «the results of our replication aligned extremely closely with the results of the original study»]</w:t>
      </w:r>
      <w:r>
        <w:t xml:space="preserve"> (Transparent Replications, informe n.º 10, 8-7-2024)</w:t>
      </w:r>
      <w:r>
        <w:br/>
      </w:r>
      <w:r>
        <w:rPr>
          <w:b/>
        </w:rPr>
        <w:t>leída en su fuente · Transparent Replications, informe n.º 10, 8-7-2024</w:t>
      </w:r>
      <w:r>
        <w:br/>
      </w:r>
      <w:r>
        <w:rPr>
          <w:b/>
        </w:rPr>
        <w:t>Archivo leído:</w:t>
      </w:r>
      <w:r>
        <w:t xml:space="preserve"> 8.9_TransparentReplications_informe10_illusion_moral_decline.html (c8d\8.9_TransparentReplications_informe10_illusion_moral_decline.html) · contraste del archivo de pasajes: ✔</w:t>
      </w:r>
      <w:r>
        <w:br/>
      </w:r>
      <w:r>
        <w:rPr>
          <w:b/>
        </w:rPr>
        <w:t>Lugar:</w:t>
      </w:r>
      <w:r>
        <w:t xml:space="preserve"> Transparent Replications, informe n.º 10, 8-7-2024</w:t>
      </w:r>
      <w:r>
        <w:br/>
      </w:r>
      <w:r>
        <w:rPr>
          <w:b/>
        </w:rPr>
        <w:t>Tal como está en la fuente:</w:t>
      </w:r>
      <w:r>
        <w:t xml:space="preserve"> the results of our replication aligned extremely closely with the results of the original study</w:t>
      </w:r>
      <w:r>
        <w:t>. Una crítica filosófica sostiene que el argumento central del estudio es lógicamente inválido</w:t>
      </w:r>
      <w:r>
        <w:t xml:space="preserve"> (Smith, Smith y Stocks, «The Illusion of the Illusion of Moral Decline» (La ilusión de la ilusión del declive moral), 2023; fuente secundaria: leído solo en transcripción)</w:t>
      </w:r>
      <w:r>
        <w:t xml:space="preserve">. </w:t>
      </w:r>
      <w:r>
        <w:t>[29.00-3.2 a 4.3]</w:t>
      </w:r>
    </w:p>
    <w:p>
      <w:r>
        <w:rPr>
          <w:b/>
        </w:rPr>
        <w:t>En España.</w:t>
      </w:r>
      <w:r>
        <w:t xml:space="preserve"> El CIS pregunta: «¿Diría Ud. que, por lo general, se puede confiar en la mayoría de la gente, o que nunca se es lo bastante prudente en el trato con los/as demás?», en una escala de 0 a 10. En julio de 2020, en plena pandemia, la media fue 5,4, y el 50,7 % se situó entre 6 y 10; en 2014 la media era 4,74. Después siguió subiendo: 5,7 en 2021, 5,75 en 2022 y 5,73 en 2023; luego 5,43 en 2024, 5,41 en 2025 y 5,58 en 2026</w:t>
      </w:r>
      <w:r>
        <w:t xml:space="preserve"> (CIS, estudios de opinión pública y política fiscal de 2014 a 2026; las sumas de 6 a 10, de la obra)</w:t>
      </w:r>
      <w:r>
        <w:t xml:space="preserve">. La confianza entre la gente es hoy mayor que hace doce años. </w:t>
      </w:r>
      <w:r>
        <w:t>[29.00-5.1 a 5.3]</w:t>
      </w:r>
    </w:p>
    <w:p>
      <w:r>
        <w:rPr>
          <w:b/>
        </w:rPr>
        <w:t>Las instituciones.</w:t>
      </w:r>
      <w:r>
        <w:t xml:space="preserve"> Otro estudio lo separa con claridad: la convivencia se valora bien, «con un grado de confianza entre la ciudadanía elevado»; en cambio, «la confianza institucional es generalmente baja: ninguna administración (local, autonómica, central, europea) consigue el aprobado en España»</w:t>
      </w:r>
      <w:r>
        <w:t xml:space="preserve"> (EsadeEcPol, «Polarización y convivencia en España 2021», 2022)</w:t>
      </w:r>
      <w:r>
        <w:br/>
      </w:r>
      <w:r>
        <w:rPr>
          <w:b/>
        </w:rPr>
        <w:t>leída en su fuente · EsadeEcPol, «Polarización y convivencia en España 2021», 2022</w:t>
      </w:r>
      <w:r>
        <w:br/>
      </w:r>
      <w:r>
        <w:rPr>
          <w:b/>
        </w:rPr>
        <w:t>Archivo leído:</w:t>
      </w:r>
      <w:r>
        <w:t xml:space="preserve"> 8.9_EsadeEcPol_Polarizacion_convivencia_2021_pagina.html (c8d\8.9_EsadeEcPol_Polarizacion_convivencia_2021_pagina.html) · contraste del archivo de pasajes: ✔</w:t>
      </w:r>
      <w:r>
        <w:br/>
      </w:r>
      <w:r>
        <w:rPr>
          <w:b/>
        </w:rPr>
        <w:t>Lugar:</w:t>
      </w:r>
      <w:r>
        <w:t xml:space="preserve"> EsadeEcPol, «Polarización y convivencia en España 2021», 2022</w:t>
      </w:r>
      <w:r>
        <w:br/>
      </w:r>
      <w:r>
        <w:rPr>
          <w:b/>
        </w:rPr>
        <w:t>Tal como está en la fuente:</w:t>
      </w:r>
      <w:r>
        <w:t xml:space="preserve"> la confianza institucional es generalmente baja: ninguna administración (local, autonómica, central, europea) consigue el aprobado en España</w:t>
      </w:r>
      <w:r>
        <w:t xml:space="preserve">. </w:t>
      </w:r>
      <w:r>
        <w:t>[29.00-6.1 a 6.3]</w:t>
      </w:r>
    </w:p>
    <w:p>
      <w:r>
        <w:rPr>
          <w:b/>
        </w:rPr>
        <w:t>Cada época se ha creído la peor.</w:t>
      </w:r>
      <w:r>
        <w:t xml:space="preserve"> En una carta de 1887, el historiador Lord Acton se negó a juzgar al Papa y al Rey con una presunción favorable: «Si hay alguna presunción, es la contraria, contra quienes tienen el poder, y crece a medida que crece el poder. […] El poder tiende a corromper, y el poder absoluto corrompe absolutamente»</w:t>
      </w:r>
      <w:r>
        <w:t xml:space="preserve"> [original: «If there is any presumption it is the other way, against the holders of power, increasing as the power increases. […] Power tends to corrupt, and absolute power corrupts absolutely.»]</w:t>
      </w:r>
      <w:r>
        <w:t xml:space="preserve"> (Acton, carta a Creighton, 5-4-1887, en Historical Essays and Studies, 1907, p. 504)</w:t>
      </w:r>
      <w:r>
        <w:br/>
      </w:r>
      <w:r>
        <w:rPr>
          <w:b/>
        </w:rPr>
        <w:t>pasaje guardado · Acton, carta a Creighton, 5-4-1887, en Historical Essays and Studies, 1907, p. 504</w:t>
      </w:r>
      <w:r>
        <w:br/>
      </w:r>
      <w:r>
        <w:rPr>
          <w:b/>
        </w:rPr>
        <w:t>Archivo leído:</w:t>
      </w:r>
      <w:r>
        <w:t xml:space="preserve"> 8.9_Acton_Creighton_correspondencia_OLL.html (c8d\8.9_Acton_Creighton_correspondencia_OLL.html) · contraste del archivo de pasajes: parcial</w:t>
      </w:r>
      <w:r>
        <w:br/>
      </w:r>
      <w:r>
        <w:rPr>
          <w:b/>
        </w:rPr>
        <w:t>Lugar:</w:t>
      </w:r>
      <w:r>
        <w:t xml:space="preserve"> Acton, carta a Creighton, 5-4-1887, en Historical Essays and Studies, 1907, p. 504</w:t>
      </w:r>
      <w:r>
        <w:br/>
      </w:r>
      <w:r>
        <w:rPr>
          <w:b/>
        </w:rPr>
        <w:t>Tal como está en la fuente:</w:t>
      </w:r>
      <w:r>
        <w:t xml:space="preserve"> If there is any presumption it is the other way, against the holders of power, increasing as the power increases. […] Power tends to corrupt, and absolute power corrupts absolutely.</w:t>
      </w:r>
      <w:r>
        <w:t>. Y ya en Grecia se decía que lo justo era lo que conviene al más fuerte (</w:t>
      </w:r>
      <w:r>
        <w:t>1.4</w:t>
      </w:r>
      <w:r>
        <w:t xml:space="preserve">). La sensación de que el mundo empeora moralmente es, ella misma, una constante de la historia. </w:t>
      </w:r>
      <w:r>
        <w:t>[29.00-7.1 y 7.2]</w:t>
      </w:r>
    </w:p>
    <w:p>
      <w:r>
        <w:rPr>
          <w:b/>
        </w:rPr>
        <w:t>Conclusión, lo que arrojan los datos:</w:t>
      </w:r>
      <w:r>
        <w:t xml:space="preserve"> la confianza entre las personas es hoy mayor que hace doce años, y la desconfianza apunta a las instituciones; el diseño legal enfrenta a la gente sin que nadie tenga que actuar de mala fe (</w:t>
      </w:r>
      <w:r>
        <w:t>7.7</w:t>
      </w:r>
      <w:r>
        <w:t>); y la vivienda y la fecundidad están en mínimos, con la pregunta causal abierta (</w:t>
      </w:r>
      <w:r>
        <w:t>8.8</w:t>
      </w:r>
      <w:r>
        <w:t xml:space="preserve">). El problema no está en la gente. </w:t>
      </w:r>
      <w:r>
        <w:t>[29.00-7.3]</w:t>
      </w:r>
    </w:p>
    <w:p>
      <w:r>
        <w:rPr>
          <w:b/>
        </w:rPr>
        <w:t>Lectura del autor:</w:t>
      </w:r>
      <w:r>
        <w:t xml:space="preserve"> el sistema es el que ha creado los problemas actuales. </w:t>
      </w:r>
      <w:r>
        <w:t>[29.00-7.4]</w:t>
      </w:r>
    </w:p>
    <w:p>
      <w:pPr>
        <w:pStyle w:val="Heading2"/>
      </w:pPr>
      <w:r>
        <w:t>8.10 La salud y la familia</w:t>
      </w:r>
    </w:p>
    <w:p>
      <w:pPr>
        <w:pBdr>
          <w:left w:val="single" w:sz="24" w:space="6" w:color="E2DED6"/>
        </w:pBdr>
        <w:shd w:val="clear" w:color="auto" w:fill="F1EEE8"/>
        <w:spacing w:before="80" w:after="160"/>
        <w:ind w:left="142" w:right="142"/>
      </w:pPr>
      <w:r>
        <w:rPr>
          <w:b/>
        </w:rPr>
        <w:t>La idea: de lo que se ve a simple vista, los datos oficiales confirman una cosa y matizan las otras: el consumo de antidepresivos se ha multiplicado; los suicidios y los divorcios, medidos por habitante y separando a la población española de la extranjera, no suben. Se dice lo que muestran las series y no se afirma ninguna causa.</w:t>
      </w:r>
    </w:p>
    <w:p>
      <w:r>
        <w:rPr>
          <w:b/>
        </w:rPr>
        <w:t>Antidepresivos.</w:t>
      </w:r>
      <w:r>
        <w:t xml:space="preserve"> El consumo se mide en dosis diarias definidas por cada 1.000 habitantes y día. La Agencia Española de Medicamentos lo da de 26,53 en 2000 a 79,57 en 2013</w:t>
      </w:r>
      <w:r>
        <w:t xml:space="preserve"> (AEMPS, Utilización de medicamentos antidepresivos en España, 2000-2013)</w:t>
      </w:r>
      <w:r>
        <w:t>; el Ministerio de Sanidad, de 66,2 en 2012 a 92,7 en 2021</w:t>
      </w:r>
      <w:r>
        <w:t xml:space="preserve"> (Ministerio de Sanidad, Informe Anual del Sistema Nacional de Salud 2022)</w:t>
      </w:r>
      <w:r>
        <w:t>; y la OCDE, con los datos que da España, de 28,2 en 2000 a 107,1 en 2024</w:t>
      </w:r>
      <w:r>
        <w:t xml:space="preserve"> (OCDE, consumo de antidepresivos (DDD por 1.000 habitantes y día), datos de España)</w:t>
      </w:r>
      <w:r>
        <w:t>. Es casi cuatro veces más, y España pasó del puesto 11 de 17 países en 2000 al 6 de 31 en 2023 (cálculo de la obra con las cifras de la OCDE). La OCDE avisa de roturas de la serie en 2014 y en 2018, y sus cifras de España son menores que las de la Agencia en 2013, por eso cada serie se da con su fuente y no se unen.</w:t>
      </w:r>
    </w:p>
    <w:p>
      <w:r>
        <w:rPr>
          <w:b/>
        </w:rPr>
        <w:t>Suicidios.</w:t>
      </w:r>
      <w:r>
        <w:t xml:space="preserve"> El número de muertes por suicidio pasó de 1.652 en 1980 a 3.953 en 2024; el máximo fue en 2022, con 4.227</w:t>
      </w:r>
      <w:r>
        <w:t xml:space="preserve"> (INE, Defunciones según la causa de muerte, tabla 9936)</w:t>
      </w:r>
      <w:r>
        <w:t>. Pero hay más habitantes y más mayores, y la tasa por 100.000 habitantes publicada por el INE fue 7,57 en 2018, 8,85 en 2022 y 8,09 en 2024</w:t>
      </w:r>
      <w:r>
        <w:t xml:space="preserve"> (INE, mortalidad por suicidio, indicador 3.4.2 de los Objetivos de Desarrollo Sostenible, tabla 46688)</w:t>
      </w:r>
      <w:r>
        <w:t>. Ajustada por edad, la tasa baja: de 8,3 en 2000 a 7,7 en 2023, según la OCDE</w:t>
      </w:r>
      <w:r>
        <w:t xml:space="preserve"> (OCDE, Health at a Glance, suicidios, tasa estandarizada por edad)</w:t>
      </w:r>
      <w:r>
        <w:t>; y España está por debajo de la media de la OCDE (10,7 en 2023) y de la de la Unión Europea (10,37)</w:t>
      </w:r>
      <w:r>
        <w:t xml:space="preserve"> (OCDE, Health at a Glance; Eurostat, causas de muerte)</w:t>
      </w:r>
      <w:r>
        <w:t>.</w:t>
      </w:r>
    </w:p>
    <w:p>
      <w:r>
        <w:rPr>
          <w:b/>
        </w:rPr>
        <w:t>La población española, aparte.</w:t>
      </w:r>
      <w:r>
        <w:t xml:space="preserve"> La inmigración ha hecho crecer la población: los nacidos en el extranjero eran el 3,64 % el 1 de enero de 2000 y el 20,67 % el 1 de julio de 2026 (dato provisional)</w:t>
      </w:r>
      <w:r>
        <w:t xml:space="preserve"> (INE, Padrón y Estadística Continua de Población)</w:t>
      </w:r>
      <w:r>
        <w:t>. De 2000 a 2022 la población total creció un 17,2 %, la de nacionalidad española un 6,0 % y la nacida en España un 2,3 %</w:t>
      </w:r>
      <w:r>
        <w:t xml:space="preserve"> (ídem; cálculo de la obra)</w:t>
      </w:r>
      <w:r>
        <w:t>. Una tasa sobre la población total puede diluirse con ese aumento. Por eso se mide también por nacionalidad, que el INE publica desde 2005</w:t>
      </w:r>
      <w:r>
        <w:t xml:space="preserve"> (INE, Suicidios por edad, nacionalidad y sexo, 2005 a 2024)</w:t>
      </w:r>
      <w:r>
        <w:t>. En 2024, la tasa bruta por 100.000 fue 8,27 en la población española, 7,00 en la extranjera y 8,10 en la total; ajustada por edad (método directo, población estándar europea de 2013), 7,56, 7,70 y 7,57</w:t>
      </w:r>
      <w:r>
        <w:t xml:space="preserve"> (ídem; cálculo de la obra, con las muertes y la población de cada grupo)</w:t>
      </w:r>
      <w:r>
        <w:t>. De 2005 a 2024, la tasa ajustada baja un 6,6 % entre los españoles y un 6,0 % en el total. La dilución existe en la tasa bruta, pero es de un 2 a un 5 %, y desaparece al ajustar por edad. «Española» no es «nativa»: el INE no publica los suicidios por país de nacimiento, y los españoles nacidos en el extranjero son hoy el 8 % de los españoles. Atribuyéndolos todos a nacidos en España, la tasa bruta de los nativos tendría como máximo 8,89 en 2024</w:t>
      </w:r>
      <w:r>
        <w:t xml:space="preserve"> (ídem; cálculo de la obra)</w:t>
      </w:r>
      <w:r>
        <w:t>.</w:t>
      </w:r>
    </w:p>
    <w:p>
      <w:r>
        <w:rPr>
          <w:b/>
        </w:rPr>
        <w:t>Divorcios.</w:t>
      </w:r>
      <w:r>
        <w:t xml:space="preserve"> Eran 37.743 en 2000, llegaron al máximo en 2006, con 126.952, y bajaron a 80.785 en 2025</w:t>
      </w:r>
      <w:r>
        <w:t xml:space="preserve"> (INE, Estadística de Nulidades, Separaciones y Divorcios)</w:t>
      </w:r>
      <w:r>
        <w:t>. El salto de 2005 a 2006 (de 72.848 a 126.952) coincide con la Ley 15/2005, que permitió divorciarse sin separación previa</w:t>
      </w:r>
      <w:r>
        <w:t xml:space="preserve"> (Ley 15/2005, de 8 de julio, BOE núm. 163, de 9-7-2005)</w:t>
      </w:r>
      <w:r>
        <w:t>; la serie solo muestra el salto, y atribuirlo a la ley es una lectura. Por cada 100 matrimonios, los divorcios fueron 61,1 en 2006 y 47,3 en 2024</w:t>
      </w:r>
      <w:r>
        <w:t xml:space="preserve"> (ídem; cálculo de la obra)</w:t>
      </w:r>
      <w:r>
        <w:t>. Entre cónyuges ambos españoles, que el INE separa desde 2007, fueron 111.437 en 2007 y 64.701 en 2024: 2,76 y 1,53 por cada 1.000 españoles</w:t>
      </w:r>
      <w:r>
        <w:t xml:space="preserve"> (ídem; cálculo de la obra)</w:t>
      </w:r>
      <w:r>
        <w:t>. Contando personas, en 2024 la tasa fue 3,30 por 1.000 entre las españolas, 3,39 entre las extranjeras y 3,31 en el total.</w:t>
      </w:r>
    </w:p>
    <w:p>
      <w:r>
        <w:rPr>
          <w:b/>
        </w:rPr>
        <w:t>Depresión y ansiedad declaradas.</w:t>
      </w:r>
      <w:r>
        <w:t xml:space="preserve"> La proporción de personas que dicen tener depresión o ansiedad crónica se mantiene entre el 5,9 % y el 6,9 % de 2011 a 2023</w:t>
      </w:r>
      <w:r>
        <w:t xml:space="preserve"> (INE, Encuesta Nacional de Salud de España, 2011, 2017 y 2023)</w:t>
      </w:r>
      <w:r>
        <w:t>; la edición de 2006 no es comparable. Lo que sí sube son los síntomas depresivos graves, medidos con el cuestionario PHQ-8: del 2,5 % en 2020 al 8,0 % en 2023</w:t>
      </w:r>
      <w:r>
        <w:t xml:space="preserve"> (INE, Encuesta de Salud, cuestionario PHQ-8, tabla 71507; cálculo de la obra)</w:t>
      </w:r>
      <w:r>
        <w:t>.</w:t>
      </w:r>
    </w:p>
    <w:p>
      <w:r>
        <w:rPr>
          <w:b/>
        </w:rPr>
        <w:t>Conclusión, lo que arrojan los datos:</w:t>
      </w:r>
      <w:r>
        <w:t xml:space="preserve"> el consumo de antidepresivos se ha multiplicado por casi cuatro desde 2000, en las tres series oficiales que lo miden. El número de suicidios y de divorcios sube desde 1980 o 2000, pero por habitante no: la tasa de suicidios es casi la misma desde 2005 y baja ajustada por edad, y los divorcios suben hasta 2006 y bajan después. Separar a la población española de la extranjera no cambia ninguna de las dos series. La depresión y la ansiedad declaradas se mantienen, y los síntomas depresivos graves, medidos con cuestionario, suben. La obra no afirma ninguna causa.</w:t>
      </w:r>
    </w:p>
    <w:p>
      <w:r>
        <w:rPr>
          <w:b/>
        </w:rPr>
        <w:t>Lectura del autor:</w:t>
      </w:r>
      <w:r>
        <w:t xml:space="preserve"> lo que estas series miden, para el autor, es la insatisfacción de la población, y los suicidios y el consumo de antidepresivos son dos termómetros de ella. No dicen lo mismo: el de los suicidios se mantiene por habitante, y el de los antidepresivos sube en todas las series y es hoy de los más altos de la OCDE. El autor lo lee de dos maneras, que no se excluyen. Una, como un indicador de que el malestar de la población aumenta. Otra, como una forma de camuflaje: un sistema que, a base de antidepresivos, inhibe la frustración en lugar de atender lo que la causa, y así puede decir que aquí no pasa nada. Es lectura, no dato: las series muestran que se consume más, no por qué, y puede deberse también a que hoy se diagnostica más, a que hay menos estigma o a que el acceso es mayor; la obra no afirma ninguna causa ni ninguna intención. Que esto diga algo del rumbo es una pregunta, no un dato: la pregunta final del llamamiento (</w:t>
      </w:r>
      <w:r>
        <w:t>11.6</w:t>
      </w:r>
      <w:r>
        <w:t xml:space="preserve">). </w:t>
      </w:r>
      <w:r>
        <w:t>[palabras de Kiko, 9-oct-2026]</w:t>
      </w:r>
    </w:p>
    <w:p>
      <w:r>
        <w:t>[INE, AEMPS, Ministerio de Sanidad, OCDE y Eurostat, leídos el 9-oct-2026 en 07/fuentes/indicadores_sociales y indicadores_nativos; borrador B10]</w:t>
      </w:r>
    </w:p>
    <w:p>
      <w:pPr>
        <w:pStyle w:val="Heading2"/>
      </w:pPr>
      <w:r>
        <w:t>8.11 El efectivo y la señal</w:t>
      </w:r>
    </w:p>
    <w:p>
      <w:pPr>
        <w:pBdr>
          <w:left w:val="single" w:sz="24" w:space="6" w:color="E2DED6"/>
        </w:pBdr>
        <w:shd w:val="clear" w:color="auto" w:fill="F1EEE8"/>
        <w:spacing w:before="80" w:after="160"/>
        <w:ind w:left="142" w:right="142"/>
      </w:pPr>
      <w:r>
        <w:rPr>
          <w:b/>
        </w:rPr>
        <w:t>La idea: los pagos grandes en efectivo se limitan cada vez más y se prepara un euro digital; el texto de la Biblia que habla de condicionar el comprar y el vender a una señal lo liga a la lealtad a un poder, no a un medio de pago.</w:t>
      </w:r>
    </w:p>
    <w:p>
      <w:r>
        <w:rPr>
          <w:b/>
        </w:rPr>
        <w:t>Lo que consta.</w:t>
      </w:r>
    </w:p>
    <w:p>
      <w:pPr>
        <w:pStyle w:val="ListBullet"/>
      </w:pPr>
      <w:r>
        <w:rPr>
          <w:b/>
        </w:rPr>
        <w:t>España:</w:t>
      </w:r>
      <w:r>
        <w:t xml:space="preserve"> «No podrán pagarse en efectivo las operaciones, en las que alguna de las partes intervinientes actúe en calidad de empresario o profesional, con un importe igual o superior a 1.000 euros»</w:t>
      </w:r>
      <w:r>
        <w:t xml:space="preserve"> (Ley 7/2012, art. 7, Uno.1)</w:t>
      </w:r>
      <w:r>
        <w:br/>
      </w:r>
      <w:r>
        <w:rPr>
          <w:b/>
        </w:rPr>
        <w:t>leída en su fuente · Ley 7/2012, art. 7, Uno.1</w:t>
      </w:r>
      <w:r>
        <w:br/>
      </w:r>
      <w:r>
        <w:rPr>
          <w:b/>
        </w:rPr>
        <w:t>Archivo leído:</w:t>
      </w:r>
      <w:r>
        <w:t xml:space="preserve"> boe_ley_11_2021_consolidada.html (marca_comercio_10oct\e11_espana_limite_efectivo\boe_ley_11_2021_consolidada.html) · contraste del archivo de pasajes: ✔</w:t>
      </w:r>
      <w:r>
        <w:br/>
      </w:r>
      <w:r>
        <w:rPr>
          <w:b/>
        </w:rPr>
        <w:t>Lugar:</w:t>
      </w:r>
      <w:r>
        <w:t xml:space="preserve"> Ley 7/2012, art. 7, Uno.1</w:t>
      </w:r>
      <w:r>
        <w:br/>
      </w:r>
      <w:r>
        <w:rPr>
          <w:b/>
        </w:rPr>
        <w:t>Tal como está en la fuente:</w:t>
      </w:r>
      <w:r>
        <w:t xml:space="preserve"> No podrán pagarse en efectivo las operaciones, en las que alguna de las partes intervinientes actúe en calidad de empresario o profesional, con un importe igual o superior a 1.000 euros</w:t>
      </w:r>
      <w:r>
        <w:t>. El límite era de 2.500 euros y la Ley 11/2021 lo bajó a 1.000</w:t>
      </w:r>
      <w:r>
        <w:t xml:space="preserve"> (Ley 11/2021, preámbulo)</w:t>
      </w:r>
      <w:r>
        <w:t>. Para un pagador sin domicilio fiscal en España que no sea empresario, es de 10.000.</w:t>
      </w:r>
    </w:p>
    <w:p>
      <w:pPr>
        <w:pStyle w:val="ListBullet"/>
      </w:pPr>
      <w:r>
        <w:rPr>
          <w:b/>
        </w:rPr>
        <w:t>La Unión Europea:</w:t>
      </w:r>
      <w:r>
        <w:t xml:space="preserve"> desde el 10 de julio de 2027 el máximo para comerciar con bienes o servicios en efectivo es de 10.000 euros, y los Estados pueden poner un límite más bajo</w:t>
      </w:r>
      <w:r>
        <w:t xml:space="preserve"> (Reglamento (UE) 2024/1624, art. 80)</w:t>
      </w:r>
      <w:r>
        <w:t>. Dos tercios de los Estados miembros ya tenían límites, de 500 euros en Grecia a algo más de 10.000 en Chequia</w:t>
      </w:r>
      <w:r>
        <w:t xml:space="preserve"> (Comisión Europea, 24-4-2024)</w:t>
      </w:r>
      <w:r>
        <w:t>.</w:t>
      </w:r>
    </w:p>
    <w:p>
      <w:pPr>
        <w:pStyle w:val="ListBullet"/>
      </w:pPr>
      <w:r>
        <w:rPr>
          <w:b/>
        </w:rPr>
        <w:t>El billete de 500 euros:</w:t>
      </w:r>
      <w:r>
        <w:t xml:space="preserve"> el Consejo de Gobierno del BCE decidió el 4 de mayo de 2016 dejar de producirlo y no se emite desde 2019, pero sigue siendo de curso legal: «podrá seguir utilizándose como medio de pago y depósito de valor»</w:t>
      </w:r>
      <w:r>
        <w:t xml:space="preserve"> (BCE, nota de prensa de 4-5-2016)</w:t>
      </w:r>
      <w:r>
        <w:br/>
      </w:r>
      <w:r>
        <w:rPr>
          <w:b/>
        </w:rPr>
        <w:t>leída en su fuente · BCE, nota de prensa de 4-5-2016</w:t>
      </w:r>
      <w:r>
        <w:br/>
      </w:r>
      <w:r>
        <w:rPr>
          <w:b/>
        </w:rPr>
        <w:t>Archivo leído:</w:t>
      </w:r>
      <w:r>
        <w:t xml:space="preserve"> ecb_pr_2016_05_04_500_es.html (marca_comercio_10oct\e15_billete_500\ecb_pr_2016_05_04_500_es.html) · contraste del archivo de pasajes: ✔</w:t>
      </w:r>
      <w:r>
        <w:br/>
      </w:r>
      <w:r>
        <w:rPr>
          <w:b/>
        </w:rPr>
        <w:t>Lugar:</w:t>
      </w:r>
      <w:r>
        <w:t xml:space="preserve"> BCE, nota de prensa de 4-5-2016</w:t>
      </w:r>
      <w:r>
        <w:br/>
      </w:r>
      <w:r>
        <w:rPr>
          <w:b/>
        </w:rPr>
        <w:t>Tal como está en la fuente:</w:t>
      </w:r>
      <w:r>
        <w:t xml:space="preserve"> podrá seguir utilizándose como medio de pago y depósito de valor</w:t>
      </w:r>
      <w:r>
        <w:t>.</w:t>
      </w:r>
    </w:p>
    <w:p>
      <w:pPr>
        <w:pStyle w:val="ListBullet"/>
      </w:pPr>
      <w:r>
        <w:rPr>
          <w:b/>
        </w:rPr>
        <w:t>El euro digital:</w:t>
      </w:r>
      <w:r>
        <w:t xml:space="preserve"> la Comisión presentó el 28 de junio de 2023 dos propuestas, una para crearlo y otra para proteger el efectivo (aceptación obligatoria a su valor completo y prohibición de recargos por pagar con billetes y monedas)</w:t>
      </w:r>
      <w:r>
        <w:t xml:space="preserve"> (COM(2023) 364, art. 4)</w:t>
      </w:r>
      <w:r>
        <w:t>. El BCE decidió el 18 de octubre de 2023 pasar a la fase de preparación, que empezó en noviembre, y el 30 de octubre de 2025 pasar a la siguiente, y dice que complementaría al efectivo</w:t>
      </w:r>
      <w:r>
        <w:t xml:space="preserve"> (BCE, informe de 18-10-2023, nota de prensa de 30-10-2025 y preguntas frecuentes sobre el euro digital)</w:t>
      </w:r>
      <w:r>
        <w:t>. En octubre de 2026 no hay acuerdo final</w:t>
      </w:r>
      <w:r>
        <w:t xml:space="preserve"> (Parlamento Europeo, Observatorio Legislativo, procedimientos 2023/0212(COD) y 2023/0208(COD), leídos el 10-10-2026)</w:t>
      </w:r>
      <w:r>
        <w:t>.</w:t>
      </w:r>
    </w:p>
    <w:p>
      <w:pPr>
        <w:pStyle w:val="ListBullet"/>
      </w:pPr>
      <w:r>
        <w:rPr>
          <w:b/>
        </w:rPr>
        <w:t>Los países:</w:t>
      </w:r>
      <w:r>
        <w:t xml:space="preserve"> en la zona del euro el efectivo fue el 52 % de los pagos en tienda en 2024, del 22 % en Países Bajos al 67 % en Malta</w:t>
      </w:r>
      <w:r>
        <w:t xml:space="preserve"> (BCE, estudio SPACE 2024)</w:t>
      </w:r>
      <w:r>
        <w:t>. En las fuentes oficiales leídas, ningún país prohíbe pagar en efectivo en general; sí hay límites por operación (500 euros en Grecia, 3.000 en Países Bajos para bienes)</w:t>
      </w:r>
      <w:r>
        <w:t xml:space="preserve"> (Comisión Europea, 24-4-2024; Gobierno de los Países Bajos, prohibición de los pagos en efectivo desde 3.000 euros)</w:t>
      </w:r>
      <w:r>
        <w:t>.</w:t>
      </w:r>
    </w:p>
    <w:p>
      <w:pPr>
        <w:pStyle w:val="ListBullet"/>
      </w:pPr>
      <w:r>
        <w:rPr>
          <w:b/>
        </w:rPr>
        <w:t>Lo que se comunica a la Administración</w:t>
      </w:r>
      <w:r>
        <w:t xml:space="preserve"> depende de otros umbrales (3.000, 6.000, 10.000, 30.000 y 100.000 euros según el caso); a partir de 1.000 euros lo que hay es la prohibición de pagar en efectivo con profesionales y la identificación formal que hacen los bancos</w:t>
      </w:r>
      <w:r>
        <w:t xml:space="preserve"> (Real Decreto 304/2014, art. 4.1)</w:t>
      </w:r>
      <w:r>
        <w:t>.</w:t>
      </w:r>
    </w:p>
    <w:p>
      <w:r>
        <w:rPr>
          <w:b/>
        </w:rPr>
        <w:t>La razón que da la norma.</w:t>
      </w:r>
      <w:r>
        <w:t xml:space="preserve"> El Reglamento de 2024 es de prevención del blanqueo de capitales, y la Comisión presenta el euro digital como una opción de pago más junto al efectivo. Los límites son por importe de cada operación y conviven con el curso legal del efectivo.</w:t>
      </w:r>
    </w:p>
    <w:p>
      <w:r>
        <w:rPr>
          <w:b/>
        </w:rPr>
        <w:t>Conclusión, lo que arrojan los datos.</w:t>
      </w:r>
      <w:r>
        <w:t xml:space="preserve"> Hay una dirección: el límite de pago en efectivo en España bajó de 2.500 a 1.000 euros, la Unión Europea fija un máximo de 10.000 desde 2027, el BCE dejó de producir el billete de 500 y se prepara el euro digital. Y hay hechos que no encajan con la idea de que el efectivo vaya a desaparecer: el billete de 500 sigue siendo de curso legal, la Comisión propone proteger el efectivo, el BCE dice que el euro digital lo complementaría y ningún país europeo lo prohíbe en general. Estos hechos no prueban un plan de eliminar el efectivo ni lo descartan: muestran un estrechamiento de los pagos grandes en efectivo y un dinero digital en preparación.</w:t>
      </w:r>
    </w:p>
    <w:p>
      <w:r>
        <w:rPr>
          <w:b/>
        </w:rPr>
        <w:t>La señal del Apocalipsis.</w:t>
      </w:r>
      <w:r>
        <w:t xml:space="preserve"> «Y hacía que á todos, á los pequeños y grandes, ricos y pobres, libres y siervos, se pusiese una marca en su mano derecha, ó en sus frentes: Y que ninguno pudiese comprar ó vender, sino el que tuviera la señal, ó el nombre de la bestia, ó el número de su nombre»</w:t>
      </w:r>
      <w:r>
        <w:t xml:space="preserve"> (Ap 13:16-17)</w:t>
      </w:r>
      <w:r>
        <w:br/>
      </w:r>
      <w:r>
        <w:rPr>
          <w:b/>
        </w:rPr>
        <w:t>leída en su fuente · Ap 13:16-17</w:t>
      </w:r>
      <w:r>
        <w:br/>
      </w:r>
      <w:r>
        <w:rPr>
          <w:b/>
        </w:rPr>
        <w:t>Original donde está:</w:t>
      </w:r>
      <w:r>
        <w:t xml:space="preserve"> spaRV1909_texto_corrido.txt</w:t>
      </w:r>
      <w:r>
        <w:br/>
      </w:r>
      <w:r>
        <w:t>El pasaje literal no está en el archivo de pasajes con este comienzo; la auditoría lo halló en ese original.</w:t>
      </w:r>
      <w:r>
        <w:t>. Lo impone la segunda bestia, que hace adorar a la primera y hará que quienes no adoren su imagen «sean muertos»</w:t>
      </w:r>
      <w:r>
        <w:t xml:space="preserve"> (Ap 13:11-15)</w:t>
      </w:r>
      <w:r>
        <w:t>; tomar la señal es adorar a la bestia</w:t>
      </w:r>
      <w:r>
        <w:t xml:space="preserve"> (Ap 14:9-11)</w:t>
      </w:r>
      <w:r>
        <w:t>. El texto no nombra ningún medio, ningún gobierno ni ningún documento. La señal en la mano y entre los ojos ya estaba en la Biblia como señal de la ley de Dios</w:t>
      </w:r>
      <w:r>
        <w:t xml:space="preserve"> (Dt 6:8)</w:t>
      </w:r>
      <w:r>
        <w:t>, y la señal de Dios en las frentes, en el propio Apocalipsis</w:t>
      </w:r>
      <w:r>
        <w:t xml:space="preserve"> (Ap 7:3)</w:t>
      </w:r>
      <w:r>
        <w:t>: dos señales y dos lealtades.</w:t>
      </w:r>
    </w:p>
    <w:p>
      <w:r>
        <w:rPr>
          <w:b/>
        </w:rPr>
        <w:t>Cómo lo leyó la tradición más antigua.</w:t>
      </w:r>
      <w:r>
        <w:t xml:space="preserve"> Hipólito, que copia Ap 13:11-18 entero, dice que el Anticristo «ordenará que por todas partes se pongan incensarios, para que ningún hombre entre los santos pueda comprar ni vender sin sacrificar antes; pues eso es lo que significa la marca recibida en la mano derecha»</w:t>
      </w:r>
      <w:r>
        <w:t xml:space="preserve"> [original: «he will order incense-pans to be set up by all everywhere, that no man among the saints may be able to buy or sell without first sacrificing; for this is what is meant by the mark received upon the right hand.», en la traducción inglesa de MacMahon]</w:t>
      </w:r>
      <w:r>
        <w:t xml:space="preserve"> (Hipólito, Sobre Cristo y el Anticristo, cap. 49)</w:t>
      </w:r>
      <w:r>
        <w:br/>
      </w:r>
      <w:r>
        <w:rPr>
          <w:b/>
        </w:rPr>
        <w:t>leída en su fuente · Hipólito, Sobre Cristo y el Anticristo, cap. 49</w:t>
      </w:r>
      <w:r>
        <w:br/>
      </w:r>
      <w:r>
        <w:rPr>
          <w:b/>
        </w:rPr>
        <w:t>Original donde está:</w:t>
      </w:r>
      <w:r>
        <w:t xml:space="preserve"> hipolito_cristo_y_anticristo_ANF5.txt</w:t>
      </w:r>
      <w:r>
        <w:br/>
      </w:r>
      <w:r>
        <w:t>El pasaje literal no está en el archivo de pasajes con este comienzo; la auditoría lo halló en ese original.</w:t>
      </w:r>
      <w:r>
        <w:t>. Victorino de Pettau dice que sus siervos recibirán el número de su nombre «para que nadie los compre ni los venda»</w:t>
      </w:r>
      <w:r>
        <w:t xml:space="preserve"> [original: «lest any one should buy or sell them», en la traducción inglesa de Wallis]</w:t>
      </w:r>
      <w:r>
        <w:t xml:space="preserve"> (Victorino de Pettau, Comentario al Apocalipsis, cap. 13)</w:t>
      </w:r>
      <w:r>
        <w:br/>
      </w:r>
      <w:r>
        <w:rPr>
          <w:b/>
        </w:rPr>
        <w:t>leída en su fuente · Victorino de Pettau, Comentario al Apocalipsis, cap. 13</w:t>
      </w:r>
      <w:r>
        <w:br/>
      </w:r>
      <w:r>
        <w:rPr>
          <w:b/>
        </w:rPr>
        <w:t>Archivo leído:</w:t>
      </w:r>
      <w:r>
        <w:t xml:space="preserve"> victorino_comentario_apocalipsis_ANF7.htm (marca_comercio_10oct\e01_primeros_autores\victorino_comentario_apocalipsis_ANF7.htm) · contraste del archivo de pasajes: ✔</w:t>
      </w:r>
      <w:r>
        <w:br/>
      </w:r>
      <w:r>
        <w:rPr>
          <w:b/>
        </w:rPr>
        <w:t>Lugar:</w:t>
      </w:r>
      <w:r>
        <w:t xml:space="preserve"> Victorino de Pettau, Comentario al Apocalipsis, cap. 13</w:t>
      </w:r>
      <w:r>
        <w:br/>
      </w:r>
      <w:r>
        <w:rPr>
          <w:b/>
        </w:rPr>
        <w:t>Tal como está en la fuente:</w:t>
      </w:r>
      <w:r>
        <w:t xml:space="preserve"> lest any one should buy or sell them</w:t>
      </w:r>
      <w:r>
        <w:t>. En Hipólito, la condición para comerciar es un acto de culto; en Victorino, la señal es la de los siervos del Anticristo: en los dos, una lealtad.</w:t>
      </w:r>
    </w:p>
    <w:p>
      <w:r>
        <w:rPr>
          <w:b/>
        </w:rPr>
        <w:t>Lo que dicen las otras tradiciones.</w:t>
      </w:r>
      <w:r>
        <w:t xml:space="preserve"> En las demás tradiciones leídas (Egipto, India, China, Grecia, Roma, el islam y el budismo) no se ha hallado ningún texto que condicione comprar y vender a una señal del poder. Lo más cercano son poderes que monopolizan o fijan precios: el monopolio real del aceite de Tolomeo II, el control de precios del Edicto de Diocleciano y los recursos de ciudades y tiranos de los </w:t>
      </w:r>
      <w:r>
        <w:rPr>
          <w:i/>
        </w:rPr>
        <w:t>Económicos</w:t>
      </w:r>
      <w:r>
        <w:t xml:space="preserve"> II; ninguno pone una marca ni una condición de lealtad. Mencio y los suttas budistas piden lo contrario: que el soberano no grave ni estorbe el comercio. Ningún hadiz del Dayyal habla de comprar ni de vender. Y un estudio de Adolf Deissmann de 1910 (fuente secundaria, nivel B) dice que el «χάραγμα» (la «marca») era el sello del emperador que se imprimía en las escrituras de venta del Egipto romano: un sello de documentos, no una condición para comerciar</w:t>
      </w:r>
      <w:r>
        <w:t xml:space="preserve"> (Adolf Deissmann, Light from the Ancient East (Luz del antiguo Oriente), 2.ª edición inglesa, 1910, p. 345; fuente secundaria)</w:t>
      </w:r>
      <w:r>
        <w:t>.</w:t>
      </w:r>
    </w:p>
    <w:p>
      <w:r>
        <w:rPr>
          <w:b/>
        </w:rPr>
        <w:t>Lectura del autor:</w:t>
      </w:r>
      <w:r>
        <w:t xml:space="preserve"> lo que describe el texto es una </w:t>
      </w:r>
      <w:r>
        <w:rPr>
          <w:b/>
        </w:rPr>
        <w:t>función</w:t>
      </w:r>
      <w:r>
        <w:t>: el acceso al comercio condicionado a una señal de lealtad. No dice qué medio sería, y el autor no lo dice tampoco. Quien describe lo que no ha visto lo cuenta con las imágenes que conoce, y hay un salto de vocabulario: un nativo del Amazonas que nunca ha tenido contacto con la civilización, llevado a una casa, toca la superficie de la roca y cuenta que «se hizo de día»; lo que de verdad ha hecho es pulsar un interruptor en una pared, pero no tiene la palabra «pared» ni «interruptor» (imagen del autor, no un hecho). El propio autor cayó en la presunción que describe: primero dijo «pared», y luego lo corrigió, porque quien nunca ha visto una casa no tiene el concepto de una pared hecha de bloques y cemento; para él lo sólido es la roca. Es un ejemplo de cuánto hay que salvar la distancia entre nuestras palabras y las de quien habló entonces: usar sus conceptos, no los nuestros. Por eso lo que importa no es el nombre del aparato, sino la función. Si el efectivo desapareciera, quien controle el pago podría decidir quién compra y quién vende, y esa es la función que describe Ap 13:17. El autor no adivina el futuro: ve la trazabilidad de los hechos de arriba y avisa antes de que ocurra, porque lo que quiere evitar es que gane el mal. Si algún medio cumple esa función es cuestión de hechos que se puedan comprobar, y no de nombres.</w:t>
      </w:r>
    </w:p>
    <w:p>
      <w:r>
        <w:t>[BOE, EUR-Lex, BCE, Comisión Europea y Parlamento Europeo, e Hipólito y Victorino en la edición inglesa de los Padres antenicenos, leídos el 10-oct-2026 en 07/fuentes/marca_comercio; Reina-Valera 1909 en local; borrador «El efectivo y la señal» de la carpeta 07]</w:t>
      </w:r>
    </w:p>
    <w:p>
      <w:pPr>
        <w:pStyle w:val="Heading2"/>
      </w:pPr>
      <w:r>
        <w:t>Límite honesto de la prueba</w:t>
      </w:r>
    </w:p>
    <w:p>
      <w:pPr>
        <w:pStyle w:val="ListBullet"/>
      </w:pPr>
      <w:r>
        <w:rPr>
          <w:b/>
        </w:rPr>
        <w:t>La causa no está demostrada.</w:t>
      </w:r>
      <w:r>
        <w:t xml:space="preserve"> El capítulo mide efectos: la pérdida de valor del dinero, la carga, la vivienda, los hijos. Que la captura institucional los cause es una hipótesis abierta (</w:t>
      </w:r>
      <w:r>
        <w:t>8.8</w:t>
      </w:r>
      <w:r>
        <w:t>), y que exista una estrategia mundial para mantener a la población endeudada, también (</w:t>
      </w:r>
      <w:r>
        <w:t>8.1</w:t>
      </w:r>
      <w:r>
        <w:t>).</w:t>
      </w:r>
    </w:p>
    <w:p>
      <w:pPr>
        <w:pStyle w:val="ListBullet"/>
      </w:pPr>
      <w:r>
        <w:rPr>
          <w:b/>
        </w:rPr>
        <w:t>Los cálculos de la obra se dicen como tales:</w:t>
      </w:r>
      <w:r>
        <w:t xml:space="preserve"> la pérdida de los 100 euros desde 1971, la deuda rebajada por la inflación, los perfiles del autónomo y del societario, los salarios medios público y privado, los puestos de España por PIB y la aritmética de la vivienda.</w:t>
      </w:r>
    </w:p>
    <w:p>
      <w:pPr>
        <w:pStyle w:val="ListBullet"/>
      </w:pPr>
      <w:r>
        <w:rPr>
          <w:b/>
        </w:rPr>
        <w:t>Las capas 4 y 5 de la carga</w:t>
      </w:r>
      <w:r>
        <w:t xml:space="preserve"> son una hipótesis de reparto y una obligación futura; la parte firme es la capa 1, contrastada con la OCDE.</w:t>
      </w:r>
    </w:p>
    <w:p>
      <w:pPr>
        <w:pStyle w:val="ListBullet"/>
      </w:pPr>
      <w:r>
        <w:rPr>
          <w:b/>
        </w:rPr>
        <w:t>Las comparaciones de medias</w:t>
      </w:r>
      <w:r>
        <w:t xml:space="preserve"> entre lo público y lo privado no corrigen la jornada, la antigüedad ni la cualificación.</w:t>
      </w:r>
    </w:p>
    <w:p>
      <w:pPr>
        <w:pStyle w:val="ListBullet"/>
      </w:pPr>
      <w:r>
        <w:rPr>
          <w:b/>
        </w:rPr>
        <w:t>Fuentes privadas o interesadas, marcadas:</w:t>
      </w:r>
      <w:r>
        <w:t xml:space="preserve"> el Impuestómetro (con datos de Molinari y EY), una asociación y una fundación de autónomos y pymes, un sindicato, una organización ecologista y la prensa sobre las multas de la Zona de Bajas Emisiones, cuya cifra la da una asociación de automovilistas y no un organismo oficial.</w:t>
      </w:r>
    </w:p>
    <w:p>
      <w:pPr>
        <w:pStyle w:val="ListBullet"/>
      </w:pPr>
      <w:r>
        <w:rPr>
          <w:b/>
        </w:rPr>
        <w:t>Lo que no se ha podido leer:</w:t>
      </w:r>
      <w:r>
        <w:t xml:space="preserve"> la STS de 2017 del foto-rojo, entera; la réplica de Smith, Smith y Stocks, salvo en transcripción; el informe completo del IIF, que es solo para socios; la cita atribuida a Friedman sobre la inflación como impuesto sin ley, que circula sin fuente primaria localizada.</w:t>
      </w:r>
    </w:p>
    <w:p>
      <w:pPr>
        <w:pStyle w:val="ListBullet"/>
      </w:pPr>
      <w:r>
        <w:rPr>
          <w:b/>
        </w:rPr>
        <w:t>Lo que no entra:</w:t>
      </w:r>
      <w:r>
        <w:t xml:space="preserve"> el «63 % del PIB» de la zona euro, los «18 billones» de dinero nuevo y las frases de la «literatura financiera» (sin fuente); los precios de Benidorm; las cifras de coste de la reconversión, de una fuente concentrada; las «60.000 viviendas de alquiler» perdidas; Nozick, y Murphy y Nagel.</w:t>
      </w:r>
    </w:p>
    <w:p>
      <w:pPr>
        <w:pStyle w:val="ListBullet"/>
      </w:pPr>
      <w:r>
        <w:rPr>
          <w:b/>
        </w:rPr>
        <w:t>Los números de la salud y la familia describen, no explican.</w:t>
      </w:r>
      <w:r>
        <w:t xml:space="preserve"> Que suban o no suban estas series no prueba que la causa sea el dinero, el Estado ni nada concreto: son datos de un país en el que han cambiado muchas cosas a la vez, y la obra no afirma ninguna causa.</w:t>
      </w:r>
    </w:p>
    <w:p>
      <w:pPr>
        <w:pStyle w:val="ListBullet"/>
      </w:pPr>
      <w:r>
        <w:rPr>
          <w:b/>
        </w:rPr>
        <w:t>«Española» no es «nativa», y algunos datos son provisionales o no se pudieron leer.</w:t>
      </w:r>
      <w:r>
        <w:t xml:space="preserve"> El INE publica los suicidios por nacionalidad y no por país de nacimiento; los suicidios de 2025 y la población de 2025 y 2026 son provisionales; el informe de antidepresivos de la Agencia de 2025 es un panel que no se pudo descargar; la serie de la OCDE tiene roturas en 2014 y 2018; y la depresión declarada de 2006 no es comparable.</w:t>
      </w:r>
    </w:p>
    <w:p>
      <w:pPr>
        <w:pStyle w:val="ListBullet"/>
      </w:pPr>
      <w:r>
        <w:rPr>
          <w:b/>
        </w:rPr>
        <w:t>El efectivo y la señal: los datos no muestran ningún plan de eliminar el efectivo,</w:t>
      </w:r>
      <w:r>
        <w:t xml:space="preserve"> y las fuentes oficiales leídas dicen lo contrario; la obra expone una dirección de hechos, con los que no encajan, y no afirma ninguna intención (</w:t>
      </w:r>
      <w:r>
        <w:t>8.11</w:t>
      </w:r>
      <w:r>
        <w:t>).</w:t>
      </w:r>
    </w:p>
    <w:p>
      <w:pPr>
        <w:pStyle w:val="ListBullet"/>
      </w:pPr>
      <w:r>
        <w:rPr>
          <w:b/>
        </w:rPr>
        <w:t>La señal del Apocalipsis no nombra ningún medio de pago,</w:t>
      </w:r>
      <w:r>
        <w:t xml:space="preserve"> y los dos autores antiguos que la comentan la ligan a una lealtad (Hipólito, a un acto de culto): la lectura de hoy es del autor y no se puede comprobar con los datos. El argumento del salto de vocabulario no sirve para elegir un medio concreto, porque permitiría igual de bien cualquier identificación (</w:t>
      </w:r>
      <w:r>
        <w:t>8.11</w:t>
      </w:r>
      <w:r>
        <w:t>).</w:t>
      </w:r>
    </w:p>
    <w:p>
      <w:pPr>
        <w:pStyle w:val="Heading2"/>
      </w:pPr>
      <w:r>
        <w:t>Dónde se oye la defensa del Estado</w:t>
      </w:r>
    </w:p>
    <w:p>
      <w:r>
        <w:t>La defensa del Estado frente a este capítulo, y lo que la obra le responde, se oyen en el juicio:</w:t>
      </w:r>
    </w:p>
    <w:p>
      <w:pPr>
        <w:pStyle w:val="ListBullet"/>
      </w:pPr>
      <w:r>
        <w:t xml:space="preserve">que la moneda sin respaldo estabiliza la economía y que el banco central es independiente, y que «hoy ningún gobierno devalúa para financiarse»: </w:t>
      </w:r>
      <w:r>
        <w:t>cargo 17</w:t>
      </w:r>
      <w:r>
        <w:t xml:space="preserve"> (</w:t>
      </w:r>
      <w:r>
        <w:t>11.3</w:t>
      </w:r>
      <w:r>
        <w:t>);</w:t>
      </w:r>
    </w:p>
    <w:p>
      <w:pPr>
        <w:pStyle w:val="ListBullet"/>
      </w:pPr>
      <w:r>
        <w:t>«No existe ningún plan mundial», «La desconfianza en las instituciones también es un sesgo» y «No todas las instituciones son iguales»: en las cuestiones previas (</w:t>
      </w:r>
      <w:r>
        <w:t>11.2</w:t>
      </w:r>
      <w:r>
        <w:t>);</w:t>
      </w:r>
    </w:p>
    <w:p>
      <w:pPr>
        <w:pStyle w:val="ListBullet"/>
      </w:pPr>
      <w:r>
        <w:t xml:space="preserve">«La reconversión era inevitable»: </w:t>
      </w:r>
      <w:r>
        <w:t>cargo 28</w:t>
      </w:r>
      <w:r>
        <w:t>;</w:t>
      </w:r>
    </w:p>
    <w:p>
      <w:pPr>
        <w:pStyle w:val="ListBullet"/>
      </w:pPr>
      <w:r>
        <w:t xml:space="preserve">«La baja fecundidad es un fenómeno europeo y cultural», «Los 58 años son una cifra sindical, y no son comparables» y «Correlación no es causalidad»: </w:t>
      </w:r>
      <w:r>
        <w:t>cargo 10</w:t>
      </w:r>
      <w:r>
        <w:t>;</w:t>
      </w:r>
    </w:p>
    <w:p>
      <w:pPr>
        <w:pStyle w:val="ListBullet"/>
      </w:pPr>
      <w:r>
        <w:t xml:space="preserve">las omisiones, de BOSCO, la franquicia y la gasolina: </w:t>
      </w:r>
      <w:r>
        <w:t>cargo 22</w:t>
      </w:r>
      <w:r>
        <w:t xml:space="preserve">; los aforamientos: </w:t>
      </w:r>
      <w:r>
        <w:t>cargo 2</w:t>
      </w:r>
      <w:r>
        <w:t>;</w:t>
      </w:r>
    </w:p>
    <w:p>
      <w:pPr>
        <w:pStyle w:val="ListBullet"/>
      </w:pPr>
      <w:r>
        <w:t>«la conclusión de conjunto», y que decir que «el sistema creó los problemas» es un salto: frente al dictamen (</w:t>
      </w:r>
      <w:r>
        <w:t>11.4</w:t>
      </w:r>
      <w:r>
        <w:t>).</w:t>
      </w:r>
    </w:p>
    <w:p>
      <w:r>
        <w:t>[clasificación de las defensas, aprobada; 20.00-35.20 a 35.23; 24.00-9.2, 9.3, 9.10 y 9.11; 25.00-11.4 y 11.5; 26.00-8.2 y 8.3; 27.00-7.6 a 7.11; 29.00-8.2, 8.3 y 8.6 a 8.9; 34.00-13.12 y 13.13]</w:t>
      </w:r>
    </w:p>
    <w:p>
      <w:pPr>
        <w:pStyle w:val="Heading2"/>
      </w:pPr>
      <w:r>
        <w:t>Para recordar</w:t>
      </w:r>
    </w:p>
    <w:p>
      <w:pPr>
        <w:pStyle w:val="ListBullet"/>
      </w:pPr>
      <w:r>
        <w:t>Desde 1971, el dinero vale lo que la ley declara y la confianza que se le tiene: es el dinero sin respaldo material. La mayor parte la crean los bancos al prestar.</w:t>
      </w:r>
    </w:p>
    <w:p>
      <w:pPr>
        <w:pStyle w:val="ListBullet"/>
      </w:pPr>
      <w:r>
        <w:t>Durante siete siglos, desde dentro del poder, se advirtió lo mismo: alterar la moneda es quitar sin pedir permiso.</w:t>
      </w:r>
    </w:p>
    <w:p>
      <w:pPr>
        <w:pStyle w:val="ListBullet"/>
      </w:pPr>
      <w:r>
        <w:t>El tiempo de vida cristalizado: 100 euros guardados el 1 de enero de 1971 compran hoy lo que entonces 3,90; la meta oficial es perder un 2 % al año; y lo que pierde quien ahorra lo gana, en buena parte, quien debe.</w:t>
      </w:r>
    </w:p>
    <w:p>
      <w:pPr>
        <w:pStyle w:val="ListBullet"/>
      </w:pPr>
      <w:r>
        <w:t>La carga: de cada 100 euros que cuesta el trabajo de un asalariado medio, al menos 41 van a cotizaciones e IRPF, y hasta 53,6 con todas las capas.</w:t>
      </w:r>
    </w:p>
    <w:p>
      <w:pPr>
        <w:pStyle w:val="ListBullet"/>
      </w:pPr>
      <w:r>
        <w:t>El silencio del ciudadano se castiga solo; el del sistema hay que perseguirlo durante años.</w:t>
      </w:r>
    </w:p>
    <w:p>
      <w:pPr>
        <w:pStyle w:val="ListBullet"/>
      </w:pPr>
      <w:r>
        <w:t>La hucha de las pensiones se vació y está invertida, por ley, en deuda del propio Estado. Se publica cada dato, nunca la suma: es el muro de opacidad.</w:t>
      </w:r>
    </w:p>
    <w:p>
      <w:pPr>
        <w:pStyle w:val="ListBullet"/>
      </w:pPr>
      <w:r>
        <w:t>La vivienda se ha alejado del salario y los hijos están en mínimos; la causa, abierta.</w:t>
      </w:r>
    </w:p>
    <w:p>
      <w:pPr>
        <w:pStyle w:val="ListBullet"/>
      </w:pPr>
      <w:r>
        <w:t>La gente no es peor que antes: la confianza que ha caído es la que se tenía en las instituciones.</w:t>
      </w:r>
    </w:p>
    <w:p>
      <w:pPr>
        <w:pStyle w:val="ListBullet"/>
      </w:pPr>
      <w:r>
        <w:t>La salud y la familia: los antidepresivos se han multiplicado por casi cuatro desde 2000; los suicidios y los divorcios, por habitante y separando a la población española de la extranjera, no suben; no se afirma ninguna causa.</w:t>
      </w:r>
    </w:p>
    <w:p>
      <w:pPr>
        <w:pStyle w:val="ListBullet"/>
      </w:pPr>
      <w:r>
        <w:t>El efectivo y la señal: los pagos grandes en efectivo se limitan cada vez más y se prepara un euro digital, con hechos que no encajan con que el efectivo vaya a desaparecer; el texto de la Biblia que condiciona comprar y vender a una señal la liga a la lealtad a un poder, no a un medio de pago; la obra no afirma ninguna intención.</w:t>
      </w:r>
    </w:p>
    <w:p>
      <w:pPr>
        <w:pStyle w:val="ListBullet"/>
      </w:pPr>
      <w:r>
        <w:rPr>
          <w:b/>
        </w:rPr>
        <w:t>Lo que aquí se expone que hay que podar (lectura del autor):</w:t>
      </w:r>
      <w:r>
        <w:t xml:space="preserve"> la moneda que, al perder valor, quita sin pedir permiso el tiempo de vida de quien ahorra; el silencio del ciudadano, que se castiga solo, frente al del sistema, que hay que perseguir durante años; y el muro de opacidad, que publica cada dato y no la suma.</w:t>
      </w:r>
    </w:p>
    <w:p>
      <w:pPr>
        <w:pStyle w:val="ListBullet"/>
      </w:pPr>
      <w:r>
        <w:rPr>
          <w:b/>
        </w:rPr>
        <w:t>Lo siguiente:</w:t>
      </w:r>
      <w:r>
        <w:t xml:space="preserve"> lo medido, reunido en una conclusión, el dictamen, con sus límites (</w:t>
      </w:r>
      <w:r>
        <w:t>capítulo 9</w:t>
      </w:r>
      <w:r>
        <w:t>).</w:t>
      </w:r>
    </w:p>
    <w:p>
      <w:r>
        <w:br w:type="page"/>
      </w:r>
    </w:p>
    <w:p>
      <w:pPr>
        <w:pStyle w:val="Heading1"/>
      </w:pPr>
      <w:r>
        <w:t>9 El dictamen</w:t>
      </w:r>
    </w:p>
    <w:p>
      <w:pPr>
        <w:spacing w:after="200"/>
      </w:pPr>
      <w:r>
        <w:rPr>
          <w:rFonts w:ascii="Segoe UI" w:hAnsi="Segoe UI" w:eastAsia="Segoe UI" w:cs="Segoe UI"/>
          <w:color w:val="6B665E"/>
          <w:sz w:val="17"/>
        </w:rPr>
        <w:t>Primera versión: 6 de octubre de 2026 · Última revisión: 12 de octubre de 2026 · Cambios anotados en el capítulo: 6 · Citas leídas en su fuente: 46</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(errata de copia, corregida al detectarla: la vio 07.8 al aplicar el B17; orden de 08.21, 11:1x, por la norma de Kiko de corregir al detectar): en «En pocas palabras», «más años cotizados, más normas y más trámites» pasa a «más años de vida, más normas y más trámites», las palabras de la conclusión de 9.1 (y de 0.2), que prueba las dos cosas bajo «Más años de vida por lo mismo»: los años cotizados y la edad.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10 (borrador B16). Ninguna otra palabra cambia. Cambio del 12-oct-2026 (Kiko, chat de 08.18, 06:3x, pasado por 08.18 tal cual, a «¿das el sí a los nueve cambios de 07.6?»: «si»; borrador B13, el barrido de los cuantificadores vagos en las frases con dato): en 9.1, «la deuda no se perdona nunca; se renueva y crece» pasa a «no hay remisión periódica, y la deuda del Estado se paga con deuda nueva y crece»: la ley española sí exonera deudas de la persona que no puede pagar, y lo documentado es lo de la deuda del Estado (8.1 y 8.6). Ninguna otra palabra cambia. Cambio del 9-oct-2026 (Kiko: «Sí al B6 con las tres recomendaciones» y «sí al B6»; filas 38 de 04p; borrador B6 de la carpeta 07, escrito por la ventana que acompaña): en 9.1, subapartado «El dictamen», una frase que remite a la piedra de 5.4. Cambio del 8-oct-2026 (fase de reparación, traducciones sin original, quinta tanda): puestos los originales ingleses de «un obispo y seis políticos destacados» (Britannica) y «siete pares» (Parlamento), que estaban en c9b/ y no se habían puesto en el texto. Cambio del 8-oct-2026 (lectura de la dirección de la obra, aviso PASO 4.8): en 9.2, «Los eligió la pieza original» pasa a «Los eligió el autor». ESTADO: APROBADO por Kiko el 6-oct-2026 («SI A TODO»: el capítulo; la lectura del autor del 9.2, redacción nueva; los nombres de los gobernantes en los diez casos y, en Islandia, solo los cargos; la errata de la duración de los casos, al 07). Su material está marcado en el inventario (04 CAPITULOS/marcas/marcas del capitulo 9.txt). Cualquier cambio posterior, con su aprobación. Redactado en el paso 3, solo con lo comprobado en el paso 2: al redactar no se ha descargado nada; lo que falta se apunta en la libreta 75 (7 bis). Escrito en tres niveles y con remisiones enlazables. Marcas: {fuente: …} niveles 2 y 3; {original: …} nivel 3; [trazabilidad] nivel 3; {completo} solo nivel 3; {breve} solo niveles 1 y 2. Trazabilidad: al final de cada párrafo o bloque, entre corchetes (se ve en el nivel completo). Reparto (6-oct): dos agentes localizaron y descargaron las fuentes (c9a: normas, estadísticas, Comín y la Biblia; c9b: los diez casos, los ashanti, los iroqueses y los aztecas); Claude descargó y leyó Hobbes, Núremberg y la Ley de Sociedades de Capital (c9) y leyó lo ya descargado en c5. Cada dato tiene su pasaje en el paso 2 (14 ARCHIVO DE PASAJES). Leído hoy en su original (paso 2, 6-oct): - BOE: Ley de Sociedades de Capital (art. 363.1.e); Ley Concursal (art. 1.3, ya en 5.1); Ley 22/2015, de Auditoría de Cuentas (art. 5.1.e); Código Penal (arts. 127 bis.1 y 127 quater.1 y 2); Orden EHA/3565/2008 (anexo IV, concepto 391); Decreto 2065/1974 (art. 154); Ley 26/1985 (arts. 2 y 3 y disposición transitoria segunda); Ley General de la Seguridad Social (arts. 205.1, 209.1 y 210.1, y disposiciones transitorias séptima, novena y cuadragésima); Real Decreto-ley 2/2023; Ley de Enjuiciamiento Civil (art. 607.1); Código Civil (arts. 659, 1003 y 1023); Constitución (arts. 9.1, 9.3, 25.1 y 168). - Organismos: Tribunal de Cuentas (Declaración sobre la Cuenta General del Estado de 2024, párrs. 2.23 y 4.20); Eurostat (gov_10a_main, gov_10dd_edpt1, gov_10a_exp y demo_gind); INE (tablas 1415 y 1414, IPC, Tabla de Pensiones 2021); OCDE (Taxing Wages); Ayuntamiento de Madrid (ejecución del presupuesto de ingresos de 2023 y 2024, datos abiertos). - Autores: Hobbes, Leviatán, final del cap. XXVIII y cap. XXIX (inglés, Gutenberg n.º 3207); Tribunal Militar Internacional de Núremberg, sentencia de 1-10-1946, «The Law of the Charter» (Avalon Project); Comín, Ayer, 21 (1996), p. 167; Biblia, Reina-Valera Antigua (2 R 14:6; Ez 18:20; Heb 4:12; Mt 3:12; Mt 13:29; Pr 22:7). - Los diez casos (c9b): Bill of Rights (legislation.gov.uk); Indian Independence Act 1947; Consejo de Estado y Sejm de Polonia (ISAP; resolución de 14-3-2014); rueda de prensa y nota del 9-11-1989 (Crónica del Muro); proyecto 217 y actas de la Asamblea Federal checoslovaca (29-11 y 29-12-1989); Casa Blanca (Biblioteca Reagan, 15 y 22-2-1986); discurso de De Klerk (2-2-1990, archivo O'Malley); NDI y Centro Carter (9-6-1999); OSCE/ODIHR, informe final sobre Georgia (28-1-2004); FMI, informe de país n.º 08/362; Gobierno de Islandia (26-1-2009); Instituto de Estadística de Islandia; Comisión Investigadora Especial de Islandia (2010); tratado de Fort Stanwix (1784, Avalon Project); López Austin (UNAM) y Torquemada, Monarquía indiana. - Fuentes secundarias (se marcan en el texto): Encyclopaedia Britannica; Parlamento del Reino Unido; Oficina de Prensa del Gobierno de la India; Gandhi Heritage Portal; Instituto de la Memoria Nacional de Polonia (IPN); Agencia Federal de Educación Cívica (bpb) y Archivo Federal de Alemania; Crónica del Muro; Instituto para el Estudio de los Regímenes Totalitarios (ÚSTR); Gaceta Oficial de Filipinas (copia del Internet Archive); Biblioteca del Congreso de EE. UU. (copia en countrystudies.us); Universidad Nacional Australiana; Columbia Magazine. Estudios privados: Instituto de Estudios Económicos; ATA (en 8.4). Hallado al escribir: erratas de la Biblioteca que la edición lleva corregidas (07 FE DE ERRATAS): - 00.0-5.4: «casi cuatro veces» → más de cuatro (4,3, con la deuda del mismo año, 2021). - 00.0-5.9: «sabían o debían sospechar» → lo que dice el Código Penal, art. 127 quater.1 y 2. - 21.00-16.7: las páginas de los Códigos del BOE cambian con cada edición: aquí no se dan (se remite a 5.2). - 21.00-16.8: el 1,5-2,5 % del IEE es la parte que atribuye a la fragmentación normativa, estimada «de manera conservadora»; el total, según otros autores que cita, es del 3 % al 5 %. - 21.00-16.24: «ya no es ley» → «ya no será ley» (Aquino, como en 1.1). - 19.00-13.1 (no hubo Parlamento reunido: carta de siete notables, 30-6-1688); 14.2 (la ley de 1947 es la Indian Independence Act); 15.1 (las elecciones y el Gobierno de 1989, con su matiz); 17.1 (29-11-1989, no el 28); 19.1 (las ganó el CNA; la Asamblea Nacional eligió a Mandela); 20.1 (las primeras competitivas desde 1955); 21.1 (irrupción el 22-11, dimisión el 23); 22.1 (el superlativo es del FMI, con su redacción); 23.1 (de 1688 a 2009, más de tres siglos; sin la Primavera Árabe; y «todos tardaron años o décadas», que no casa con las fechas de los propios casos). Y al redactar (libreta 75, 7 bis), sin descargar nada: - 19.00-14.1, 18.1, 19.1, 20.1 y 22.1: frases sin fuente leída que no entran («erosionó la legitimidad del Raj», «negociada», «sin sustancia moral que defender», «décadas de resistencia, sanciones y aislamiento», «la corrupción y el nepotismo», «sin un solo día de suspensión del orden constitucional»). - 19.00-23.1: «no todos tuvieron desenlaces estables» no tiene fuente leída: pasa al límite honesto como lo que la obra no ha estudiado. - 19.00-11.1 dice «tres» mecanismos; el 7.5 cuenta cuatro tradiciones que lo hicieron institución (con los veedores incas). Aquí se dice por qué los incas no cuentan para este apartado. - 19.00-11.1: el «procedimiento de garantías» de Qumrán no se ha leído (en 7.5, solo las penas graduadas): no entra. - 21.00-16.14: según el índice del agente (c9a), el grupo GF0101 de Eurostat incluye también los asuntos exteriores; la definición oficial no se ha leído. Se deja «gobierno, parlamentos y hacienda», con el código. - Capítulo 8, «Dónde se oye la defensa del Estado»: dice «en el veredicto (11.4)»; con el glosario 7.1, 11.4 es la defensa frente al dictamen (HECHO en el paso 4, 7-oct: en los capítulos 7 y 8). No entra: la fuente maya (sin leer en el original); el texto del discurso de dimisión de Suharto (solo en prensa); la salida de Marcos por la base de Clark y hacia Guam (sin comprobar); Yaa Asantewaa (no aparece en las fuentes leídas); la fecha exacta de las cacerolas de Islandia; los nombres de los responsables a quienes la comisión de Islandia atribuye negligencia (se dicen sus cargos). Remisiones: el orden de las leyes y la corrupción de la ley (1.1); la ley natural y Núremberg (1.4); nadie es juez en su propia causa (1.7); P4, P7 y P8 (3.2); la remisión, el jubileo y la usura (3.3); la servidumbre voluntaria y la creencia sin comprobar (4.1); lo que se da por supuesto sobre el concurso, el IRPF y las pensiones (5.1, n.º 5, 7 y 24); las plantas 2, 3 y 5 (5.2); Hobbes y la portada (6.1); la auctoritas (6.2); la deslegitimación (6.3); el derecho de resistencia (6.5); los 93 artículos (7.1); la Seguridad Social (7.2, n.º 11); las tradiciones que hicieron institución la corrección (7.5); la carga, los frutos que se reconocen y los 226 horas (8.4); la hucha, los intereses y el velo (8.6); la confianza y «el sistema creó los problemas» (8.9). Conceptos que ancla: la quiebra camuflada (9.1, siempre como lectura del autor); el dictamen (9.1).</w:t>
      </w:r>
    </w:p>
    <w:p>
      <w:pPr>
        <w:pBdr>
          <w:left w:val="single" w:sz="24" w:space="6" w:color="E2DED6"/>
        </w:pBdr>
        <w:shd w:val="clear" w:color="auto" w:fill="F1EEE8"/>
        <w:spacing w:before="80" w:after="160"/>
        <w:ind w:left="142" w:right="142"/>
      </w:pPr>
      <w:r>
        <w:rPr>
          <w:b/>
        </w:rPr>
        <w:t>En pocas palabras:</w:t>
      </w:r>
    </w:p>
    <w:p>
      <w:pPr>
        <w:pStyle w:val="ListBullet"/>
      </w:pPr>
      <w:r>
        <w:t>Medido con la regla que aplica a cualquier empresa, el sistema estaría en causa de disolución: la Seguridad Social tiene patrimonio neto negativo desde 2017 y debe al Estado 126.170 millones de euros, y las administraciones gastaron más de lo que ingresaban en 28 de los 31 años de 1995 a 2025. No se le puede declarar en quiebra: su propia ley lo excluye del concurso.</w:t>
      </w:r>
    </w:p>
    <w:p>
      <w:pPr>
        <w:pStyle w:val="ListBullet"/>
      </w:pPr>
      <w:r>
        <w:t>Su deuda mayor no figura en la oficial: 6,13 billones de euros en pensiones ya prometidas. El ciudadano es a la vez su acreedor y quien la paga.</w:t>
      </w:r>
    </w:p>
    <w:p>
      <w:pPr>
        <w:pStyle w:val="ListBullet"/>
      </w:pPr>
      <w:r>
        <w:t xml:space="preserve">La autoridad, la </w:t>
      </w:r>
      <w:r>
        <w:rPr>
          <w:i/>
        </w:rPr>
        <w:t>auctoritas</w:t>
      </w:r>
      <w:r>
        <w:t>, viene de «hacer crecer». Hoy cada generación necesita más años de vida, más normas y más trámites para obtener lo mismo, y el hueco se cubre con deuda.</w:t>
      </w:r>
    </w:p>
    <w:p>
      <w:pPr>
        <w:pStyle w:val="ListBullet"/>
      </w:pPr>
      <w:r>
        <w:t xml:space="preserve">El dictamen de la obra, con el formato de la Ley de Auditoría y sin valor oficial: </w:t>
      </w:r>
      <w:r>
        <w:rPr>
          <w:b/>
        </w:rPr>
        <w:t>opinión desfavorable</w:t>
      </w:r>
      <w:r>
        <w:t>. Anuncia el cierre de una forma de gobierno, no de la ley ni de la comunidad, y no exime a nadie de sus obligaciones.</w:t>
      </w:r>
    </w:p>
    <w:p>
      <w:pPr>
        <w:pStyle w:val="ListBullet"/>
      </w:pPr>
      <w:r>
        <w:t>La compensación no puede pagarse con más deuda contra el mismo ciudadano: auditoría, responsabilidad de cada persona probada caso a caso, devolución de lo obtenido ilícitamente, y nunca por apellido.</w:t>
      </w:r>
    </w:p>
    <w:p>
      <w:pPr>
        <w:pStyle w:val="ListBullet"/>
      </w:pPr>
      <w:r>
        <w:t>Diez veces, de 1688 a 2009, la historia muestra la misma secuencia: primero se agota la sustancia del poder, y solo después el pueblo deja de sostenerlo. Es constancia histórica, no un manual.</w:t>
      </w:r>
    </w:p>
    <w:p>
      <w:pPr>
        <w:pStyle w:val="Heading2"/>
      </w:pPr>
      <w:r>
        <w:t>9.0 Propósito</w:t>
      </w:r>
    </w:p>
    <w:p>
      <w:r>
        <w:t>Los capítulos 7 y 8 midieron: la Constitución frente a los hechos, y los frutos en la vida diaria. Este reúne lo medido en una conclusión, el dictamen, y dice sus límites. Es la parte de la obra que más pertenece al autor: «El dictamen es del autor; los hechos son de todos» (</w:t>
      </w:r>
      <w:r>
        <w:t>0.2</w:t>
      </w:r>
      <w:r>
        <w:t>). Por eso aquí, más que en ningún otro capítulo, se separan las dos capas: lo que arrojan los datos y la lectura del autor (</w:t>
      </w:r>
      <w:r>
        <w:t>0.3</w:t>
      </w:r>
      <w:r>
        <w:t>).</w:t>
      </w:r>
    </w:p>
    <w:p>
      <w:r>
        <w:rPr>
          <w:b/>
        </w:rPr>
        <w:t>Cómo se lee.</w:t>
      </w:r>
      <w:r>
        <w:t xml:space="preserve"> Lo que ya se explicó no se repite: se remite al apartado donde está. Lo nuevo va con su fuente y su fecha, y los cálculos de la obra se dicen como tales.</w:t>
      </w:r>
    </w:p>
    <w:p>
      <w:r>
        <w:rPr>
          <w:b/>
        </w:rPr>
        <w:t>Lo que este capítulo no hace.</w:t>
      </w:r>
      <w:r>
        <w:t xml:space="preserve"> No declara culpable a ninguna persona: juzga un diseño. Su dictamen no tiene valor oficial. Y no invita a desobedecer: las obligaciones vigentes siguen vigentes (</w:t>
      </w:r>
      <w:r>
        <w:t>0.2</w:t>
      </w:r>
      <w:r>
        <w:t>).</w:t>
      </w:r>
    </w:p>
    <w:p>
      <w:r>
        <w:t>Este capítulo dice:</w:t>
      </w:r>
    </w:p>
    <w:p>
      <w:pPr>
        <w:pStyle w:val="ListBullet"/>
      </w:pPr>
      <w:r>
        <w:rPr>
          <w:b/>
        </w:rPr>
        <w:t>9.1</w:t>
      </w:r>
      <w:r>
        <w:t xml:space="preserve"> la quiebra camuflada: la misma vara, la deuda contraída contra el ciudadano y cómo se compensa, la autoridad perdida, la espada que juzga y el dictamen;</w:t>
      </w:r>
    </w:p>
    <w:p>
      <w:pPr>
        <w:pStyle w:val="ListBullet"/>
      </w:pPr>
      <w:r>
        <w:rPr>
          <w:b/>
        </w:rPr>
        <w:t>9.2</w:t>
      </w:r>
      <w:r>
        <w:t xml:space="preserve"> y qué ha pasado en la historia cuando la forma se queda sin sustancia.</w:t>
      </w:r>
    </w:p>
    <w:p>
      <w:pPr>
        <w:pStyle w:val="Heading2"/>
      </w:pPr>
      <w:r>
        <w:t>9.1 La quiebra camuflada</w:t>
      </w:r>
    </w:p>
    <w:p>
      <w:pPr>
        <w:pBdr>
          <w:left w:val="single" w:sz="24" w:space="6" w:color="E2DED6"/>
        </w:pBdr>
        <w:shd w:val="clear" w:color="auto" w:fill="F1EEE8"/>
        <w:spacing w:before="80" w:after="160"/>
        <w:ind w:left="142" w:right="142"/>
      </w:pPr>
      <w:r>
        <w:rPr>
          <w:b/>
        </w:rPr>
        <w:t>La idea: con la regla que el sistema aplica a cualquier empresa, estaría en causa de disolución, y su propia ley lo excluye del concurso. Su deuda mayor la tiene con el ciudadano, que es a la vez quien la paga.</w:t>
      </w:r>
    </w:p>
    <w:p>
      <w:pPr>
        <w:pStyle w:val="Heading3"/>
      </w:pPr>
      <w:r>
        <w:t>La misma vara</w:t>
      </w:r>
    </w:p>
    <w:p>
      <w:r>
        <w:rPr>
          <w:b/>
        </w:rPr>
        <w:t>La regla.</w:t>
      </w:r>
      <w:r>
        <w:t xml:space="preserve"> La ley obliga a una sociedad a disolverse, entre otras causas, «Por pérdidas que dejen reducido el patrimonio neto a una cantidad inferior a la mitad del capital social»</w:t>
      </w:r>
      <w:r>
        <w:t xml:space="preserve"> (Ley de Sociedades de Capital, art. 363.1.e)</w:t>
      </w:r>
      <w:r>
        <w:br/>
      </w:r>
      <w:r>
        <w:rPr>
          <w:b/>
        </w:rPr>
        <w:t>leída en su fuente · Ley de Sociedades de Capital, art. 363.1.e</w:t>
      </w:r>
      <w:r>
        <w:br/>
      </w:r>
      <w:r>
        <w:rPr>
          <w:b/>
        </w:rPr>
        <w:t>Archivo leído:</w:t>
      </w:r>
      <w:r>
        <w:t xml:space="preserve"> lsc_rdleg1_2010.html (c9\lsc_rdleg1_2010.html) · contraste del archivo de pasajes: ✔</w:t>
      </w:r>
      <w:r>
        <w:br/>
      </w:r>
      <w:r>
        <w:rPr>
          <w:b/>
        </w:rPr>
        <w:t>Dirección:</w:t>
      </w:r>
      <w:r>
        <w:t xml:space="preserve"> </w:t>
      </w:r>
      <w:r>
        <w:t>https://www.boe.es/buscar/act.php?id=BOE-A-2010-10544</w:t>
      </w:r>
      <w:r>
        <w:br/>
      </w:r>
      <w:r>
        <w:rPr>
          <w:b/>
        </w:rPr>
        <w:t>Tal como está en la fuente:</w:t>
      </w:r>
      <w:r>
        <w:t xml:space="preserve"> Artículo 363. Causas de disolución. 1. La sociedad de capital deberá disolverse: […] e) Por pérdidas que dejen reducido el patrimonio neto a una cantidad inferior a la mitad del capital social, a no ser que éste se aumente o se reduzca en la medida suficiente, y siempre que no sea procedente solicitar la declaración de concurso.</w:t>
      </w:r>
      <w:r>
        <w:br/>
      </w:r>
      <w:r>
        <w:rPr>
          <w:b/>
        </w:rPr>
        <w:t>Traducción guardada:</w:t>
      </w:r>
      <w:r>
        <w:t xml:space="preserve"> texto consolidado, última actualización publicada el 3-1-2025</w:t>
      </w:r>
      <w:r>
        <w:t>. Es la vara de la obra: la regla que el sistema aplica a cualquier persona o empresa (</w:t>
      </w:r>
      <w:r>
        <w:t>0.5</w:t>
      </w:r>
      <w:r>
        <w:t xml:space="preserve">). </w:t>
      </w:r>
      <w:r>
        <w:t>[00.0-5.1 y 5.2; 21.00-16.1 y 16.16; Ley de Sociedades de Capital leída en el BOE]</w:t>
      </w:r>
    </w:p>
    <w:p>
      <w:r>
        <w:rPr>
          <w:b/>
        </w:rPr>
        <w:t>Lo que muestran sus cuentas.</w:t>
      </w:r>
    </w:p>
    <w:p>
      <w:pPr>
        <w:pStyle w:val="ListBullet"/>
      </w:pPr>
      <w:r>
        <w:rPr>
          <w:b/>
        </w:rPr>
        <w:t>La Seguridad Social</w:t>
      </w:r>
      <w:r>
        <w:t xml:space="preserve"> tiene patrimonio neto negativo desde 2017: «El balance de la Seguridad Social recoge desde 2017 un patrimonio neto negativo que, a 31 de diciembre de 2024, asciende a 106.138,7 millones de euros»</w:t>
      </w:r>
      <w:r>
        <w:t xml:space="preserve"> (Tribunal de Cuentas, Declaración sobre la Cuenta General del Estado de 2024, párr. 2.23)</w:t>
      </w:r>
      <w:r>
        <w:br/>
      </w:r>
      <w:r>
        <w:rPr>
          <w:b/>
        </w:rPr>
        <w:t>leída en su fuente · Tribunal de Cuentas, Declaración sobre la Cuenta General del Estado de 2024, párr. 2.23</w:t>
      </w:r>
      <w:r>
        <w:br/>
      </w:r>
      <w:r>
        <w:rPr>
          <w:b/>
        </w:rPr>
        <w:t>Archivo leído:</w:t>
      </w:r>
      <w:r>
        <w:t xml:space="preserve"> tcu_declaracion_cge2024_n1677.pdf (c5\tcu_declaracion_cge2024_n1677.pdf) · contraste del archivo de pasajes: ✔</w:t>
      </w:r>
      <w:r>
        <w:br/>
      </w:r>
      <w:r>
        <w:rPr>
          <w:b/>
        </w:rPr>
        <w:t>Lugar:</w:t>
      </w:r>
      <w:r>
        <w:t xml:space="preserve"> Párrafo 2.23, pág. PDF 16</w:t>
      </w:r>
      <w:r>
        <w:br/>
      </w:r>
      <w:r>
        <w:rPr>
          <w:b/>
        </w:rPr>
        <w:t>Dirección:</w:t>
      </w:r>
      <w:r>
        <w:t xml:space="preserve"> </w:t>
      </w:r>
      <w:r>
        <w:t>https://www.congreso.es/docu/inf_fiscTC/LegXV/250-8.pdf</w:t>
      </w:r>
      <w:r>
        <w:br/>
      </w:r>
      <w:r>
        <w:rPr>
          <w:b/>
        </w:rPr>
        <w:t>Tal como está en la fuente:</w:t>
      </w:r>
      <w:r>
        <w:t xml:space="preserve"> El balance de la Seguridad Social recoge desde 2017 un patrimonio neto negativo que, a 31 de diciembre de 2024, asciende a 106.138,7 millones de euros</w:t>
      </w:r>
      <w:r>
        <w:t>. Son ocho cierres seguidos (</w:t>
      </w:r>
      <w:r>
        <w:t>7.2</w:t>
      </w:r>
      <w:r>
        <w:t>, n.º 11).</w:t>
      </w:r>
    </w:p>
    <w:p>
      <w:pPr>
        <w:pStyle w:val="ListBullet"/>
      </w:pPr>
      <w:r>
        <w:rPr>
          <w:b/>
        </w:rPr>
        <w:t>Debe al Estado</w:t>
      </w:r>
      <w:r>
        <w:t xml:space="preserve"> 126.170 millones de euros en préstamos, «un 7,91 % del Producto Interior Bruto (PIB) de 2024»</w:t>
      </w:r>
      <w:r>
        <w:t xml:space="preserve"> (ídem, párr. 4.20)</w:t>
      </w:r>
      <w:r>
        <w:br/>
      </w:r>
      <w:r>
        <w:rPr>
          <w:b/>
        </w:rPr>
        <w:t>leída en su fuente · ídem, párr. 4.20</w:t>
      </w:r>
      <w:r>
        <w:br/>
      </w:r>
      <w:r>
        <w:rPr>
          <w:b/>
        </w:rPr>
        <w:t>Archivo leído:</w:t>
      </w:r>
      <w:r>
        <w:t xml:space="preserve"> tcu_declaracion_cge2024_n1677.pdf (c5\tcu_declaracion_cge2024_n1677.pdf) · contraste del archivo de pasajes: ✔</w:t>
      </w:r>
      <w:r>
        <w:br/>
      </w:r>
      <w:r>
        <w:rPr>
          <w:b/>
        </w:rPr>
        <w:t>Lugar:</w:t>
      </w:r>
      <w:r>
        <w:t xml:space="preserve"> Pág. PDF 52, párr. 4.20</w:t>
      </w:r>
      <w:r>
        <w:br/>
      </w:r>
      <w:r>
        <w:rPr>
          <w:b/>
        </w:rPr>
        <w:t>Tal como está en la fuente:</w:t>
      </w:r>
      <w:r>
        <w:t xml:space="preserve"> acumulando la Seguridad Social un endeudamiento frente al Estado, a 31 de diciembre de 2024, de 126.170,2 millones de euros (un 7,91 % del Producto Interior Bruto (PIB) de 2024)</w:t>
      </w:r>
      <w:r>
        <w:t>.</w:t>
      </w:r>
    </w:p>
    <w:p>
      <w:pPr>
        <w:pStyle w:val="ListBullet"/>
      </w:pPr>
      <w:r>
        <w:rPr>
          <w:b/>
        </w:rPr>
        <w:t>Las administraciones</w:t>
      </w:r>
      <w:r>
        <w:t xml:space="preserve"> gastaron más de lo que ingresaron en 28 de los 31 años de 1995 a 2025: solo cerraron con superávit en 2005, 2006 y 2007</w:t>
      </w:r>
      <w:r>
        <w:t xml:space="preserve"> (Eurostat, cuentas de las administraciones públicas (gov_10a_main), saldo en % del PIB)</w:t>
      </w:r>
      <w:r>
        <w:t>. La deuda pasó de 384.662 millones de euros en 2007 a 1.698.225 a final de 2025</w:t>
      </w:r>
      <w:r>
        <w:t xml:space="preserve"> (Eurostat, deuda de las administraciones públicas (gov_10dd_edpt1))</w:t>
      </w:r>
      <w:r>
        <w:t>, y lo que falta cada año equivale, más o menos, a los intereses de lo ya pedido (</w:t>
      </w:r>
      <w:r>
        <w:t>8.6</w:t>
      </w:r>
      <w:r>
        <w:t>).</w:t>
      </w:r>
    </w:p>
    <w:p>
      <w:r>
        <w:t>[21.00-16.9; Tribunal de Cuentas y Eurostat leídos en el original]</w:t>
      </w:r>
    </w:p>
    <w:p>
      <w:r>
        <w:rPr>
          <w:b/>
        </w:rPr>
        <w:t>Por qué no se le declara en quiebra.</w:t>
      </w:r>
      <w:r>
        <w:t xml:space="preserve"> Porque la ley que él mismo escribe lo excluye del concurso de acreedores (</w:t>
      </w:r>
      <w:r>
        <w:t>5.1</w:t>
      </w:r>
      <w:r>
        <w:t>, n.º 7). Y nadie debe ser juez en su propia causa (</w:t>
      </w:r>
      <w:r>
        <w:t>1.7</w:t>
      </w:r>
      <w:r>
        <w:t xml:space="preserve">). </w:t>
      </w:r>
      <w:r>
        <w:t>[00.0-5.2; 21.00-16.23]</w:t>
      </w:r>
    </w:p>
    <w:p>
      <w:r>
        <w:rPr>
          <w:b/>
        </w:rPr>
        <w:t>Conclusión, lo que arrojan los datos:</w:t>
      </w:r>
      <w:r>
        <w:t xml:space="preserve"> con la vara que se aplica a cualquier persona o empresa, este sistema estaría en causa de disolución: su Seguridad Social lleva ocho años con patrimonio neto negativo, y el conjunto gasta más de lo que ingresa casi todos los años, pagando lo que vence con deuda nueva. No se le declara en quiebra porque la ley que él mismo escribe lo excluye del concurso. </w:t>
      </w:r>
      <w:r>
        <w:t>[00.0-5.2; 21.00-16.16; glosario 7.2]</w:t>
      </w:r>
    </w:p>
    <w:p>
      <w:r>
        <w:rPr>
          <w:b/>
        </w:rPr>
        <w:t>Lectura del autor:</w:t>
      </w:r>
      <w:r>
        <w:t xml:space="preserve"> es una quiebra camuflada: un sistema artificial, sostenido desde 1971 por un dinero sin respaldo material, que se exime de las reglas que impone a los demás y que funciona como una pirámide: paga a los de antes con lo que pide a los que vienen detrás. El camuflaje no es el secreto, sino la complejidad: está a la vista de todos, escondido en cientos de miles de páginas. </w:t>
      </w:r>
      <w:r>
        <w:t>[00.0-5.3; 21.00-16.17]</w:t>
      </w:r>
    </w:p>
    <w:p>
      <w:r>
        <w:t xml:space="preserve">Desde aquí, la edición llama </w:t>
      </w:r>
      <w:r>
        <w:rPr>
          <w:b/>
        </w:rPr>
        <w:t>quiebra camuflada</w:t>
      </w:r>
      <w:r>
        <w:t xml:space="preserve"> a esta situación, y siempre como lectura del autor, nunca como dato: el dato es la causa de disolución; el nombre es su lectura (</w:t>
      </w:r>
      <w:r>
        <w:t>H.7</w:t>
      </w:r>
      <w:r>
        <w:t xml:space="preserve">). El camuflaje es lo que en </w:t>
      </w:r>
      <w:r>
        <w:t>8.6</w:t>
      </w:r>
      <w:r>
        <w:t xml:space="preserve"> se llamó el velo.</w:t>
      </w:r>
    </w:p>
    <w:p>
      <w:pPr>
        <w:pStyle w:val="Heading3"/>
      </w:pPr>
      <w:r>
        <w:t>La deuda contraída contra el ciudadano</w:t>
      </w:r>
    </w:p>
    <w:p>
      <w:r>
        <w:rPr>
          <w:b/>
        </w:rPr>
        <w:t>Lo que debe.</w:t>
      </w:r>
      <w:r>
        <w:t xml:space="preserve"> Las pensiones ya prometidas sumaban 6,13 billones de euros a finales de 2021, y no figuran en la deuda oficial (</w:t>
      </w:r>
      <w:r>
        <w:t>5.1</w:t>
      </w:r>
      <w:r>
        <w:t>, n.º 24). Ese mismo año, la deuda oficial era de 1.429.404 millones</w:t>
      </w:r>
      <w:r>
        <w:t xml:space="preserve"> (Eurostat, deuda de las administraciones públicas)</w:t>
      </w:r>
      <w:r>
        <w:t>: la prometida era más de cuatro veces mayor, 4,3 veces (cálculo de la obra). El propio INE advierte que es el valor actual de pagos futuros, no una deuda que venza hoy (</w:t>
      </w:r>
      <w:r>
        <w:t>5.1</w:t>
      </w:r>
      <w:r>
        <w:t xml:space="preserve">, n.º 24). </w:t>
      </w:r>
      <w:r>
        <w:t>[00.0-5.4, corregido: «casi cuatro» comparaba con la deuda de 2025; 21.00-16.26]</w:t>
      </w:r>
    </w:p>
    <w:p>
      <w:r>
        <w:rPr>
          <w:b/>
        </w:rPr>
        <w:t>Con qué la paga.</w:t>
      </w:r>
      <w:r>
        <w:t xml:space="preserve"> Para pagarla, y para pagar la deuda oficial y los préstamos a la Seguridad Social, el sistema solo cuenta con lo que cobre a esos mismos ciudadanos. Y el ahorro que se guardó con sus cotizaciones ya se gastó: de la hucha se dispusieron 80.337 millones entre 2012 y 2019 (</w:t>
      </w:r>
      <w:r>
        <w:t>8.6</w:t>
      </w:r>
      <w:r>
        <w:t xml:space="preserve">). </w:t>
      </w:r>
      <w:r>
        <w:t>[00.0-5.4; 21.00-16.26]</w:t>
      </w:r>
    </w:p>
    <w:p>
      <w:r>
        <w:rPr>
          <w:b/>
        </w:rPr>
        <w:t>Conclusión, lo que arrojan los datos:</w:t>
      </w:r>
      <w:r>
        <w:t xml:space="preserve"> el sistema debe a los ciudadanos, en pensiones ya prometidas, más de cuatro veces su deuda oficial, y esa deuda no figura en la cifra que se publica. Solo puede pagarla cobrando a aquellos a quienes se la debe. </w:t>
      </w:r>
      <w:r>
        <w:t>[00.0-5.4; 21.00-16.26]</w:t>
      </w:r>
    </w:p>
    <w:p>
      <w:r>
        <w:rPr>
          <w:b/>
        </w:rPr>
        <w:t>Lectura del autor:</w:t>
      </w:r>
      <w:r>
        <w:t xml:space="preserve"> el ciudadano es a la vez acreedor y pagador: el sistema le debe, y le cobra para pagarle lo que le debe. Es una deuda contraída contra el ciudadano, y es el Estado quien debe compensarle. </w:t>
      </w:r>
      <w:r>
        <w:t>[00.0-5.5; 21.00-16.27]</w:t>
      </w:r>
    </w:p>
    <w:p>
      <w:r>
        <w:rPr>
          <w:b/>
        </w:rPr>
        <w:t>Cómo se compensa, según el autor.</w:t>
      </w:r>
      <w:r>
        <w:t xml:space="preserve"> Lo que sigue es la propuesta del autor, con las leyes en que se apoya; sus límites están al final del capítulo. La compensación no puede hacerse con más deuda contra el mismo ciudadano. Debe salir de quien se ha enriquecido con este sistema, y por este orden:</w:t>
      </w:r>
    </w:p>
    <w:p>
      <w:pPr>
        <w:spacing w:after="60"/>
        <w:ind w:left="510" w:hanging="397"/>
      </w:pPr>
      <w:r>
        <w:rPr>
          <w:b w:val="0"/>
        </w:rPr>
        <w:t xml:space="preserve">1. </w:t>
      </w:r>
      <w:r>
        <w:rPr>
          <w:b/>
        </w:rPr>
        <w:t>Una auditoría pública y verificable</w:t>
      </w:r>
      <w:r>
        <w:t xml:space="preserve"> de quién se ha beneficiado y cómo.</w:t>
      </w:r>
    </w:p>
    <w:p>
      <w:pPr>
        <w:spacing w:after="60"/>
        <w:ind w:left="510" w:hanging="397"/>
      </w:pPr>
      <w:r>
        <w:rPr>
          <w:b w:val="0"/>
        </w:rPr>
        <w:t xml:space="preserve">2. </w:t>
      </w:r>
      <w:r>
        <w:rPr>
          <w:b/>
        </w:rPr>
        <w:t>Responsabilidad individual,</w:t>
      </w:r>
      <w:r>
        <w:t xml:space="preserve"> probada caso a caso y con derecho de defensa, porque los delitos los cometen personas. Lo dijo el tribunal de Núremberg: «los crímenes contra el derecho internacional los cometen hombres, no entidades abstractas»</w:t>
      </w:r>
      <w:r>
        <w:t xml:space="preserve"> [original: «Crimes against international law are committed by men, not by abstract entities»]</w:t>
      </w:r>
      <w:r>
        <w:t xml:space="preserve"> (Tribunal Militar Internacional de Núremberg, sentencia de 1-10-1946, «The Law of the Charter» (El derecho del Estatuto))</w:t>
      </w:r>
      <w:r>
        <w:br/>
      </w:r>
      <w:r>
        <w:rPr>
          <w:b/>
        </w:rPr>
        <w:t>leída en su fuente · Tribunal Militar Internacional de Núremberg, sentencia de 1-10-1946, «The Law of the Chart</w:t>
      </w:r>
      <w:r>
        <w:br/>
      </w:r>
      <w:r>
        <w:rPr>
          <w:b/>
        </w:rPr>
        <w:t>Archivo leído:</w:t>
      </w:r>
      <w:r>
        <w:t xml:space="preserve"> nuremberg_juicio_ley_de_la_carta_avalon.html (c9\nuremberg_juicio_ley_de_la_carta_avalon.html) · contraste del archivo de pasajes: ✔</w:t>
      </w:r>
      <w:r>
        <w:br/>
      </w:r>
      <w:r>
        <w:rPr>
          <w:b/>
        </w:rPr>
        <w:t>Dirección:</w:t>
      </w:r>
      <w:r>
        <w:t xml:space="preserve"> </w:t>
      </w:r>
      <w:r>
        <w:t>https://avalon.law.yale.edu/imt/judlawch.asp</w:t>
      </w:r>
      <w:r>
        <w:br/>
      </w:r>
      <w:r>
        <w:rPr>
          <w:b/>
        </w:rPr>
        <w:t>Tal como está en la fuente:</w:t>
      </w:r>
      <w:r>
        <w:t xml:space="preserve"> Crimes against international law are committed by men, not by abstract entities, and only by punishing individuals who commit such crimes can the provisions of international law be enforced.</w:t>
      </w:r>
      <w:r>
        <w:t>.</w:t>
      </w:r>
    </w:p>
    <w:p>
      <w:pPr>
        <w:spacing w:after="60"/>
        <w:ind w:left="510" w:hanging="397"/>
      </w:pPr>
      <w:r>
        <w:rPr>
          <w:b w:val="0"/>
        </w:rPr>
        <w:t xml:space="preserve">3. </w:t>
      </w:r>
      <w:r>
        <w:rPr>
          <w:b/>
        </w:rPr>
        <w:t>La recuperación íntegra de lo obtenido ilícitamente,</w:t>
      </w:r>
      <w:r>
        <w:t xml:space="preserve"> esté en manos de quien esté, también de los familiares o terceros que lo recibieron sabiendo su origen, o cuando «una persona diligente habría tenido motivos para sospechar, en las circunstancias del caso, de su origen ilícito»</w:t>
      </w:r>
      <w:r>
        <w:t xml:space="preserve"> (Código Penal, art. 127 quater.1.a)</w:t>
      </w:r>
      <w:r>
        <w:br/>
      </w:r>
      <w:r>
        <w:rPr>
          <w:b/>
        </w:rPr>
        <w:t>leída en su fuente · Código Penal, art. 127 quater.1.a</w:t>
      </w:r>
      <w:r>
        <w:br/>
      </w:r>
      <w:r>
        <w:rPr>
          <w:b/>
        </w:rPr>
        <w:t>Archivo leído:</w:t>
      </w:r>
      <w:r>
        <w:t xml:space="preserve"> 8.5_15a_Codigo_Penal_BOE-A-1995-25444.html (c8c\8.5_15a_Codigo_Penal_BOE-A-1995-25444.html) · contraste del archivo de pasajes: ✔</w:t>
      </w:r>
      <w:r>
        <w:br/>
      </w:r>
      <w:r>
        <w:rPr>
          <w:b/>
        </w:rPr>
        <w:t>Lugar:</w:t>
      </w:r>
      <w:r>
        <w:t xml:space="preserve"> Art. 127 quater.1 (#a127quater)</w:t>
      </w:r>
      <w:r>
        <w:br/>
      </w:r>
      <w:r>
        <w:rPr>
          <w:b/>
        </w:rPr>
        <w:t>Dirección:</w:t>
      </w:r>
      <w:r>
        <w:t xml:space="preserve"> </w:t>
      </w:r>
      <w:r>
        <w:t>https://www.boe.es/buscar/act.php?id=BOE-A-1995-25444</w:t>
      </w:r>
      <w:r>
        <w:br/>
      </w:r>
      <w:r>
        <w:rPr>
          <w:b/>
        </w:rPr>
        <w:t>Tal como está en la fuente:</w:t>
      </w:r>
      <w:r>
        <w:t xml:space="preserve"> 1. Los jueces y tribunales podrán acordar también el decomiso de los bienes, efectos y ganancias a que se refieren los artículos anteriores que hayan sido transferidos a terceras personas, o de un valor equivalente a los mismos, en los siguientes casos: / a) En el caso de los efectos y ganancias, cuando los hubieran adquirido con conocimiento de que proceden de una actividad ilícita o cuando una persona diligente habría tenido motivos para sospechar, en las circunstancias del caso, de su origen ilícito. / b) En el caso de otros bienes, cuando los hubieran adquirido con conocimiento de que de este modo se dificultaba su decomiso o cuando una persona diligente habría tenido motivos para sospechar, en las circunstancias del caso, que de ese modo se dificultaba su decomiso.</w:t>
      </w:r>
      <w:r>
        <w:t>. La ley ya presume, salvo prueba en contrario, que el tercero lo sabía cuando los bienes «le hubieran sido transferidos a título gratuito o por un precio inferior al real de mercado»</w:t>
      </w:r>
      <w:r>
        <w:t xml:space="preserve"> (art. 127 quater.2)</w:t>
      </w:r>
      <w:r>
        <w:br/>
      </w:r>
      <w:r>
        <w:rPr>
          <w:b/>
        </w:rPr>
        <w:t>leída en su fuente · art. 127 quater.2</w:t>
      </w:r>
      <w:r>
        <w:br/>
      </w:r>
      <w:r>
        <w:rPr>
          <w:b/>
        </w:rPr>
        <w:t>Archivo leído:</w:t>
      </w:r>
      <w:r>
        <w:t xml:space="preserve"> 8.5_15a_Codigo_Penal_BOE-A-1995-25444.html (c8c\8.5_15a_Codigo_Penal_BOE-A-1995-25444.html) · contraste del archivo de pasajes: ✔</w:t>
      </w:r>
      <w:r>
        <w:br/>
      </w:r>
      <w:r>
        <w:rPr>
          <w:b/>
        </w:rPr>
        <w:t>Lugar:</w:t>
      </w:r>
      <w:r>
        <w:t xml:space="preserve"> Art. 127 quater.1 (#a127quater)</w:t>
      </w:r>
      <w:r>
        <w:br/>
      </w:r>
      <w:r>
        <w:rPr>
          <w:b/>
        </w:rPr>
        <w:t>Dirección:</w:t>
      </w:r>
      <w:r>
        <w:t xml:space="preserve"> </w:t>
      </w:r>
      <w:r>
        <w:t>https://www.boe.es/buscar/act.php?id=BOE-A-1995-25444</w:t>
      </w:r>
      <w:r>
        <w:br/>
      </w:r>
      <w:r>
        <w:rPr>
          <w:b/>
        </w:rPr>
        <w:t>Tal como está en la fuente:</w:t>
      </w:r>
      <w:r>
        <w:t xml:space="preserve"> 2. Se presumirá, salvo prueba en contrario, que el tercero ha conocido o ha tenido motivos para sospechar que se trataba de bienes procedentes de una actividad ilícita o que eran transferidos para evitar su decomiso, cuando los bienes o efectos le hubieran sido transferidos a título gratuito o por un precio inferior al real de mercado.</w:t>
      </w:r>
      <w:r>
        <w:t>.</w:t>
      </w:r>
    </w:p>
    <w:p>
      <w:pPr>
        <w:spacing w:after="60"/>
        <w:ind w:left="510" w:hanging="397"/>
      </w:pPr>
      <w:r>
        <w:rPr>
          <w:b w:val="0"/>
        </w:rPr>
        <w:t xml:space="preserve">4. </w:t>
      </w:r>
      <w:r>
        <w:rPr>
          <w:b/>
        </w:rPr>
        <w:t>Y nunca por apellido ni por parentesco:</w:t>
      </w:r>
      <w:r>
        <w:t xml:space="preserve"> «el hijo no llevará por el pecado del padre»</w:t>
      </w:r>
      <w:r>
        <w:t xml:space="preserve"> (Ez 18:20)</w:t>
      </w:r>
      <w:r>
        <w:br/>
      </w:r>
      <w:r>
        <w:rPr>
          <w:b/>
        </w:rPr>
        <w:t>leída en su fuente · Ez 18:20</w:t>
      </w:r>
      <w:r>
        <w:br/>
      </w:r>
      <w:r>
        <w:rPr>
          <w:b/>
        </w:rPr>
        <w:t>Archivo leído:</w:t>
      </w:r>
      <w:r>
        <w:t xml:space="preserve"> ez_18_20_rva.html (c9a\ez_18_20_rva.html) · contraste del archivo de pasajes: ✔</w:t>
      </w:r>
      <w:r>
        <w:br/>
      </w:r>
      <w:r>
        <w:rPr>
          <w:b/>
        </w:rPr>
        <w:t>Lugar:</w:t>
      </w:r>
      <w:r>
        <w:t xml:space="preserve"> passage-text, v. 20</w:t>
      </w:r>
      <w:r>
        <w:br/>
      </w:r>
      <w:r>
        <w:rPr>
          <w:b/>
        </w:rPr>
        <w:t>Dirección:</w:t>
      </w:r>
      <w:r>
        <w:t xml:space="preserve"> </w:t>
      </w:r>
      <w:r>
        <w:t>https://www.biblegateway.com/passage/?search=Ezekiel+18%3A20&amp;version=RVA</w:t>
      </w:r>
      <w:r>
        <w:br/>
      </w:r>
      <w:r>
        <w:rPr>
          <w:b/>
        </w:rPr>
        <w:t>Tal como está en la fuente:</w:t>
      </w:r>
      <w:r>
        <w:t xml:space="preserve"> El alma que pecare, esa morirá: el hijo no llevará por el pecado del padre, ni el padre llevará por el pecado del hijo: la justicia del justo será sobre él, y la impiedad el impío será sobre él.</w:t>
      </w:r>
      <w:r>
        <w:t>. Es el principio de que cada uno responde de lo suyo (</w:t>
      </w:r>
      <w:r>
        <w:t>3.2</w:t>
      </w:r>
      <w:r>
        <w:t>, P7).</w:t>
      </w:r>
    </w:p>
    <w:p>
      <w:r>
        <w:t>[00.0-5.9, corregido: la ley no dice «sabían o debían sospechar»; sentencia de Núremberg leída en el Avalon Project; Código Penal leído en el BOE]</w:t>
      </w:r>
    </w:p>
    <w:p>
      <w:r>
        <w:rPr>
          <w:b/>
        </w:rPr>
        <w:t>Lo que fue legal cuando se hizo.</w:t>
      </w:r>
      <w:r>
        <w:t xml:space="preserve"> El mismo tribunal dijo que no castigar sin ley previa es un principio de justicia, no un límite al poder del Estado: «la máxima </w:t>
      </w:r>
      <w:r>
        <w:rPr>
          <w:i/>
        </w:rPr>
        <w:t>nullum crimen sine lege</w:t>
      </w:r>
      <w:r>
        <w:t xml:space="preserve"> (no hay delito sin ley) no es una limitación de la soberanía, sino, en general, un principio de justicia»</w:t>
      </w:r>
      <w:r>
        <w:t xml:space="preserve"> [original: «the maxim nullum crimen sine lege is not a limitation of sovereignty, but is in general a principle of justice»]</w:t>
      </w:r>
      <w:r>
        <w:t>. Y que castigar a quien había atacado a sus vecinos violando tratados no era injusto, porque «en tales circunstancias el atacante debe saber que obra mal»</w:t>
      </w:r>
      <w:r>
        <w:t xml:space="preserve"> [original: «in such circumstances the attacker must know that he is doing wrong»]</w:t>
      </w:r>
      <w:r>
        <w:t xml:space="preserve"> (ídem)</w:t>
      </w:r>
      <w:r>
        <w:br/>
      </w:r>
      <w:r>
        <w:rPr>
          <w:b/>
        </w:rPr>
        <w:t>leída en su fuente · ídem</w:t>
      </w:r>
      <w:r>
        <w:br/>
      </w:r>
      <w:r>
        <w:rPr>
          <w:b/>
        </w:rPr>
        <w:t>Archivo leído:</w:t>
      </w:r>
      <w:r>
        <w:t xml:space="preserve"> nuremberg_juicio_ley_de_la_carta_avalon.html (c9\nuremberg_juicio_ley_de_la_carta_avalon.html) · contraste del archivo de pasajes: ✔</w:t>
      </w:r>
      <w:r>
        <w:br/>
      </w:r>
      <w:r>
        <w:rPr>
          <w:b/>
        </w:rPr>
        <w:t>Dirección:</w:t>
      </w:r>
      <w:r>
        <w:t xml:space="preserve"> </w:t>
      </w:r>
      <w:r>
        <w:t>https://avalon.law.yale.edu/imt/judlawch.asp</w:t>
      </w:r>
      <w:r>
        <w:br/>
      </w:r>
      <w:r>
        <w:rPr>
          <w:b/>
        </w:rPr>
        <w:t>Tal como está en la fuente:</w:t>
      </w:r>
      <w:r>
        <w:t xml:space="preserve"> In the first place, it is to be observed that the maxim nullum crimen sine lege is not a limitation of sovereignty, but is in general a principle of justice. To assert that it is unjust to punish those who in defiance of treaties and assurances have attacked neighbouring states without warning is obviously untrue, for in such circumstances the attacker must know that he is doing wrong […]</w:t>
      </w:r>
      <w:r>
        <w:t>. El autor aplica la misma vara de la ley natural, que está por encima de la puesta (</w:t>
      </w:r>
      <w:r>
        <w:t>1.4</w:t>
      </w:r>
      <w:r>
        <w:t>): quien sabía que obraba contra el bien común no puede ampararse en que su conducta era legal. A los responsables, probado caso a caso, se les recupera lo obtenido contra el bien común y se les deja lo mínimo vital, que la ley ya protege: «Es inembargable el salario, sueldo, pensión, retribución o su equivalente, que no exceda de la cuantía señalada para el salario mínimo interprofesional»</w:t>
      </w:r>
      <w:r>
        <w:t xml:space="preserve"> (Ley de Enjuiciamiento Civil, art. 607.1)</w:t>
      </w:r>
      <w:r>
        <w:br/>
      </w:r>
      <w:r>
        <w:rPr>
          <w:b/>
        </w:rPr>
        <w:t>leída en su fuente · Ley de Enjuiciamiento Civil, art. 607.1</w:t>
      </w:r>
      <w:r>
        <w:br/>
      </w:r>
      <w:r>
        <w:rPr>
          <w:b/>
        </w:rPr>
        <w:t>Archivo leído:</w:t>
      </w:r>
      <w:r>
        <w:t xml:space="preserve"> lec_ley1_2000.html (c5\lec_ley1_2000.html) · contraste del archivo de pasajes: ✔</w:t>
      </w:r>
      <w:r>
        <w:br/>
      </w:r>
      <w:r>
        <w:rPr>
          <w:b/>
        </w:rPr>
        <w:t>Lugar:</w:t>
      </w:r>
      <w:r>
        <w:t xml:space="preserve"> Art. 607.1</w:t>
      </w:r>
      <w:r>
        <w:br/>
      </w:r>
      <w:r>
        <w:rPr>
          <w:b/>
        </w:rPr>
        <w:t>Tal como está en la fuente:</w:t>
      </w:r>
      <w:r>
        <w:t xml:space="preserve"> Es inembargable el salario, sueldo, pensión, retribución o su equivalente, que no exceda de la cuantía señalada para el salario mínimo interprofesional.</w:t>
      </w:r>
      <w:r>
        <w:t xml:space="preserve">. </w:t>
      </w:r>
      <w:r>
        <w:t>[00.0-5.10; Ley de Enjuiciamiento Civil leída en el BOE]</w:t>
      </w:r>
    </w:p>
    <w:p>
      <w:r>
        <w:rPr>
          <w:b/>
        </w:rPr>
        <w:t>Los hijos.</w:t>
      </w:r>
      <w:r>
        <w:t xml:space="preserve"> No pagan por sus padres: «no mató á los hijos de los que le mataron, conforme á lo que está escrito en el libro de la ley de Moisés»</w:t>
      </w:r>
      <w:r>
        <w:t xml:space="preserve"> (2 R 14:6)</w:t>
      </w:r>
      <w:r>
        <w:br/>
      </w:r>
      <w:r>
        <w:rPr>
          <w:b/>
        </w:rPr>
        <w:t>leída en su fuente · 2 R 14:6</w:t>
      </w:r>
      <w:r>
        <w:br/>
      </w:r>
      <w:r>
        <w:rPr>
          <w:b/>
        </w:rPr>
        <w:t>Archivo leído:</w:t>
      </w:r>
      <w:r>
        <w:t xml:space="preserve"> 2r_14_6_rva.html (c9a\2r_14_6_rva.html) · contraste del archivo de pasajes: ✔</w:t>
      </w:r>
      <w:r>
        <w:br/>
      </w:r>
      <w:r>
        <w:rPr>
          <w:b/>
        </w:rPr>
        <w:t>Lugar:</w:t>
      </w:r>
      <w:r>
        <w:t xml:space="preserve"> passage-text, v. 6</w:t>
      </w:r>
      <w:r>
        <w:br/>
      </w:r>
      <w:r>
        <w:rPr>
          <w:b/>
        </w:rPr>
        <w:t>Dirección:</w:t>
      </w:r>
      <w:r>
        <w:t xml:space="preserve"> </w:t>
      </w:r>
      <w:r>
        <w:t>https://www.biblegateway.com/passage/?search=2+Kings+14%3A6&amp;version=RVA</w:t>
      </w:r>
      <w:r>
        <w:br/>
      </w:r>
      <w:r>
        <w:rPr>
          <w:b/>
        </w:rPr>
        <w:t>Tal como está en la fuente:</w:t>
      </w:r>
      <w:r>
        <w:t xml:space="preserve"> Mas no mató á los hijos de los que le mataron, conforme á lo que está escrito en el libro de la ley de Moisés, donde Jehová mandó, diciendo: No matarán á los padres por los hijos, ni á los hijos por los padres: mas cada uno morirá por su pecado.</w:t>
      </w:r>
      <w:r>
        <w:t>. Pero tampoco conservan lo que sus padres no podían dejarles. La herencia comprende «todos los bienes, derechos y obligaciones de una persona que no se extingan por su muerte»</w:t>
      </w:r>
      <w:r>
        <w:t xml:space="preserve"> (Código Civil, art. 659)</w:t>
      </w:r>
      <w:r>
        <w:br/>
      </w:r>
      <w:r>
        <w:rPr>
          <w:b/>
        </w:rPr>
        <w:t>leída en su fuente · Código Civil, art. 659</w:t>
      </w:r>
      <w:r>
        <w:br/>
      </w:r>
      <w:r>
        <w:rPr>
          <w:b/>
        </w:rPr>
        <w:t>Archivo leído:</w:t>
      </w:r>
      <w:r>
        <w:t xml:space="preserve"> codigo_civil_1889.html (c5\codigo_civil_1889.html) · contraste del archivo de pasajes: ✔</w:t>
      </w:r>
      <w:r>
        <w:br/>
      </w:r>
      <w:r>
        <w:rPr>
          <w:b/>
        </w:rPr>
        <w:t>Lugar:</w:t>
      </w:r>
      <w:r>
        <w:t xml:space="preserve"> Art. 659</w:t>
      </w:r>
      <w:r>
        <w:br/>
      </w:r>
      <w:r>
        <w:rPr>
          <w:b/>
        </w:rPr>
        <w:t>Tal como está en la fuente:</w:t>
      </w:r>
      <w:r>
        <w:t xml:space="preserve"> La herencia comprende todos los bienes, derechos y obligaciones de una persona que no se extingan por su muerte.</w:t>
      </w:r>
      <w:r>
        <w:t>, y quien la acepta a beneficio de inventario responde de sus cargas solo «hasta donde alcancen los bienes de la misma»</w:t>
      </w:r>
      <w:r>
        <w:t xml:space="preserve"> (art. 1023)</w:t>
      </w:r>
      <w:r>
        <w:br/>
      </w:r>
      <w:r>
        <w:rPr>
          <w:b/>
        </w:rPr>
        <w:t>leída en su fuente · art. 1023</w:t>
      </w:r>
      <w:r>
        <w:br/>
      </w:r>
      <w:r>
        <w:rPr>
          <w:b/>
        </w:rPr>
        <w:t>Archivo leído:</w:t>
      </w:r>
      <w:r>
        <w:t xml:space="preserve"> codigo_civil_1889.html (c5\codigo_civil_1889.html) · contraste del archivo de pasajes: ✔</w:t>
      </w:r>
      <w:r>
        <w:br/>
      </w:r>
      <w:r>
        <w:rPr>
          <w:b/>
        </w:rPr>
        <w:t>Lugar:</w:t>
      </w:r>
      <w:r>
        <w:t xml:space="preserve"> Art. 659</w:t>
      </w:r>
      <w:r>
        <w:br/>
      </w:r>
      <w:r>
        <w:rPr>
          <w:b/>
        </w:rPr>
        <w:t>Tal como está en la fuente:</w:t>
      </w:r>
      <w:r>
        <w:t xml:space="preserve"> El beneficio de inventario produce en favor del heredero los efectos siguientes: 1.º El heredero no queda obligado a pagar las deudas y demás cargas de la herencia sino hasta donde alcancen los bienes de la misma.</w:t>
      </w:r>
      <w:r>
        <w:t xml:space="preserve">. Lo heredado de origen ilícito se devuelve, hasta donde alcance la herencia, y lo que los hijos ganaron con su trabajo es suyo. Quien demuestre haber servido al bien común verá valorada esa conducta, después de restituir. </w:t>
      </w:r>
      <w:r>
        <w:t>[00.0-5.10; Código Civil leído en el BOE; 2 R 14:6 en la Reina-Valera Antigua]</w:t>
      </w:r>
    </w:p>
    <w:p>
      <w:pPr>
        <w:pStyle w:val="Heading3"/>
      </w:pPr>
      <w:r>
        <w:t>La autoridad perdida</w:t>
      </w:r>
    </w:p>
    <w:p>
      <w:r>
        <w:rPr>
          <w:b/>
        </w:rPr>
        <w:t>La medida.</w:t>
      </w:r>
      <w:r>
        <w:t xml:space="preserve"> La edición llama </w:t>
      </w:r>
      <w:r>
        <w:rPr>
          <w:i/>
        </w:rPr>
        <w:t>auctoritas</w:t>
      </w:r>
      <w:r>
        <w:t xml:space="preserve"> a la autoridad que se gana haciendo crecer a quienes la sostienen (</w:t>
      </w:r>
      <w:r>
        <w:t>6.2</w:t>
      </w:r>
      <w:r>
        <w:t xml:space="preserve">). Es la raíz de la propia palabra del poder, y sirve de medida: ¿hace crecer este sistema a quienes lo sostienen? </w:t>
      </w:r>
      <w:r>
        <w:t>[00.0-5.6; glosario 7.3]</w:t>
      </w:r>
    </w:p>
    <w:p>
      <w:r>
        <w:rPr>
          <w:b/>
        </w:rPr>
        <w:t>Más años de vida por lo mismo.</w:t>
      </w:r>
    </w:p>
    <w:p>
      <w:pPr>
        <w:pStyle w:val="ListBullet"/>
      </w:pPr>
      <w:r>
        <w:rPr>
          <w:b/>
        </w:rPr>
        <w:t>Para tener pensión:</w:t>
      </w:r>
      <w:r>
        <w:t xml:space="preserve"> en 1974 bastaban diez años cotizados: «Tener cubierto un período mínimo de cotización de diez años»</w:t>
      </w:r>
      <w:r>
        <w:t xml:space="preserve"> (Decreto 2065/1974, art. 154.1.b)</w:t>
      </w:r>
      <w:r>
        <w:br/>
      </w:r>
      <w:r>
        <w:rPr>
          <w:b/>
        </w:rPr>
        <w:t>leída en su fuente · Decreto 2065/1974, art. 154.1.b</w:t>
      </w:r>
      <w:r>
        <w:br/>
      </w:r>
      <w:r>
        <w:rPr>
          <w:b/>
        </w:rPr>
        <w:t>Archivo leído:</w:t>
      </w:r>
      <w:r>
        <w:t xml:space="preserve"> decreto2065_1974_lgss_texto_original.html; decreto2065_1974_lgss_conclusion_BOE_22-07-1974_A15170-15185.pdf (c9a\decreto2065_1974_lgss_texto_original.html; c9a\decreto2065_1974_lgss_conclusion_BOE_22-07-1974_A15170-15185.pdf) · contraste del archivo de pasajes: ✔</w:t>
      </w:r>
      <w:r>
        <w:br/>
      </w:r>
      <w:r>
        <w:rPr>
          <w:b/>
        </w:rPr>
        <w:t>Lugar:</w:t>
      </w:r>
      <w:r>
        <w:t xml:space="preserve"> Art. 154,</w:t>
      </w:r>
      <w:r>
        <w:br/>
      </w:r>
      <w:r>
        <w:rPr>
          <w:b/>
        </w:rPr>
        <w:t>Dirección:</w:t>
      </w:r>
      <w:r>
        <w:t xml:space="preserve"> </w:t>
      </w:r>
      <w:r>
        <w:t>https://www.boe.es/buscar/doc.php?id=BOE-A-1974-1165</w:t>
      </w:r>
      <w:r>
        <w:t xml:space="preserve"> ; PDF: </w:t>
      </w:r>
      <w:r>
        <w:t>https://www.boe.es/boe/dias/1974/07/22/pdfs/A15170-15185.pdf</w:t>
      </w:r>
      <w:r>
        <w:br/>
      </w:r>
      <w:r>
        <w:rPr>
          <w:b/>
        </w:rPr>
        <w:t>Tal como está en la fuente:</w:t>
      </w:r>
      <w:r>
        <w:t xml:space="preserve"> 1. Tendrán derecho a la pensión de jubilación los trabajadores por cuenta ajena que, además de la general exigida en el número 1 del artículo 94, reúnan las siguientes condiciones: / a) Haber cumplido sesenta y cinco años de edad. / b) Tener cubierto un período mínimo de cotización de diez años, de los cuales al menos setecientos días deberán estar comprendidos dentro de los siete años inmediatamente anteriores al momento de causar el derecho.</w:t>
      </w:r>
      <w:r>
        <w:t>. Desde 1985, quince</w:t>
      </w:r>
      <w:r>
        <w:t xml:space="preserve"> (Ley 26/1985, art. 2.1)</w:t>
      </w:r>
      <w:r>
        <w:t>, como hoy: «Tener cubierto un período mínimo de cotización de quince años»</w:t>
      </w:r>
      <w:r>
        <w:t xml:space="preserve"> (Ley General de la Seguridad Social, art. 205.1.b)</w:t>
      </w:r>
      <w:r>
        <w:br/>
      </w:r>
      <w:r>
        <w:rPr>
          <w:b/>
        </w:rPr>
        <w:t>leída en su fuente · Ley General de la Seguridad Social, art. 205.1.b</w:t>
      </w:r>
      <w:r>
        <w:br/>
      </w:r>
      <w:r>
        <w:rPr>
          <w:b/>
        </w:rPr>
        <w:t>Archivo leído:</w:t>
      </w:r>
      <w:r>
        <w:t xml:space="preserve"> lgss_rdl8_2015.html (c5\lgss_rdl8_2015.html) · contraste del archivo de pasajes: ✔</w:t>
      </w:r>
      <w:r>
        <w:br/>
      </w:r>
      <w:r>
        <w:rPr>
          <w:b/>
        </w:rPr>
        <w:t>Lugar:</w:t>
      </w:r>
      <w:r>
        <w:t xml:space="preserve"> Art. 205.1.a</w:t>
      </w:r>
      <w:r>
        <w:br/>
      </w:r>
      <w:r>
        <w:rPr>
          <w:b/>
        </w:rPr>
        <w:t>Tal como está en la fuente:</w:t>
      </w:r>
      <w:r>
        <w:t xml:space="preserve"> Tener cubierto un período mínimo de cotización de quince años</w:t>
      </w:r>
      <w:r>
        <w:t>.</w:t>
      </w:r>
    </w:p>
    <w:p>
      <w:pPr>
        <w:pStyle w:val="ListBullet"/>
      </w:pPr>
      <w:r>
        <w:rPr>
          <w:b/>
        </w:rPr>
        <w:t>El paso de diez a quince</w:t>
      </w:r>
      <w:r>
        <w:t xml:space="preserve"> fue gradual: la ley de 1985 sumaba al mínimo anterior «la mitad del tiempo transcurrido» desde su entrada en vigor, «hasta que el período así determinado alcance los quince años»</w:t>
      </w:r>
      <w:r>
        <w:t xml:space="preserve"> (Ley 26/1985, disposición transitoria segunda)</w:t>
      </w:r>
      <w:r>
        <w:br/>
      </w:r>
      <w:r>
        <w:rPr>
          <w:b/>
        </w:rPr>
        <w:t>leída en su fuente · Ley 26/1985, disposición transitoria segunda</w:t>
      </w:r>
      <w:r>
        <w:br/>
      </w:r>
      <w:r>
        <w:rPr>
          <w:b/>
        </w:rPr>
        <w:t>Archivo leído:</w:t>
      </w:r>
      <w:r>
        <w:t xml:space="preserve"> ídem (c9a\ley26_1985_BOE_01-08-1985_A24452-24454.pdf) · contraste del archivo de pasajes: ✔</w:t>
      </w:r>
      <w:r>
        <w:br/>
      </w:r>
      <w:r>
        <w:rPr>
          <w:b/>
        </w:rPr>
        <w:t>Lugar:</w:t>
      </w:r>
      <w:r>
        <w:t xml:space="preserve"> Disposición transitoria segunda, 1</w:t>
      </w:r>
      <w:r>
        <w:br/>
      </w:r>
      <w:r>
        <w:rPr>
          <w:b/>
        </w:rPr>
        <w:t>Tal como está en la fuente:</w:t>
      </w:r>
      <w:r>
        <w:t xml:space="preserve"> 1. Para los trabajadores por cuenta ajena del Régimen General y de los Regímenes Especiales de la Minería del Carbón, Ferroviarios, Agrario y Mar, el período máximo exigible para causar derecho a jubilación será el que resulte de sumar al período mínimo establecido en la legislación anterior, la mitad del tiempo transcurrido entre la fecha de entrada en vigor de la presente Ley y la del hecho causante de la jubilación, hasta que el período así determinado alcance los quince años.</w:t>
      </w:r>
      <w:r>
        <w:br/>
      </w:r>
      <w:r>
        <w:rPr>
          <w:b/>
        </w:rPr>
        <w:t>Traducción guardada:</w:t>
      </w:r>
      <w:r>
        <w:t xml:space="preserve"> el BOE dice «período máximo»</w:t>
      </w:r>
      <w:r>
        <w:t>. Y la de 1974 pedía además que setecientos días estuvieran dentro de los siete años anteriores</w:t>
      </w:r>
      <w:r>
        <w:t xml:space="preserve"> (Decreto 2065/1974, art. 154.1.b)</w:t>
      </w:r>
      <w:r>
        <w:t>.</w:t>
      </w:r>
    </w:p>
    <w:p>
      <w:pPr>
        <w:pStyle w:val="ListBullet"/>
      </w:pPr>
      <w:r>
        <w:rPr>
          <w:b/>
        </w:rPr>
        <w:t>Para calcularla:</w:t>
      </w:r>
      <w:r>
        <w:t xml:space="preserve"> en 1985, con los últimos ocho años: «las bases de cotización del interesado durante los noventa y seis meses inmediatamente anteriores»</w:t>
      </w:r>
      <w:r>
        <w:t xml:space="preserve"> (Ley 26/1985, art. 3.1)</w:t>
      </w:r>
      <w:r>
        <w:br/>
      </w:r>
      <w:r>
        <w:rPr>
          <w:b/>
        </w:rPr>
        <w:t>leída en su fuente · Ley 26/1985, art. 3.1</w:t>
      </w:r>
      <w:r>
        <w:br/>
      </w:r>
      <w:r>
        <w:rPr>
          <w:b/>
        </w:rPr>
        <w:t>Archivo leído:</w:t>
      </w:r>
      <w:r>
        <w:t xml:space="preserve"> ídem (c9a\ley26_1985_BOE_01-08-1985_A24452-24454.pdf) · contraste del archivo de pasajes: ✔</w:t>
      </w:r>
      <w:r>
        <w:br/>
      </w:r>
      <w:r>
        <w:rPr>
          <w:b/>
        </w:rPr>
        <w:t>Tal como está en la fuente:</w:t>
      </w:r>
      <w:r>
        <w:t xml:space="preserve"> Artículo tercero. Base reguladora de las pensiones de jubilación e invalidez permanente derivada de contingencias comunes. / 1. La base reguladora de las pensiones de jubilación e invalidez permanente derivada de enfermedad común será el cociente que resulte dividir por 112 las bases de cotización del interesado durante los noventa y seis meses inmediatamente anteriores a aquél en que se produzca el hecho causante. / El cómputo de dichas bases se realizará conforme a las siguientes reglas, de las que es expresión matemática la fórmula que figura en el anexo de la presente Ley: / Primera: Las bases correspondientes a los veinticuatro meses anteriores a aquel en que se produzca el hecho causante se computarán en su valor nominal. / Segunda: Las restantes bases de cotización se actualizarán de acuerdo con la evolución que haya experimentado el Índice de Precios al Consumo desde los meses a que aquéllas correspondan hasta el mes inmediato anterior a aquél en que se inicie el período de bases no actualizables a que se refiere la regla anterior.</w:t>
      </w:r>
      <w:r>
        <w:t>; desde 2026, con las 302 mejores bases de los últimos 304 meses, unos 25 años</w:t>
      </w:r>
      <w:r>
        <w:t xml:space="preserve"> (Ley General de la Seguridad Social, disposición transitoria cuadragésima)</w:t>
      </w:r>
      <w:r>
        <w:t>; y desde 2037, con las 324 mejores de los últimos 348 meses: los 27 mejores años de los últimos 29</w:t>
      </w:r>
      <w:r>
        <w:t xml:space="preserve"> (art. 209.1)</w:t>
      </w:r>
      <w:r>
        <w:t>.</w:t>
      </w:r>
    </w:p>
    <w:p>
      <w:pPr>
        <w:pStyle w:val="ListBullet"/>
      </w:pPr>
      <w:r>
        <w:rPr>
          <w:b/>
        </w:rPr>
        <w:t>Para cobrarla entera:</w:t>
      </w:r>
      <w:r>
        <w:t xml:space="preserve"> desde 2027, 37 años cotizados: el 50 % por los primeros quince, y el resto mes a mes</w:t>
      </w:r>
      <w:r>
        <w:t xml:space="preserve"> (art. 210.1 y disposición transitoria novena; cálculo de la obra)</w:t>
      </w:r>
      <w:r>
        <w:t>.</w:t>
      </w:r>
    </w:p>
    <w:p>
      <w:pPr>
        <w:pStyle w:val="ListBullet"/>
      </w:pPr>
      <w:r>
        <w:rPr>
          <w:b/>
        </w:rPr>
        <w:t>La edad:</w:t>
      </w:r>
      <w:r>
        <w:t xml:space="preserve"> «Haber cumplido sesenta y siete años de edad, o sesenta y cinco años cuando se acrediten treinta y ocho años y seis meses de cotización»</w:t>
      </w:r>
      <w:r>
        <w:t xml:space="preserve"> (art. 205.1.a)</w:t>
      </w:r>
      <w:r>
        <w:br/>
      </w:r>
      <w:r>
        <w:rPr>
          <w:b/>
        </w:rPr>
        <w:t>leída en su fuente · art. 205.1.a</w:t>
      </w:r>
      <w:r>
        <w:br/>
      </w:r>
      <w:r>
        <w:rPr>
          <w:b/>
        </w:rPr>
        <w:t>Archivo leído:</w:t>
      </w:r>
      <w:r>
        <w:t xml:space="preserve"> lgss_rdl8_2015.html (c5\lgss_rdl8_2015.html) · contraste del archivo de pasajes: ✔</w:t>
      </w:r>
      <w:r>
        <w:br/>
      </w:r>
      <w:r>
        <w:rPr>
          <w:b/>
        </w:rPr>
        <w:t>Lugar:</w:t>
      </w:r>
      <w:r>
        <w:t xml:space="preserve"> Art. 205.1.a</w:t>
      </w:r>
      <w:r>
        <w:br/>
      </w:r>
      <w:r>
        <w:rPr>
          <w:b/>
        </w:rPr>
        <w:t>Tal como está en la fuente:</w:t>
      </w:r>
      <w:r>
        <w:t xml:space="preserve"> Haber cumplido sesenta y siete años de edad, o sesenta y cinco años cuando se acrediten treinta y ocho años y seis meses de cotización</w:t>
      </w:r>
      <w:r>
        <w:t>. La subida desde los 65 se completa en 2027</w:t>
      </w:r>
      <w:r>
        <w:t xml:space="preserve"> (disposición transitoria séptima)</w:t>
      </w:r>
      <w:r>
        <w:t>.</w:t>
      </w:r>
    </w:p>
    <w:p>
      <w:r>
        <w:t>[21.00-16.6; leyes leídas en el BOE]</w:t>
      </w:r>
    </w:p>
    <w:p>
      <w:r>
        <w:rPr>
          <w:b/>
        </w:rPr>
        <w:t>Más carga.</w:t>
      </w:r>
    </w:p>
    <w:p>
      <w:pPr>
        <w:pStyle w:val="ListBullet"/>
      </w:pPr>
      <w:r>
        <w:rPr>
          <w:b/>
        </w:rPr>
        <w:t>Impuestos y cotizaciones:</w:t>
      </w:r>
      <w:r>
        <w:t xml:space="preserve"> lo que pasa por las administraciones por esas dos vías era el 32,3 % del PIB en 1995 y fue el 37,3 % en 2024</w:t>
      </w:r>
      <w:r>
        <w:t xml:space="preserve"> (Eurostat, gov_10a_taxag)</w:t>
      </w:r>
      <w:r>
        <w:t>: unas 18 jornadas más de cada año que en 1995 (cálculo de la obra). No fue una subida continua: pasó del 37,2 % en 2007 al 30,5 % en 2009 y desde entonces ha vuelto a subir.</w:t>
      </w:r>
    </w:p>
    <w:p>
      <w:pPr>
        <w:pStyle w:val="ListBullet"/>
      </w:pPr>
      <w:r>
        <w:rPr>
          <w:b/>
        </w:rPr>
        <w:t>Todos los ingresos públicos,</w:t>
      </w:r>
      <w:r>
        <w:t xml:space="preserve"> también los que no son impuestos, pasaron del 37,9 % del PIB en 2000 al 42,9 % en 2025, el más alto desde 1995, cuando empieza la serie</w:t>
      </w:r>
      <w:r>
        <w:t xml:space="preserve"> (Eurostat, cuentas de las administraciones públicas (gov_10a_main))</w:t>
      </w:r>
      <w:r>
        <w:t>.</w:t>
      </w:r>
    </w:p>
    <w:p>
      <w:pPr>
        <w:pStyle w:val="ListBullet"/>
      </w:pPr>
      <w:r>
        <w:rPr>
          <w:b/>
        </w:rPr>
        <w:t>Por habitante:</w:t>
      </w:r>
      <w:r>
        <w:t xml:space="preserve"> descontados los precios y el aumento de la población, cada habitante aportó en 2024 un 23 % más que en 2002, y un 37 % más en impuestos sobre la renta y el patrimonio (cálculo de la obra con datos de Eurostat y del INE).</w:t>
      </w:r>
    </w:p>
    <w:p>
      <w:pPr>
        <w:pStyle w:val="ListBullet"/>
      </w:pPr>
      <w:r>
        <w:rPr>
          <w:b/>
        </w:rPr>
        <w:t>Sobre el trabajo:</w:t>
      </w:r>
      <w:r>
        <w:t xml:space="preserve"> lo que se lleva el Estado del coste laboral de un asalariado medio, en IRPF y cotizaciones, pasó del 38,6 % en 2000 al 41,4 % en 2025</w:t>
      </w:r>
      <w:r>
        <w:t xml:space="preserve"> (OCDE, Taxing Wages)</w:t>
      </w:r>
      <w:r>
        <w:t xml:space="preserve"> (</w:t>
      </w:r>
      <w:r>
        <w:t>8.4</w:t>
      </w:r>
      <w:r>
        <w:t>), sin el IVA, los tributos municipales ni los impuestos especiales.</w:t>
      </w:r>
    </w:p>
    <w:p>
      <w:r>
        <w:t>[21.00-16.3 a 16.5; OCDE y Eurostat leídos en sus datos oficiales; IPC y población del INE y de Eurostat]</w:t>
      </w:r>
    </w:p>
    <w:p>
      <w:r>
        <w:rPr>
          <w:b/>
        </w:rPr>
        <w:t>Más normas y más trámites.</w:t>
      </w:r>
      <w:r>
        <w:t xml:space="preserve"> Solo en 2024 se publicaron 1.298.086 páginas de boletines oficiales (</w:t>
      </w:r>
      <w:r>
        <w:t>5.2</w:t>
      </w:r>
      <w:r>
        <w:t>, planta 3), y un autónomo dedica unas 226 horas al año a trámites, según una asociación del sector (</w:t>
      </w:r>
      <w:r>
        <w:t>8.4</w:t>
      </w:r>
      <w:r>
        <w:t>). Cumplirlas cuesta: según un estudio privado, del Instituto de Estudios Económicos, otros autores cifran esa pérdida entre el 3 % y el 5 % del PIB, y el propio Instituto estima, «de manera conservadora», que al menos la mitad, entre el 1,5 % y el 2,5 %, viene de que cada administración regule lo mismo a su manera</w:t>
      </w:r>
      <w:r>
        <w:t xml:space="preserve"> (Instituto de Estudios Económicos, Revista del IEE, n.º 4/2022, pp. 16 y 26; estudio privado)</w:t>
      </w:r>
      <w:r>
        <w:t>. Solo esa mitad ya supera lo que se gasta en gobierno, parlamentos y hacienda: el 1,3 % del PIB en 2024</w:t>
      </w:r>
      <w:r>
        <w:t xml:space="preserve"> (Eurostat, gasto por funciones (gov_10a_exp), grupo GF0101)</w:t>
      </w:r>
      <w:r>
        <w:t xml:space="preserve">. </w:t>
      </w:r>
      <w:r>
        <w:t>[21.00-16.7 y 16.8, corregido: el 1,5-2,5 % no es el total de las cargas, sino la parte que el Instituto atribuye a la fragmentación de normas]</w:t>
      </w:r>
    </w:p>
    <w:p>
      <w:r>
        <w:rPr>
          <w:b/>
        </w:rPr>
        <w:t>Una enfermedad que describió Hobbes.</w:t>
      </w:r>
      <w:r>
        <w:t xml:space="preserve"> Hobbes, que llamó al Estado «Dios mortal» (</w:t>
      </w:r>
      <w:r>
        <w:t>6.1</w:t>
      </w:r>
      <w:r>
        <w:t>), dedicó un capítulo a lo que lo debilita. Una de sus enfermedades es la falta de dinero: el soberano aguanta cuanto puede y, cuando ya no puede más, «lucha con el pueblo con estratagemas de ley para obtener pequeñas sumas, que, como no bastan, se ve obligado al fin a abrirse paso por la fuerza para lo que necesita al momento, o perecer»</w:t>
      </w:r>
      <w:r>
        <w:t xml:space="preserve"> [original: «struggles with the people by strategems of Law, to obtain little summes, which not sufficing, he is fain at last violently to open the way for present supply, or Perish»]</w:t>
      </w:r>
      <w:r>
        <w:t xml:space="preserve"> (Hobbes, Leviatán, cap. XXIX)</w:t>
      </w:r>
      <w:r>
        <w:br/>
      </w:r>
      <w:r>
        <w:rPr>
          <w:b/>
        </w:rPr>
        <w:t>leída en su fuente · Hobbes, Leviatán, cap. XXIX</w:t>
      </w:r>
      <w:r>
        <w:br/>
      </w:r>
      <w:r>
        <w:rPr>
          <w:b/>
        </w:rPr>
        <w:t>Archivo leído:</w:t>
      </w:r>
      <w:r>
        <w:t xml:space="preserve"> 10.00_Hobbes_Leviathan_1651_Gutenberg_3207.txt (c6\10.00_Hobbes_Leviathan_1651_Gutenberg_3207.txt) · contraste del archivo de pasajes: ✔</w:t>
      </w:r>
      <w:r>
        <w:br/>
      </w:r>
      <w:r>
        <w:rPr>
          <w:b/>
        </w:rPr>
        <w:t>Lugar:</w:t>
      </w:r>
      <w:r>
        <w:t xml:space="preserve"> Hobbes, Leviatán, cap. XXIX</w:t>
      </w:r>
      <w:r>
        <w:br/>
      </w:r>
      <w:r>
        <w:rPr>
          <w:b/>
        </w:rPr>
        <w:t>Tal como está en la fuente:</w:t>
      </w:r>
      <w:r>
        <w:t xml:space="preserve"> struggles with the people by strategems of Law, to obtain little summes, which not sufficing, he is fain at last violently to open the way for present supply, or Perish</w:t>
      </w:r>
      <w:r>
        <w:t>. La obra encuentra dos estratagemas de ley:</w:t>
      </w:r>
    </w:p>
    <w:p>
      <w:pPr>
        <w:pStyle w:val="ListBullet"/>
      </w:pPr>
      <w:r>
        <w:rPr>
          <w:b/>
        </w:rPr>
        <w:t>Impuestos que suben sin votarse:</w:t>
      </w:r>
      <w:r>
        <w:t xml:space="preserve"> el mínimo exento del IRPF sigue en 5.550 euros desde 2015, mientras los precios subían un 28,0 % (</w:t>
      </w:r>
      <w:r>
        <w:t>5.1</w:t>
      </w:r>
      <w:r>
        <w:t>, n.º 5).</w:t>
      </w:r>
    </w:p>
    <w:p>
      <w:pPr>
        <w:pStyle w:val="ListBullet"/>
      </w:pPr>
      <w:r>
        <w:rPr>
          <w:b/>
        </w:rPr>
        <w:t>Multas que se presupuestan:</w:t>
      </w:r>
      <w:r>
        <w:t xml:space="preserve"> la estructura oficial de los presupuestos de los ayuntamientos tiene un concepto para las multas y, dentro de él, uno propio para las «Multas por infracciones de la Ordenanza de circulación»</w:t>
      </w:r>
      <w:r>
        <w:t xml:space="preserve"> (Orden EHA/3565/2008, anexo IV, concepto 391, subconcepto 391.20)</w:t>
      </w:r>
      <w:r>
        <w:br/>
      </w:r>
      <w:r>
        <w:rPr>
          <w:b/>
        </w:rPr>
        <w:t>leída en su fuente · Orden EHA/3565/2008, anexo IV, concepto 391, subconcepto 391.20</w:t>
      </w:r>
      <w:r>
        <w:br/>
      </w:r>
      <w:r>
        <w:rPr>
          <w:b/>
        </w:rPr>
        <w:t>Archivo leído:</w:t>
      </w:r>
      <w:r>
        <w:t xml:space="preserve"> orden_eha3565_2008_estructura_presupuestos_locales.html (c9a\orden_eha3565_2008_estructura_presupuestos_locales.html) · contraste del archivo de pasajes: ✔</w:t>
      </w:r>
      <w:r>
        <w:br/>
      </w:r>
      <w:r>
        <w:rPr>
          <w:b/>
        </w:rPr>
        <w:t>Lugar:</w:t>
      </w:r>
      <w:r>
        <w:t xml:space="preserve"> Orden EHA/3565/2008, anexo IV, concepto 391, subconcepto 391.20</w:t>
      </w:r>
      <w:r>
        <w:br/>
      </w:r>
      <w:r>
        <w:rPr>
          <w:b/>
        </w:rPr>
        <w:t>Tal como está en la fuente:</w:t>
      </w:r>
      <w:r>
        <w:t xml:space="preserve"> Multas por infracciones de la Ordenanza de circulación</w:t>
      </w:r>
      <w:r>
        <w:t>. El Ayuntamiento de Madrid previó 211,4 millones de euros por multas de circulación en 2024 y reconoció 220,2, un 4,1 % más; en 2023, 199,3 previstos y 213,4 reconocidos, un 7,1 % más</w:t>
      </w:r>
      <w:r>
        <w:t xml:space="preserve"> (Ayuntamiento de Madrid, ejecución del presupuesto de ingresos, datos abiertos)</w:t>
      </w:r>
      <w:r>
        <w:t>. El castigo que se presupuesta antes de cometerse la infracción es lo que las tradiciones separaron del negocio (</w:t>
      </w:r>
      <w:r>
        <w:t>3.2</w:t>
      </w:r>
      <w:r>
        <w:t>, P8).</w:t>
      </w:r>
    </w:p>
    <w:p>
      <w:r>
        <w:t>[21.00-16.10, 16.11 y 16.29; Hobbes leído en inglés (Gutenberg); Orden EHA/3565/2008 leída en el BOE; datos abiertos de Madrid leídos en el original]</w:t>
      </w:r>
    </w:p>
    <w:p>
      <w:r>
        <w:rPr>
          <w:b/>
        </w:rPr>
        <w:t>Lo que hay que reconocer.</w:t>
      </w:r>
    </w:p>
    <w:p>
      <w:pPr>
        <w:pStyle w:val="ListBullet"/>
      </w:pPr>
      <w:r>
        <w:rPr>
          <w:b/>
        </w:rPr>
        <w:t>Se vive más.</w:t>
      </w:r>
      <w:r>
        <w:t xml:space="preserve"> La esperanza de vida a los 65 años pasó de 15,8 años en 1978 a 21,9 en 2024</w:t>
      </w:r>
      <w:r>
        <w:t xml:space="preserve"> (INE, tabla 1415)</w:t>
      </w:r>
      <w:r>
        <w:t>: la pensión se cobra más años, y la edad de jubilación ha subido dos. El gasto en pensiones de vejez es el que más crece: del 6,6 % del PIB en 1995 al 10,4 % en 2024, todavía provisional</w:t>
      </w:r>
      <w:r>
        <w:t xml:space="preserve"> (Eurostat, gasto por funciones (gov_10a_exp))</w:t>
      </w:r>
      <w:r>
        <w:t>.</w:t>
      </w:r>
    </w:p>
    <w:p>
      <w:pPr>
        <w:pStyle w:val="ListBullet"/>
      </w:pPr>
      <w:r>
        <w:rPr>
          <w:b/>
        </w:rPr>
        <w:t>La estructura no crece.</w:t>
      </w:r>
      <w:r>
        <w:t xml:space="preserve"> Lo que se gasta en gobierno, parlamentos y hacienda baja: del 1,5 % del PIB en 1995 al 1,3 % en 2024</w:t>
      </w:r>
      <w:r>
        <w:t xml:space="preserve"> (ídem)</w:t>
      </w:r>
      <w:r>
        <w:t>. El peso de este Leviatán no está en lo que gasta en sí mismo, sino en lo que exige a los demás.</w:t>
      </w:r>
    </w:p>
    <w:p>
      <w:pPr>
        <w:pStyle w:val="ListBullet"/>
      </w:pPr>
      <w:r>
        <w:rPr>
          <w:b/>
        </w:rPr>
        <w:t>Antes se pagaba menos,</w:t>
      </w:r>
      <w:r>
        <w:t xml:space="preserve"> pero el Estado daba mucho menos y no había libertades; y la política económica de aquel régimen «abusó de la regulación económica»</w:t>
      </w:r>
      <w:r>
        <w:t xml:space="preserve"> (Comín, «Sector público y crecimiento económico en la dictadura de Franco», Ayer, 21, 1996, p. 167)</w:t>
      </w:r>
      <w:r>
        <w:br/>
      </w:r>
      <w:r>
        <w:rPr>
          <w:b/>
        </w:rPr>
        <w:t>leída en su fuente · Comín, «Sector público y crecimiento económico en la dictadura de Franco», Ayer, 21, 1996,</w:t>
      </w:r>
      <w:r>
        <w:br/>
      </w:r>
      <w:r>
        <w:rPr>
          <w:b/>
        </w:rPr>
        <w:t>Archivo leído:</w:t>
      </w:r>
      <w:r>
        <w:t xml:space="preserve"> comin_ayer_sector_publico_franco.pdf (c9a\comin_ayer_sector_publico_franco.pdf) · contraste del archivo de pasajes: ✔</w:t>
      </w:r>
      <w:r>
        <w:br/>
      </w:r>
      <w:r>
        <w:rPr>
          <w:b/>
        </w:rPr>
        <w:t>Lugar:</w:t>
      </w:r>
      <w:r>
        <w:t xml:space="preserve"> Literal. Pág. PDF 5 (pág. 167), párrafo que empieza en la 167 y termina en la pág. PDF 6 (pág. 168), entero</w:t>
      </w:r>
      <w:r>
        <w:br/>
      </w:r>
      <w:r>
        <w:rPr>
          <w:b/>
        </w:rPr>
        <w:t>Tal como está en la fuente:</w:t>
      </w:r>
      <w:r>
        <w:t xml:space="preserve"> En Europa, las políticas fiscales expansivas fueron el señuelo que los políticos utilizaron para atraer apoyo electoral hacia sus partidos. La utilidad de la doctrina de Keynes consistió en justificar los nuevos fines buscados por los políticos, que exigían incrementar el gasto público y expandir la empresa pública [nota 4]. Contrariamente, los franquistas de la posguerra mantuvieron las ideas clásicas sobre el equilibrio presupuestario y el control del gasto público; descartaron la política fiscal keynesiana, pero se aferraron al nacionalismo y al intervencionismo extrapresupuestario, así que la política económica del «Estado nuevo» abusó de la regulación económica a través de la fijación administrativa de precios y salarios, de las cuotas a la producción y a la importación, del control de cambios, de las autorizaciones previas a la inversión y del racionamiento de los productos alimenticios y de los inputs industriales. El consumo de productos españoles se convirtió -para la propaganda oficial- en una patente de patriotismo y de orgullo nacional, tan herido por los organismos internacionales como la ONU, que bloquearon diplomáticamente al régimen dictatorial. La única preocupación del gobierno español era asegurar la supervivencia del régimen, y a ese objetivo político se subordinaron los fines sociales y económicos; en consecuencia, el pleno empleo y el crecimiento económico se subordinaron al fin político fundamental. Las autoridades del Ministerio de Hacienda no abrazaron el keynesianismo porque rechazaron las nuevas funciones del Estado providencia.</w:t>
      </w:r>
      <w:r>
        <w:br/>
      </w:r>
      <w:r>
        <w:rPr>
          <w:b/>
        </w:rPr>
        <w:t>Traducción guardada:</w:t>
      </w:r>
      <w:r>
        <w:t xml:space="preserve"> «inputs», en cursiva en el original</w:t>
      </w:r>
      <w:r>
        <w:t>. La forma cambia; el patrón de una estructura que se sostiene sobre la persona permanece.</w:t>
      </w:r>
    </w:p>
    <w:p>
      <w:r>
        <w:t>[21.00-16.12 a 16.15; INE, Eurostat y Comín leídos en el original]</w:t>
      </w:r>
    </w:p>
    <w:p>
      <w:r>
        <w:rPr>
          <w:b/>
        </w:rPr>
        <w:t>Conclusión, lo que arrojan los datos:</w:t>
      </w:r>
      <w:r>
        <w:t xml:space="preserve"> medido con la raíz de su propia palabra, el sistema no cumple: cada generación necesita más años de vida, más normas y más trámites para obtener lo mismo, y el hueco se cubre con deuda. Y muestra una de las enfermedades que describió el propio Hobbes, defensor del poder absoluto: impuestos que suben sin votarse y multas que se presupuestan antes de cometerse la infracción. Este diagnóstico no lo firma el autor: sale de las cuentas y estadísticas del propio Estado (el Tribunal de Cuentas, el INE, la Seguridad Social y el BOE) y de Eurostat y la OCDE. </w:t>
      </w:r>
      <w:r>
        <w:t>[00.0-5.6; 21.00-16.29]</w:t>
      </w:r>
    </w:p>
    <w:p>
      <w:r>
        <w:rPr>
          <w:b/>
        </w:rPr>
        <w:t>Lectura del autor:</w:t>
      </w:r>
      <w:r>
        <w:t xml:space="preserve"> ha llegado a su final. Ha perdido su </w:t>
      </w:r>
      <w:r>
        <w:rPr>
          <w:i/>
        </w:rPr>
        <w:t>auctoritas</w:t>
      </w:r>
      <w:r>
        <w:t xml:space="preserve">, porque ya no hace crecer a quienes lo sostienen, y solo se prolonga a costa de su tiempo de vida y de su futuro. Hobbes dejó escrito que su Leviatán era mortal (abajo); los datos dicen que está enfermo; el autor concluye que ya no tiene motivo para seguir prolongándose tal como es. </w:t>
      </w:r>
      <w:r>
        <w:t>[00.0-5.7; 21.00-16.30]</w:t>
      </w:r>
    </w:p>
    <w:p>
      <w:pPr>
        <w:pStyle w:val="Heading3"/>
      </w:pPr>
      <w:r>
        <w:t>Lo que dicen las leyes de arriba, y lo que hace el sistema</w:t>
      </w:r>
    </w:p>
    <w:p>
      <w:r>
        <w:t>El dictamen sostiene que el sistema contraviene la ley de Dios y la ley natural. Este es el cotejo, punto por punto, con lo ya visto:</w:t>
      </w:r>
    </w:p>
    <w:p>
      <w:pPr>
        <w:pStyle w:val="ListBullet"/>
      </w:pPr>
      <w:r>
        <w:rPr>
          <w:b/>
        </w:rPr>
        <w:t>Remisión de las deudas.</w:t>
      </w:r>
      <w:r>
        <w:t xml:space="preserve"> Cada siete años, remisión; cada cincuenta, jubileo (</w:t>
      </w:r>
      <w:r>
        <w:t>3.3</w:t>
      </w:r>
      <w:r>
        <w:t>). El sistema hace lo contrario: no hay remisión periódica, y la deuda del Estado se paga con deuda nueva y crece (</w:t>
      </w:r>
      <w:r>
        <w:t>8.1</w:t>
      </w:r>
      <w:r>
        <w:t xml:space="preserve"> y </w:t>
      </w:r>
      <w:r>
        <w:t>8.6</w:t>
      </w:r>
      <w:r>
        <w:t>).</w:t>
      </w:r>
    </w:p>
    <w:p>
      <w:pPr>
        <w:pStyle w:val="ListBullet"/>
      </w:pPr>
      <w:r>
        <w:rPr>
          <w:b/>
        </w:rPr>
        <w:t>La deuda como servidumbre.</w:t>
      </w:r>
      <w:r>
        <w:t xml:space="preserve"> «el que toma prestado, siervo es del que empresta» (Pr 22:7; </w:t>
      </w:r>
      <w:r>
        <w:t>5.2</w:t>
      </w:r>
      <w:r>
        <w:t>, planta 5). A final de 2025, la deuda pública era de 34.405 euros por habitante (cálculo de la obra, con la población media de ese año, todavía provisional, de Eurostat).</w:t>
      </w:r>
    </w:p>
    <w:p>
      <w:pPr>
        <w:pStyle w:val="ListBullet"/>
      </w:pPr>
      <w:r>
        <w:rPr>
          <w:b/>
        </w:rPr>
        <w:t>La usura</w:t>
      </w:r>
      <w:r>
        <w:t xml:space="preserve"> (</w:t>
      </w:r>
      <w:r>
        <w:t>3.3</w:t>
      </w:r>
      <w:r>
        <w:t>). El sistema se sostiene sobre deuda con intereses: 38.793 millones de euros en 2024 (</w:t>
      </w:r>
      <w:r>
        <w:t>8.6</w:t>
      </w:r>
      <w:r>
        <w:t>). La Torá la prohíbe en el préstamo al pobre y al hermano; aplicarla a la deuda de un Estado es extensión del autor.</w:t>
      </w:r>
    </w:p>
    <w:p>
      <w:pPr>
        <w:pStyle w:val="ListBullet"/>
      </w:pPr>
      <w:r>
        <w:rPr>
          <w:b/>
        </w:rPr>
        <w:t>Pesas justas</w:t>
      </w:r>
      <w:r>
        <w:t xml:space="preserve"> (</w:t>
      </w:r>
      <w:r>
        <w:t>3.2</w:t>
      </w:r>
      <w:r>
        <w:t>, P4). El dinero pierde valor en manos de quien lo emite (</w:t>
      </w:r>
      <w:r>
        <w:t>8.3</w:t>
      </w:r>
      <w:r>
        <w:t>).</w:t>
      </w:r>
    </w:p>
    <w:p>
      <w:pPr>
        <w:pStyle w:val="ListBullet"/>
      </w:pPr>
      <w:r>
        <w:rPr>
          <w:b/>
        </w:rPr>
        <w:t>Nadie es juez en su propia causa</w:t>
      </w:r>
      <w:r>
        <w:t xml:space="preserve"> (</w:t>
      </w:r>
      <w:r>
        <w:t>1.7</w:t>
      </w:r>
      <w:r>
        <w:t>). El Estado se excluye, por su propia ley, del concurso de acreedores (</w:t>
      </w:r>
      <w:r>
        <w:t>5.1</w:t>
      </w:r>
      <w:r>
        <w:t>, n.º 7).</w:t>
      </w:r>
    </w:p>
    <w:p>
      <w:pPr>
        <w:pStyle w:val="ListBullet"/>
      </w:pPr>
      <w:r>
        <w:rPr>
          <w:b/>
        </w:rPr>
        <w:t>La ley humana que contradice a la natural</w:t>
      </w:r>
      <w:r>
        <w:t xml:space="preserve"> «ya no será ley, sino corrupción de la ley» (</w:t>
      </w:r>
      <w:r>
        <w:t>1.1</w:t>
      </w:r>
      <w:r>
        <w:t>).</w:t>
      </w:r>
    </w:p>
    <w:p>
      <w:r>
        <w:t>[21.00-16.18 a 16.24; 21.00-16.24, corregido: «ya no será ley», como en 1.1; la deuda por habitante, con los datos de 2025, como el resto del apartado]</w:t>
      </w:r>
    </w:p>
    <w:p>
      <w:pPr>
        <w:pStyle w:val="Heading3"/>
      </w:pPr>
      <w:r>
        <w:t>La espada que juzga</w:t>
      </w:r>
    </w:p>
    <w:p>
      <w:r>
        <w:rPr>
          <w:b/>
        </w:rPr>
        <w:t>Lo que escribió Hobbes.</w:t>
      </w:r>
      <w:r>
        <w:t xml:space="preserve"> Al cerrar la parte de su obra dedicada al poder del Estado, Hobbes explica de dónde tomó el nombre: de los dos últimos versículos de Job 41, donde Dios, tras describir el gran poder del Leviatán, lo llama «rey de los soberbios»</w:t>
      </w:r>
      <w:r>
        <w:t xml:space="preserve"> [original: «King of the Proud»]</w:t>
      </w:r>
      <w:r>
        <w:t>. Y sigue: «pero porque es mortal y está sujeto a la decadencia, como todas las demás criaturas terrenas, y porque hay algo en el cielo, aunque no en la tierra, a lo que debe temer y cuyas leyes debe obedecer»</w:t>
      </w:r>
      <w:r>
        <w:t xml:space="preserve"> [original: «But because he is mortall, and subject to decay, as all other Earthly creatures are; and because there is that in heaven, (though not on earth) that he should stand in fear of, and whose Lawes he ought to obey»]</w:t>
      </w:r>
      <w:r>
        <w:t>, dedicará los capítulos siguientes a «sus enfermedades y las causas de su mortalidad, y a qué leyes de la naturaleza está obligado a obedecer»</w:t>
      </w:r>
      <w:r>
        <w:t xml:space="preserve"> [original: «his Diseases, and the causes of his Mortality; and of what Lawes of Nature he is bound to obey»]</w:t>
      </w:r>
      <w:r>
        <w:t xml:space="preserve"> (Hobbes, Leviatán, final del cap. XXVIII)</w:t>
      </w:r>
      <w:r>
        <w:br/>
      </w:r>
      <w:r>
        <w:rPr>
          <w:b/>
        </w:rPr>
        <w:t>leída en su fuente · Hobbes, Leviatán, final del cap. XXVIII</w:t>
      </w:r>
      <w:r>
        <w:br/>
      </w:r>
      <w:r>
        <w:rPr>
          <w:b/>
        </w:rPr>
        <w:t>Archivo leído:</w:t>
      </w:r>
      <w:r>
        <w:t xml:space="preserve"> 10.00_Hobbes_Leviathan_1651_Gutenberg_3207.txt (c6\10.00_Hobbes_Leviathan_1651_Gutenberg_3207.txt) · contraste del archivo de pasajes: ✔</w:t>
      </w:r>
      <w:r>
        <w:br/>
      </w:r>
      <w:r>
        <w:rPr>
          <w:b/>
        </w:rPr>
        <w:t>Lugar:</w:t>
      </w:r>
      <w:r>
        <w:t xml:space="preserve"> Líneas 10554-10567</w:t>
      </w:r>
      <w:r>
        <w:br/>
      </w:r>
      <w:r>
        <w:rPr>
          <w:b/>
        </w:rPr>
        <w:t>Dirección:</w:t>
      </w:r>
      <w:r>
        <w:t xml:space="preserve"> </w:t>
      </w:r>
      <w:r>
        <w:t>https://www.gutenberg.org/cache/epub/3207/pg3207.txt</w:t>
      </w:r>
      <w:r>
        <w:br/>
      </w:r>
      <w:r>
        <w:rPr>
          <w:b/>
        </w:rPr>
        <w:t>Tal como está en la fuente:</w:t>
      </w:r>
      <w:r>
        <w:t xml:space="preserve"> Hitherto I have set forth the nature of Man, […] whom I compared to Leviathan, taking that comparison out of the two last verses of the one and fortieth of Job; where God having set forth the great power of Leviathan, called him King of the Proud. […] But because he is mortall, and subject to decay, as all other Earthly creatures are; and because there is that in heaven, (though not on earth) that he should stand in fear of, and whose Lawes he ought to obey; I shall in the next following Chapters speak of his Diseases, and the causes of his Mortality; and of what Lawes of Nature he is bound to obey.</w:t>
      </w:r>
      <w:r>
        <w:t>. La portada de 1651 recoge el versículo cortado (</w:t>
      </w:r>
      <w:r>
        <w:t>6.1</w:t>
      </w:r>
      <w:r>
        <w:t xml:space="preserve">); la Vulgata continúa: «qui factus est ut nullum timeret» (que fue hecho para no temer a nadie) (Job 41:24). </w:t>
      </w:r>
      <w:r>
        <w:t>[00.0-5.12; 21.00-16.24; Hobbes leído en inglés (Gutenberg)]</w:t>
      </w:r>
    </w:p>
    <w:p>
      <w:r>
        <w:rPr>
          <w:b/>
        </w:rPr>
        <w:t>Lectura del autor:</w:t>
      </w:r>
      <w:r>
        <w:t xml:space="preserve"> el hallazgo de Hobbes es la espada que juzga al Leviatán. En la portada, el Leviatán empuña una espada; la que lo juzga es otra. No una espada de hierro, sino la palabra, «más penetrante que toda espada de dos filos», que «discierne los pensamientos y las intenciones del corazón»</w:t>
      </w:r>
      <w:r>
        <w:t xml:space="preserve"> (Heb 4:12)</w:t>
      </w:r>
      <w:r>
        <w:br/>
      </w:r>
      <w:r>
        <w:rPr>
          <w:b/>
        </w:rPr>
        <w:t>leída en su fuente · Heb 4:12</w:t>
      </w:r>
      <w:r>
        <w:br/>
      </w:r>
      <w:r>
        <w:rPr>
          <w:b/>
        </w:rPr>
        <w:t>Archivo leído:</w:t>
      </w:r>
      <w:r>
        <w:t xml:space="preserve"> heb_4_12_rva.html (c9a\heb_4_12_rva.html) · contraste del archivo de pasajes: ✔</w:t>
      </w:r>
      <w:r>
        <w:br/>
      </w:r>
      <w:r>
        <w:rPr>
          <w:b/>
        </w:rPr>
        <w:t>Lugar:</w:t>
      </w:r>
      <w:r>
        <w:t xml:space="preserve"> passage-text, v. 12</w:t>
      </w:r>
      <w:r>
        <w:br/>
      </w:r>
      <w:r>
        <w:rPr>
          <w:b/>
        </w:rPr>
        <w:t>Dirección:</w:t>
      </w:r>
      <w:r>
        <w:t xml:space="preserve"> </w:t>
      </w:r>
      <w:r>
        <w:t>https://www.biblegateway.com/passage/?search=Hebrews+4%3A12&amp;version=RVA</w:t>
      </w:r>
      <w:r>
        <w:br/>
      </w:r>
      <w:r>
        <w:rPr>
          <w:b/>
        </w:rPr>
        <w:t>Tal como está en la fuente:</w:t>
      </w:r>
      <w:r>
        <w:t xml:space="preserve"> Porque la palabra de Dios es viva y eficaz, y más penetrante que toda espada de dos filos: y que alcanza hasta partir el alma, y aun el espíritu, y las coyunturas y tuétanos, y discierne los pensamientos y las intenciones del corazón.</w:t>
      </w:r>
      <w:r>
        <w:t>: la ley que su propio autor reconoció por encima de él, la ley de Dios recogida en los libros sagrados y la ley natural. Discernir es separar. La auditoría es el aventador que separa el trigo de la paja (Mt 3:12): lo que sirve al bien común, de lo que lo daña. Y se hace con la prudencia de la parábola: «cogiendo la cizaña, no arranquéis también con ella el trigo»</w:t>
      </w:r>
      <w:r>
        <w:t xml:space="preserve"> (Mt 13:29)</w:t>
      </w:r>
      <w:r>
        <w:br/>
      </w:r>
      <w:r>
        <w:rPr>
          <w:b/>
        </w:rPr>
        <w:t>leída en su fuente · Mt 13:29</w:t>
      </w:r>
      <w:r>
        <w:br/>
      </w:r>
      <w:r>
        <w:rPr>
          <w:b/>
        </w:rPr>
        <w:t>Archivo leído:</w:t>
      </w:r>
      <w:r>
        <w:t xml:space="preserve"> mt_13_29_rva.html (c9a\mt_13_29_rva.html) · contraste del archivo de pasajes: ✔</w:t>
      </w:r>
      <w:r>
        <w:br/>
      </w:r>
      <w:r>
        <w:rPr>
          <w:b/>
        </w:rPr>
        <w:t>Lugar:</w:t>
      </w:r>
      <w:r>
        <w:t xml:space="preserve"> passage-text, v. 29</w:t>
      </w:r>
      <w:r>
        <w:br/>
      </w:r>
      <w:r>
        <w:rPr>
          <w:b/>
        </w:rPr>
        <w:t>Dirección:</w:t>
      </w:r>
      <w:r>
        <w:t xml:space="preserve"> </w:t>
      </w:r>
      <w:r>
        <w:t>https://www.biblegateway.com/passage/?search=Matthew+13%3A29&amp;version=RVA</w:t>
      </w:r>
      <w:r>
        <w:br/>
      </w:r>
      <w:r>
        <w:rPr>
          <w:b/>
        </w:rPr>
        <w:t>Tal como está en la fuente:</w:t>
      </w:r>
      <w:r>
        <w:t xml:space="preserve"> Y él dijo: No; porque cogiendo la cizaña, no arranquéis también con ella el trigo.</w:t>
      </w:r>
      <w:r>
        <w:t xml:space="preserve">. Se separa caso a caso, con pruebas; la siega final no es nuestra. </w:t>
      </w:r>
      <w:r>
        <w:t>[00.0-5.12 y 5.13; Heb 4:12, Mt 3:12 y Mt 13:29 en la Reina-Valera Antigua]</w:t>
      </w:r>
    </w:p>
    <w:p>
      <w:pPr>
        <w:pStyle w:val="Heading3"/>
      </w:pPr>
      <w:r>
        <w:t>El dictamen</w:t>
      </w:r>
    </w:p>
    <w:p>
      <w:r>
        <w:rPr>
          <w:b/>
        </w:rPr>
        <w:t>El formato.</w:t>
      </w:r>
      <w:r>
        <w:t xml:space="preserve"> La ley de auditoría dice que la opinión del auditor sobre si las cuentas «ofrecen la imagen fiel» de la entidad «podrá revestir cuatro modalidades: favorable, con salvedades, desfavorable o denegada», y que se indicarán, en su caso, las «incertidumbres significativas o materiales» que pudieran hacer dudar de su capacidad «para continuar como empresa en funcionamiento»</w:t>
      </w:r>
      <w:r>
        <w:t xml:space="preserve"> (Ley 22/2015, de Auditoría de Cuentas, art. 5.1.e)</w:t>
      </w:r>
      <w:r>
        <w:br/>
      </w:r>
      <w:r>
        <w:rPr>
          <w:b/>
        </w:rPr>
        <w:t>leída en su fuente · Ley 22/2015, de Auditoría de Cuentas, art. 5.1.e</w:t>
      </w:r>
      <w:r>
        <w:br/>
      </w:r>
      <w:r>
        <w:rPr>
          <w:b/>
        </w:rPr>
        <w:t>Archivo leído:</w:t>
      </w:r>
      <w:r>
        <w:t xml:space="preserve"> ley22_2015_auditoria_cuentas.html (c9a\ley22_2015_auditoria_cuentas.html) · contraste del archivo de pasajes: ✔</w:t>
      </w:r>
      <w:r>
        <w:br/>
      </w:r>
      <w:r>
        <w:rPr>
          <w:b/>
        </w:rPr>
        <w:t>Lugar:</w:t>
      </w:r>
      <w:r>
        <w:t xml:space="preserve"> Art. 5.1 (#a5), letra e), entera</w:t>
      </w:r>
      <w:r>
        <w:br/>
      </w:r>
      <w:r>
        <w:rPr>
          <w:b/>
        </w:rPr>
        <w:t>Dirección:</w:t>
      </w:r>
      <w:r>
        <w:t xml:space="preserve"> </w:t>
      </w:r>
      <w:r>
        <w:t>https://www.boe.es/buscar/act.php?id=BOE-A-2015-8147</w:t>
      </w:r>
      <w:r>
        <w:br/>
      </w:r>
      <w:r>
        <w:rPr>
          <w:b/>
        </w:rPr>
        <w:t>Tal como está en la fuente:</w:t>
      </w:r>
      <w:r>
        <w:t xml:space="preserve"> e) Una opinión técnica en la que se manifestará, de forma clara y precisa, si las cuentas anuales ofrecen la imagen fiel del patrimonio, de la situación financiera y de los resultados de la entidad auditada, de acuerdo con el marco normativo de información financiera que resulte de aplicación y, en particular, con los principios y criterios contables contenidos en el mismo. / La opinión podrá revestir cuatro modalidades: favorable, con salvedades, desfavorable o denegada. / Cuando no existan salvedades la opinión será favorable. / En el caso de que existan tales salvedades, deberán reflejarse todas ellas en el informe y la opinión técnica será con salvedades, desfavorable o denegada. / Asimismo, se indicarán, en su caso, las posibles incertidumbres significativas o materiales relacionadas con hechos o condiciones que pudieran suscitar dudas significativas sobre la capacidad de la entidad auditada para continuar como empresa en funcionamiento. / También se hará referencia a las cuestiones que, no constituyendo una salvedad, el auditor de cuentas deba o considere necesario destacar a fin de enfatizarlas.</w:t>
      </w:r>
      <w:r>
        <w:br/>
      </w:r>
      <w:r>
        <w:rPr>
          <w:b/>
        </w:rPr>
        <w:t>Traducción guardada:</w:t>
      </w:r>
      <w:r>
        <w:t xml:space="preserve"> la barra separa párrafos</w:t>
      </w:r>
      <w:r>
        <w:t>. La obra usa ese formato para que su conclusión se lea con categorías conocidas, no para darle un valor oficial que no tiene: no es un auditor inscrito. Lo llama dictamen, y reserva la palabra «veredicto» para lo que decida el jurado del juicio popular (</w:t>
      </w:r>
      <w:r>
        <w:t>capítulo 11</w:t>
      </w:r>
      <w:r>
        <w:t xml:space="preserve">; </w:t>
      </w:r>
      <w:r>
        <w:t>H.7</w:t>
      </w:r>
      <w:r>
        <w:t xml:space="preserve">). </w:t>
      </w:r>
      <w:r>
        <w:t>[00.0-5.15; 00.0-6.10; Ley 22/2015 leída en el BOE]</w:t>
      </w:r>
    </w:p>
    <w:p>
      <w:r>
        <w:rPr>
          <w:b/>
        </w:rPr>
        <w:t>El dictamen de esta obra sobre el sistema es: OPINIÓN DESFAVORABLE.</w:t>
      </w:r>
      <w:r>
        <w:t xml:space="preserve"> Sus cuentas no ofrecen la imagen fiel de lo que debe a los ciudadanos, y existe una incertidumbre material sobre su capacidad para continuar tal como es. La piedra de todo el dictamen está en 5.4: el pueblo no consintió; nació dentro y lo aceptó sin saberlo, y lo que se sostiene solo en presunciones se disuelve cuando se pide la prueba. </w:t>
      </w:r>
      <w:r>
        <w:t>[00.0-5.14 y 5.15]</w:t>
      </w:r>
    </w:p>
    <w:p>
      <w:r>
        <w:rPr>
          <w:b/>
        </w:rPr>
        <w:t>Lo que anuncia, y lo que no.</w:t>
      </w:r>
      <w:r>
        <w:t xml:space="preserve"> Por eso el autor anuncia el cierre de esta forma de gobierno: no de la comunidad, ni del orden, ni de la ley, sino de un sistema que ha agotado su </w:t>
      </w:r>
      <w:r>
        <w:rPr>
          <w:i/>
        </w:rPr>
        <w:t>auctoritas</w:t>
      </w:r>
      <w:r>
        <w:t>. El camino no es el vacío: es el método de esta obra, la petición documentada, la metamorfosis del Estado a la que se invita (</w:t>
      </w:r>
      <w:r>
        <w:t>0.2</w:t>
      </w:r>
      <w:r>
        <w:t xml:space="preserve">) y la puerta que la propia Constitución dejó abierta, la revisión total (art. 168; </w:t>
      </w:r>
      <w:r>
        <w:t>5.2</w:t>
      </w:r>
      <w:r>
        <w:t xml:space="preserve">, planta 2), que se ve en el </w:t>
      </w:r>
      <w:r>
        <w:t>capítulo 10</w:t>
      </w:r>
      <w:r>
        <w:t>. Este dictamen no exime a nadie de sus obligaciones vigentes (</w:t>
      </w:r>
      <w:r>
        <w:t>0.2</w:t>
      </w:r>
      <w:r>
        <w:t xml:space="preserve">): es el diagnóstico que funda la reforma, no una orden de desobediencia. </w:t>
      </w:r>
      <w:r>
        <w:t>[00.0-5.16 y 5.17]</w:t>
      </w:r>
    </w:p>
    <w:p>
      <w:r>
        <w:t>[Dónde está la prueba, según el Pórtico: 21.00, sección 12; 20.00; 22.00; 24.00; 25.00; y la auditoría de España, 14.00 a 19.00 (00.0-5.18)]</w:t>
      </w:r>
    </w:p>
    <w:p>
      <w:pPr>
        <w:pStyle w:val="Heading2"/>
      </w:pPr>
      <w:r>
        <w:t>9.2 La forma sin sustancia, y cuando el pueblo retira la legitimidad</w:t>
      </w:r>
    </w:p>
    <w:p>
      <w:pPr>
        <w:pBdr>
          <w:left w:val="single" w:sz="24" w:space="6" w:color="E2DED6"/>
        </w:pBdr>
        <w:shd w:val="clear" w:color="auto" w:fill="F1EEE8"/>
        <w:spacing w:before="80" w:after="160"/>
        <w:ind w:left="142" w:right="142"/>
      </w:pPr>
      <w:r>
        <w:rPr>
          <w:b/>
        </w:rPr>
        <w:t>La idea: algunas tradiciones dieron al pueblo o a sus consejos un modo de retirar a quien gobierna sin sustancia. Cuando ese modo no existe, o falla, la historia muestra una secuencia que se repite: primero se agota la sustancia del poder, y solo después el pueblo deja de sostenerlo.</w:t>
      </w:r>
    </w:p>
    <w:p>
      <w:r>
        <w:rPr>
          <w:b/>
        </w:rPr>
        <w:t>Lo que dejó la convergencia.</w:t>
      </w:r>
      <w:r>
        <w:t xml:space="preserve"> De las cuatro tradiciones que en </w:t>
      </w:r>
      <w:r>
        <w:t>7.5</w:t>
      </w:r>
      <w:r>
        <w:t xml:space="preserve"> hicieron de la corrección una institución, los veedores incas vigilaban el poder delegado, no al Inca. Las otras tres llegan más arriba, y cada una es de un tipo distinto: la destitución del jefe, que cualquiera del pueblo podía iniciar (los ashanti); la autoridad que nombra y que retira, las mujeres a quienes pertenece el título (los iroqueses); y el código escrito con el que una comunidad se corrige por dentro, con penas graduadas (la Regla de Qumrán), que, por ser normas escritas, es la que más se parece a lo que intenta ser un Estado moderno. Y un matiz que debe ir siempre junto al hallazgo: ni los ashanti ni los iroqueses, con los mejores mecanismos internos de corrección de los casos estudiados, pudieron impedir la conquista o el desplazamiento por potencias de fuera. Los ashanti fueron conquistados por los británicos entre 1896 y 1901 y declarados colonia de la Corona el 1 de enero de 1902</w:t>
      </w:r>
      <w:r>
        <w:t xml:space="preserve"> (Encyclopaedia Britannica, «Asante empire» y «Ghana»; fuente secundaria)</w:t>
      </w:r>
      <w:r>
        <w:t>. Los iroqueses, divididos en la guerra de independencia de Estados Unidos, cedieron en 1784 «todo derecho sobre el territorio» al oeste de la nueva frontera</w:t>
      </w:r>
      <w:r>
        <w:t xml:space="preserve"> [original: «all claims to the country west of the said boundary»]</w:t>
      </w:r>
      <w:r>
        <w:t xml:space="preserve"> (tratado de Fort Stanwix, 22-10-1784, art. III (Avalon Project))</w:t>
      </w:r>
      <w:r>
        <w:t xml:space="preserve">. Corregirse por dentro y resistir la fuerza de fuera son dos problemas distintos, y ninguno de los pueblos estudiados resolvió los dos a la vez. </w:t>
      </w:r>
      <w:r>
        <w:t>[19.00-11.1, corregido: el 7.5 cuenta cuatro, con los incas; el «procedimiento de garantías» de Qumrán no se ha leído; fechas leídas en Britannica y en el tratado]</w:t>
      </w:r>
    </w:p>
    <w:p>
      <w:r>
        <w:rPr>
          <w:b/>
        </w:rPr>
        <w:t>Cuando no hay mecanismo, o ha fallado.</w:t>
      </w:r>
      <w:r>
        <w:t xml:space="preserve"> Hay otro patrón, distinto: lo que ocurre cuando ningún mecanismo interno de corrección existe o ya ha fallado, y la sustancia del poder se ha vaciado tanto que el pueblo, sin decreto ni autorización de nadie, deja de sostenerlo con su obediencia. Es la servidumbre voluntaria vista del revés: uno solo manda porque muchos se lo dan (</w:t>
      </w:r>
      <w:r>
        <w:t>4.1</w:t>
      </w:r>
      <w:r>
        <w:t>), y deja de mandar cuando dejan de dárselo. Es también la deslegitimación, la «acción de privar de legitimidad» (</w:t>
      </w:r>
      <w:r>
        <w:t>6.3</w:t>
      </w:r>
      <w:r>
        <w:t xml:space="preserve">). Diez casos, cada uno con su fecha y su fuente, como hecho histórico comparado y no como manual de instrucciones: cada uno tuvo su causa, su proceso y sus consecuencias, y no todos terminaron igual de bien para quienes participaron. </w:t>
      </w:r>
      <w:r>
        <w:t>[19.00-12.1]</w:t>
      </w:r>
    </w:p>
    <w:p>
      <w:r>
        <w:rPr>
          <w:b/>
        </w:rPr>
        <w:t>Los diez casos.</w:t>
      </w:r>
    </w:p>
    <w:p>
      <w:pPr>
        <w:spacing w:after="60"/>
        <w:ind w:left="510" w:hanging="397"/>
      </w:pPr>
      <w:r>
        <w:rPr>
          <w:b w:val="0"/>
        </w:rPr>
        <w:t xml:space="preserve">1. </w:t>
      </w:r>
      <w:r>
        <w:rPr>
          <w:b/>
        </w:rPr>
        <w:t>Inglaterra, 1688-1689.</w:t>
      </w:r>
      <w:r>
        <w:t xml:space="preserve"> El rey Jacobo II quería eximir a los católicos de las restricciones de la ley que exigía un juramento religioso para los cargos públicos; cuando el Parlamento se le resistió, lo suspendió en 1685 y lo disolvió en 1687</w:t>
      </w:r>
      <w:r>
        <w:t xml:space="preserve"> (Parlamento del Reino Unido, «The reign of James II» (El reinado de Jacobo II); fuente secundaria)</w:t>
      </w:r>
      <w:r>
        <w:t>. El 30 de junio de 1688, siete ingleses destacados escribieron a Guillermo de Orange para invitarle a venir; el rey no se atrevió a arriesgar su ejército en una batalla y huyó el 23 de diciembre</w:t>
      </w:r>
      <w:r>
        <w:t xml:space="preserve"> (Encyclopaedia Britannica, «James II»; fuente secundaria)</w:t>
      </w:r>
      <w:r>
        <w:t>. En 1689, la Declaración de Derechos dejó escrito «que el pretendido poder de suspender las leyes o su ejecución por autoridad real, sin consentimiento del Parlamento, es ilegal»</w:t>
      </w:r>
      <w:r>
        <w:t xml:space="preserve"> [original: «That the pretended Power of Suspending of Laws or the Execution of Laws by Regall Authority without Consent of Parlyament is illegall»]</w:t>
      </w:r>
      <w:r>
        <w:t xml:space="preserve"> (Bill of Rights, 1688 c. 2 (legislation.gov.uk))</w:t>
      </w:r>
      <w:r>
        <w:br/>
      </w:r>
      <w:r>
        <w:rPr>
          <w:b/>
        </w:rPr>
        <w:t>leída en su fuente · Bill of Rights, 1688 c. 2 (legislation.gov.uk)</w:t>
      </w:r>
      <w:r>
        <w:br/>
      </w:r>
      <w:r>
        <w:rPr>
          <w:b/>
        </w:rPr>
        <w:t>Archivo leído:</w:t>
      </w:r>
      <w:r>
        <w:t xml:space="preserve"> c1_bill_of_rights_1689_legislation_gov_uk.html · contraste del archivo de pasajes: ✘</w:t>
      </w:r>
      <w:r>
        <w:br/>
      </w:r>
      <w:r>
        <w:rPr>
          <w:b/>
        </w:rPr>
        <w:t>Lugar:</w:t>
      </w:r>
      <w:r>
        <w:t xml:space="preserve"> l. 106</w:t>
      </w:r>
      <w:r>
        <w:br/>
      </w:r>
      <w:r>
        <w:rPr>
          <w:b/>
        </w:rPr>
        <w:t>Dirección:</w:t>
      </w:r>
      <w:r>
        <w:t xml:space="preserve"> </w:t>
      </w:r>
      <w:r>
        <w:t>https://www.legislation.gov.uk/aep/WillandMarSess2/1/2</w:t>
      </w:r>
      <w:r>
        <w:br/>
      </w:r>
      <w:r>
        <w:rPr>
          <w:b/>
        </w:rPr>
        <w:t>Tal como está en la fuente:</w:t>
      </w:r>
      <w:r>
        <w:t xml:space="preserve"> Que el pretendido poder de suspender las leyes o su ejecución por autoridad real, sin consentimiento del Parlamento, es ilegal.</w:t>
      </w:r>
      <w:r>
        <w:t>.</w:t>
      </w:r>
    </w:p>
    <w:p>
      <w:pPr>
        <w:spacing w:after="60"/>
        <w:ind w:left="510" w:hanging="397"/>
      </w:pPr>
      <w:r>
        <w:rPr>
          <w:b w:val="0"/>
        </w:rPr>
        <w:t xml:space="preserve">2. </w:t>
      </w:r>
      <w:r>
        <w:rPr>
          <w:b/>
        </w:rPr>
        <w:t>La India, 1930-1947.</w:t>
      </w:r>
      <w:r>
        <w:t xml:space="preserve"> El 12 de marzo de 1930, Gandhi salió a pie hacia el mar; el 5 de abril llegó a Dandi, tras unos 385 kilómetros, y la mañana del 6 recogió un puñado de sal: técnicamente, producir sal, que era monopolio británico, y violar la ley</w:t>
      </w:r>
      <w:r>
        <w:t xml:space="preserve"> (Encyclopaedia Britannica, «Salt March» (La marcha de la sal); fuente secundaria)</w:t>
      </w:r>
      <w:r>
        <w:t>. A finales de año, unas 60.000 personas estaban en la cárcel</w:t>
      </w:r>
      <w:r>
        <w:t xml:space="preserve"> (ídem)</w:t>
      </w:r>
      <w:r>
        <w:t>; a él lo detuvieron el 5 de mayo</w:t>
      </w:r>
      <w:r>
        <w:t xml:space="preserve"> (Gandhi Heritage Portal (archivo del áshram de Sabarmati); fuente secundaria)</w:t>
      </w:r>
      <w:r>
        <w:t>. Diecisiete años después, una ley británica dispuso que desde el 15 de agosto de 1947 se establecieran «dos dominios independientes», la India y Pakistán</w:t>
      </w:r>
      <w:r>
        <w:t xml:space="preserve"> [original: «two independent Dominions shall be set up in India, to be known respectively as India and Pakistan»]</w:t>
      </w:r>
      <w:r>
        <w:t xml:space="preserve"> (Indian Independence Act 1947, sección 1.1 (legislation.gov.uk))</w:t>
      </w:r>
      <w:r>
        <w:t>.</w:t>
      </w:r>
    </w:p>
    <w:p>
      <w:pPr>
        <w:spacing w:after="60"/>
        <w:ind w:left="510" w:hanging="397"/>
      </w:pPr>
      <w:r>
        <w:rPr>
          <w:b w:val="0"/>
        </w:rPr>
        <w:t xml:space="preserve">3. </w:t>
      </w:r>
      <w:r>
        <w:rPr>
          <w:b/>
        </w:rPr>
        <w:t>Polonia, 1980-1989.</w:t>
      </w:r>
      <w:r>
        <w:t xml:space="preserve"> En el verano de 1980 estallaron huelgas contra la subida de la carne; el 14 de agosto paró el astillero de Gdańsk, y el 31 se firmó el acuerdo que admitía «nuevos sindicatos autogestionados»</w:t>
      </w:r>
      <w:r>
        <w:t xml:space="preserve"> [original: «nowych, samorządnych związków zawodowych»]</w:t>
      </w:r>
      <w:r>
        <w:t xml:space="preserve"> (Instituto de la Memoria Nacional de Polonia (IPN); fuente secundaria)</w:t>
      </w:r>
      <w:r>
        <w:br/>
      </w:r>
      <w:r>
        <w:rPr>
          <w:b/>
        </w:rPr>
        <w:t>leída en su fuente · Instituto de la Memoria Nacional de Polonia (IPN); fuente secundaria</w:t>
      </w:r>
      <w:r>
        <w:br/>
      </w:r>
      <w:r>
        <w:rPr>
          <w:b/>
        </w:rPr>
        <w:t>Archivo leído:</w:t>
      </w:r>
      <w:r>
        <w:t xml:space="preserve"> c3_ipn_gdansk_41_lat_porozumienia.html; c3_ipn_przystanekhistoria_porozumienia_1980.html; c3_britannica_solidarity.html · contraste del archivo de pasajes: ✘</w:t>
      </w:r>
      <w:r>
        <w:br/>
      </w:r>
      <w:r>
        <w:rPr>
          <w:b/>
        </w:rPr>
        <w:t>Lugar:</w:t>
      </w:r>
      <w:r>
        <w:t xml:space="preserve"> IPN Gdańsk l. 253</w:t>
      </w:r>
      <w:r>
        <w:br/>
      </w:r>
      <w:r>
        <w:rPr>
          <w:b/>
        </w:rPr>
        <w:t>Tal como está en la fuente:</w:t>
      </w:r>
      <w:r>
        <w:t xml:space="preserve"> la creación de nuevos sindicatos autogestionados que fuesen auténtico representante de la clase trabajadora</w:t>
      </w:r>
      <w:r>
        <w:t>. Solidaridad fue el primer sindicato independiente en un país del bloque soviético</w:t>
      </w:r>
      <w:r>
        <w:t xml:space="preserve"> (Encyclopaedia Britannica, «Solidarity»; fuente secundaria)</w:t>
      </w:r>
      <w:r>
        <w:t>. Con la ley marcial, implantada el 13 de diciembre de 1981</w:t>
      </w:r>
      <w:r>
        <w:t xml:space="preserve"> (Consejo de Estado, resolución de 12-12-1981 (ISAP))</w:t>
      </w:r>
      <w:r>
        <w:t>, fue declarado ilegal</w:t>
      </w:r>
      <w:r>
        <w:t xml:space="preserve"> (Britannica; fuente secundaria)</w:t>
      </w:r>
      <w:r>
        <w:t>, y una ley de 8 de octubre de 1982 anuló todos los registros sindicales anteriores</w:t>
      </w:r>
      <w:r>
        <w:t xml:space="preserve"> (ley de sindicatos de 8-10-1982, art. 52 (ISAP))</w:t>
      </w:r>
      <w:r>
        <w:t>. La Mesa Redonda (6 de febrero a 5 de abril de 1989) llevó a las elecciones «parcialmente democráticas» del 4 de junio</w:t>
      </w:r>
      <w:r>
        <w:t xml:space="preserve"> [original: «częściowo demokratycznych wyborów»]</w:t>
      </w:r>
      <w:r>
        <w:t xml:space="preserve"> (Sejm, resolución de 14-3-2014)</w:t>
      </w:r>
      <w:r>
        <w:t>, y el 24 de agosto fue nombrado el primer jefe de Gobierno no comunista de un país de Europa del Este desde finales de los años cuarenta</w:t>
      </w:r>
      <w:r>
        <w:t xml:space="preserve"> (Encyclopaedia Britannica, «Tadeusz Mazowiecki»; Ministerio de Educación de Polonia (zpe.gov.pl); fuentes secundarias)</w:t>
      </w:r>
      <w:r>
        <w:t>.</w:t>
      </w:r>
    </w:p>
    <w:p>
      <w:pPr>
        <w:spacing w:after="60"/>
        <w:ind w:left="510" w:hanging="397"/>
      </w:pPr>
      <w:r>
        <w:rPr>
          <w:b w:val="0"/>
        </w:rPr>
        <w:t xml:space="preserve">4. </w:t>
      </w:r>
      <w:r>
        <w:rPr>
          <w:b/>
        </w:rPr>
        <w:t>La República Democrática Alemana, 1989.</w:t>
      </w:r>
      <w:r>
        <w:t xml:space="preserve"> En las elecciones municipales del 7 de mayo, la lista única obtuvo oficialmente el 98,85 % de los votos; observadores de la oposición que vigilaron el recuento hallaron diferencias de hasta el diez por ciento, aunque la falsificación solo pudo probarse del todo después de la caída del régimen</w:t>
      </w:r>
      <w:r>
        <w:t xml:space="preserve"> (Agencia Federal de Educación Cívica (bpb), crónica del 7-5-1989; fuente secundaria)</w:t>
      </w:r>
      <w:r>
        <w:t>. Desde el 4 de septiembre hubo manifestaciones cada lunes en Leipzig; el 9 de octubre, unas 75.000 personas, y la policía no intervino</w:t>
      </w:r>
      <w:r>
        <w:t xml:space="preserve"> (bpb, crónicas del 4-9 y del 9-10-1989)</w:t>
      </w:r>
      <w:r>
        <w:t>. El 9 de noviembre, un portavoz del Gobierno dijo en directo que las nuevas normas de viaje entraban en vigor «inmediatamente», cuando su nota decía que se publicaran al día siguiente</w:t>
      </w:r>
      <w:r>
        <w:t xml:space="preserve"> (transcripción de la rueda de prensa y nota del portavoz (Crónica del Muro))</w:t>
      </w:r>
      <w:r>
        <w:t>; esa noche, ante la multitud, el oficial al mando del paso de Bornholmer Straße decidió abrirlo</w:t>
      </w:r>
      <w:r>
        <w:t xml:space="preserve"> (Crónica del Muro; bpb; fuentes secundarias)</w:t>
      </w:r>
      <w:r>
        <w:t>. La Unión Soviética se disolvió en diciembre de 1991</w:t>
      </w:r>
      <w:r>
        <w:t xml:space="preserve"> (Oficina del Historiador, Departamento de Estado de EE. UU.; Britannica)</w:t>
      </w:r>
      <w:r>
        <w:t>.</w:t>
      </w:r>
    </w:p>
    <w:p>
      <w:pPr>
        <w:spacing w:after="60"/>
        <w:ind w:left="510" w:hanging="397"/>
      </w:pPr>
      <w:r>
        <w:rPr>
          <w:b w:val="0"/>
        </w:rPr>
        <w:t xml:space="preserve">5. </w:t>
      </w:r>
      <w:r>
        <w:rPr>
          <w:b/>
        </w:rPr>
        <w:t>Checoslovaquia, 1989.</w:t>
      </w:r>
      <w:r>
        <w:t xml:space="preserve"> El 17 de noviembre, la policía reprimió con brutalidad una manifestación de estudiantes en Praga</w:t>
      </w:r>
      <w:r>
        <w:t xml:space="preserve"> (Encyclopaedia Britannica, «Velvet Revolution» (La revolución de terciopelo); Presidencia de la República Checa; fuentes secundarias)</w:t>
      </w:r>
      <w:r>
        <w:t>. Siguieron las protestas y, el 27, una huelga general</w:t>
      </w:r>
      <w:r>
        <w:t xml:space="preserve"> (ídem; ÚSTR)</w:t>
      </w:r>
      <w:r>
        <w:t>. El 29 de noviembre, a propuesta del Gobierno, la Asamblea Federal suprimió de la Constitución el papel dirigente del Partido Comunista, sin ningún voto en contra ni abstención</w:t>
      </w:r>
      <w:r>
        <w:t xml:space="preserve"> (Asamblea Federal, proyecto 217 y acta de la sesión de 29-11-1989)</w:t>
      </w:r>
      <w:r>
        <w:t>. Václav Havel, detenido en enero de ese mismo año</w:t>
      </w:r>
      <w:r>
        <w:t xml:space="preserve"> (ÚSTR, Paměť a dějiny, 2019/3; fuente secundaria)</w:t>
      </w:r>
      <w:r>
        <w:t>, fue elegido presidente por la Asamblea Federal el 29 de diciembre</w:t>
      </w:r>
      <w:r>
        <w:t xml:space="preserve"> (acta de la sesión de 29-12-1989)</w:t>
      </w:r>
      <w:r>
        <w:t>.</w:t>
      </w:r>
    </w:p>
    <w:p>
      <w:pPr>
        <w:spacing w:after="60"/>
        <w:ind w:left="510" w:hanging="397"/>
      </w:pPr>
      <w:r>
        <w:rPr>
          <w:b w:val="0"/>
        </w:rPr>
        <w:t xml:space="preserve">6. </w:t>
      </w:r>
      <w:r>
        <w:rPr>
          <w:b/>
        </w:rPr>
        <w:t>Filipinas, 1986.</w:t>
      </w:r>
      <w:r>
        <w:t xml:space="preserve"> Ferdinand Marcos era presidente desde el 30 de diciembre de 1965</w:t>
      </w:r>
      <w:r>
        <w:t xml:space="preserve"> (Encyclopaedia Britannica, «Ferdinand Marcos»; fuente secundaria)</w:t>
      </w:r>
      <w:r>
        <w:t>. De las elecciones del 7 de febrero de 1986, el Gobierno de Estados Unidos, aliado suyo, dijo que quedaron «empañadas por un fraude y una violencia generalizados, cometidos sobre todo por el partido del Gobierno»</w:t>
      </w:r>
      <w:r>
        <w:t xml:space="preserve"> [original: «the elections were marred by widespread fraud and violence perpetrated largely by the ruling party»]</w:t>
      </w:r>
      <w:r>
        <w:t xml:space="preserve"> (declaración del presidente de EE. UU., 15-2-1986 (Biblioteca Reagan))</w:t>
      </w:r>
      <w:r>
        <w:br/>
      </w:r>
      <w:r>
        <w:rPr>
          <w:b/>
        </w:rPr>
        <w:t>leída en su fuente · declaración del presidente de EE. UU., 15-2-1986 (Biblioteca Reagan)</w:t>
      </w:r>
      <w:r>
        <w:br/>
      </w:r>
      <w:r>
        <w:rPr>
          <w:b/>
        </w:rPr>
        <w:t>Archivo leído:</w:t>
      </w:r>
      <w:r>
        <w:t xml:space="preserve"> c6_reaganlibrary_1986-02-15_statement_presidential_election_philippines.html; c6_reaganlibrary_1986-02-22_statement_speakes_internal_situation.html; c6_britannica_ferdinand_marcos.html · contraste del archivo de pasajes: ✘</w:t>
      </w:r>
      <w:r>
        <w:br/>
      </w:r>
      <w:r>
        <w:rPr>
          <w:b/>
        </w:rPr>
        <w:t>Lugar:</w:t>
      </w:r>
      <w:r>
        <w:t xml:space="preserve"> Declaración de Reagan, 15-2-1986, l. 235</w:t>
      </w:r>
      <w:r>
        <w:br/>
      </w:r>
      <w:r>
        <w:rPr>
          <w:b/>
        </w:rPr>
        <w:t>Dirección:</w:t>
      </w:r>
      <w:r>
        <w:t xml:space="preserve"> </w:t>
      </w:r>
      <w:r>
        <w:t>https://www.reaganlibrary.gov/archives/speech/statement-presidential-election-philippines</w:t>
      </w:r>
      <w:r>
        <w:t xml:space="preserve"> ; </w:t>
      </w:r>
      <w:r>
        <w:t>https://www.reaganlibrary.gov/research/speeches/22286b</w:t>
      </w:r>
      <w:r>
        <w:br/>
      </w:r>
      <w:r>
        <w:rPr>
          <w:b/>
        </w:rPr>
        <w:t>Tal como está en la fuente:</w:t>
      </w:r>
      <w:r>
        <w:t xml:space="preserve"> las elecciones quedaron empañadas por un fraude y una violencia generalizados, cometidos sobre todo por el partido del Gobierno</w:t>
      </w:r>
      <w:r>
        <w:t>. El 22 de febrero, el ministro de Defensa y el jefe del Estado Mayor dimitieron por ese fraude</w:t>
      </w:r>
      <w:r>
        <w:t xml:space="preserve"> (Casa Blanca, declaración de 22-2-1986)</w:t>
      </w:r>
      <w:r>
        <w:t>. Durante cuatro días, cientos de miles de personas se reunieron en la avenida EDSA de Manila, y millones en todo el país, según la Gaceta Oficial filipina</w:t>
      </w:r>
      <w:r>
        <w:t xml:space="preserve"> (Gaceta Oficial de Filipinas, páginas de EDSA (copia del Internet Archive); fuente secundaria)</w:t>
      </w:r>
      <w:r>
        <w:t>. El 25, Corazón Aquino juró como presidenta y Marcos salió del país</w:t>
      </w:r>
      <w:r>
        <w:t xml:space="preserve"> (Encyclopaedia Britannica, «Corazon Aquino» y «Ferdinand Marcos»; fuente secundaria)</w:t>
      </w:r>
      <w:r>
        <w:t>.</w:t>
      </w:r>
    </w:p>
    <w:p>
      <w:pPr>
        <w:spacing w:after="60"/>
        <w:ind w:left="510" w:hanging="397"/>
      </w:pPr>
      <w:r>
        <w:rPr>
          <w:b w:val="0"/>
        </w:rPr>
        <w:t xml:space="preserve">7. </w:t>
      </w:r>
      <w:r>
        <w:rPr>
          <w:b/>
        </w:rPr>
        <w:t>Sudáfrica, 1990-1994.</w:t>
      </w:r>
      <w:r>
        <w:t xml:space="preserve"> El 2 de febrero de 1990, al abrir el Parlamento, el presidente De Klerk anunció que se levantaba la prohibición del Congreso Nacional Africano y que el Gobierno había tomado «la firme decisión de liberar al señor Mandela sin condiciones»</w:t>
      </w:r>
      <w:r>
        <w:t xml:space="preserve"> [original: «the Government has taken a firm decision to release Mr Mandela unconditionally»]</w:t>
      </w:r>
      <w:r>
        <w:t xml:space="preserve"> (discurso de F. W. de Klerk, 2-2-1990 (archivo O'Malley))</w:t>
      </w:r>
      <w:r>
        <w:br/>
      </w:r>
      <w:r>
        <w:rPr>
          <w:b/>
        </w:rPr>
        <w:t>leída en su fuente · discurso de F. W. de Klerk, 2-2-1990 (archivo O'Malley)</w:t>
      </w:r>
      <w:r>
        <w:br/>
      </w:r>
      <w:r>
        <w:rPr>
          <w:b/>
        </w:rPr>
        <w:t>Archivo leído:</w:t>
      </w:r>
      <w:r>
        <w:t xml:space="preserve"> c7_omalley_de_klerk_1990.html · contraste del archivo de pasajes: ✘</w:t>
      </w:r>
      <w:r>
        <w:br/>
      </w:r>
      <w:r>
        <w:rPr>
          <w:b/>
        </w:rPr>
        <w:t>Lugar:</w:t>
      </w:r>
      <w:r>
        <w:t xml:space="preserve"> Título de la página</w:t>
      </w:r>
      <w:r>
        <w:br/>
      </w:r>
      <w:r>
        <w:rPr>
          <w:b/>
        </w:rPr>
        <w:t>Dirección:</w:t>
      </w:r>
      <w:r>
        <w:t xml:space="preserve"> </w:t>
      </w:r>
      <w:r>
        <w:t>https://omalley.nelsonmandela.org/index.php/site/q/03lv02039/04lv02103/05lv02104/06lv02105.htm</w:t>
      </w:r>
      <w:r>
        <w:br/>
      </w:r>
      <w:r>
        <w:rPr>
          <w:b/>
        </w:rPr>
        <w:t>Tal como está en la fuente:</w:t>
      </w:r>
      <w:r>
        <w:t xml:space="preserve"> el Gobierno ha tomado la firme decisión de liberar al señor Mandela sin condiciones</w:t>
      </w:r>
      <w:r>
        <w:t>. Mandela salió de la cárcel el 11 de febrero, tras veintisiete años y medio</w:t>
      </w:r>
      <w:r>
        <w:t xml:space="preserve"> (Encyclopaedia Britannica, «Nelson Mandela»; fuente secundaria)</w:t>
      </w:r>
      <w:r>
        <w:t>. En las primeras elecciones no raciales, el 27 de abril de 1994, el Congreso Nacional Africano obtuvo el 62,6 % de los votos, y el 9 de mayo la Asamblea Nacional eligió presidente a Mandela, por unanimidad</w:t>
      </w:r>
      <w:r>
        <w:t xml:space="preserve"> (Biblioteca del Congreso de EE. UU., estudio de país (copia en countrystudies.us); South African History Online; fuentes secundarias)</w:t>
      </w:r>
      <w:r>
        <w:t>.</w:t>
      </w:r>
    </w:p>
    <w:p>
      <w:pPr>
        <w:spacing w:after="60"/>
        <w:ind w:left="510" w:hanging="397"/>
      </w:pPr>
      <w:r>
        <w:rPr>
          <w:b w:val="0"/>
        </w:rPr>
        <w:t xml:space="preserve">8. </w:t>
      </w:r>
      <w:r>
        <w:rPr>
          <w:b/>
        </w:rPr>
        <w:t>Indonesia, 1998.</w:t>
      </w:r>
      <w:r>
        <w:t xml:space="preserve"> En 1997, una crisis monetaria que barría el sudeste asiático alcanzó a Indonesia</w:t>
      </w:r>
      <w:r>
        <w:t xml:space="preserve"> (Encyclopaedia Britannica, «Suharto»; fuente secundaria)</w:t>
      </w:r>
      <w:r>
        <w:t>. Suharto llevaba treinta y dos años en el poder, contando desde que tomó el control efectivo del Gobierno en 1966</w:t>
      </w:r>
      <w:r>
        <w:t xml:space="preserve"> (ídem; Forrester y May (eds.), The Fall of Soeharto (La caída de Suharto), Universidad Nacional Australiana, 1998)</w:t>
      </w:r>
      <w:r>
        <w:t>. Los estudiantes ocuparon el Parlamento desde el 18 de mayo de 1998, y el 21 Suharto dimitió</w:t>
      </w:r>
      <w:r>
        <w:t xml:space="preserve"> (ídem)</w:t>
      </w:r>
      <w:r>
        <w:t xml:space="preserve">. Siguió la época llamada </w:t>
      </w:r>
      <w:r>
        <w:rPr>
          <w:i/>
        </w:rPr>
        <w:t>reformasi</w:t>
      </w:r>
      <w:r>
        <w:t>, la reforma</w:t>
      </w:r>
      <w:r>
        <w:t xml:space="preserve"> (Britannica)</w:t>
      </w:r>
      <w:r>
        <w:t>, y el 7 de junio de 1999, según los observadores internacionales, Indonesia celebró «sus primeras elecciones competitivas desde 1955»</w:t>
      </w:r>
      <w:r>
        <w:t xml:space="preserve"> [original: «its first competitive elections since 1955»]</w:t>
      </w:r>
      <w:r>
        <w:t xml:space="preserve"> (declaración de la misión de observación del NDI y el Centro Carter, 9-6-1999)</w:t>
      </w:r>
      <w:r>
        <w:br/>
      </w:r>
      <w:r>
        <w:rPr>
          <w:b/>
        </w:rPr>
        <w:t>leída en su fuente · declaración de la misión de observación del NDI y el Centro Carter, 9-6-1999</w:t>
      </w:r>
      <w:r>
        <w:br/>
      </w:r>
      <w:r>
        <w:rPr>
          <w:b/>
        </w:rPr>
        <w:t>Archivo leído:</w:t>
      </w:r>
      <w:r>
        <w:t xml:space="preserve"> c8_ndi_carter_1999_indonesia_statement_213_id_1stelect.pdf; c8_britannica_indonesia_independent_to_1965.html · contraste del archivo de pasajes: ✘</w:t>
      </w:r>
      <w:r>
        <w:br/>
      </w:r>
      <w:r>
        <w:rPr>
          <w:b/>
        </w:rPr>
        <w:t>Lugar:</w:t>
      </w:r>
      <w:r>
        <w:t xml:space="preserve"> Declaración de la misión de observación del NDI (Instituto Nacional Demócrata) y el Centro Carter, Yakarta, 9-6-1999, pág. PDF 1, l. 34</w:t>
      </w:r>
      <w:r>
        <w:br/>
      </w:r>
      <w:r>
        <w:rPr>
          <w:b/>
        </w:rPr>
        <w:t>Dirección:</w:t>
      </w:r>
      <w:r>
        <w:t xml:space="preserve"> </w:t>
      </w:r>
      <w:r>
        <w:t>https://www.ndi.org/sites/default/files/213_id_1stelect_0.pdf</w:t>
      </w:r>
      <w:r>
        <w:t xml:space="preserve"> ; </w:t>
      </w:r>
      <w:r>
        <w:t>https://www.britannica.com/place/Indonesia/Independent-Indonesia-to-1965</w:t>
      </w:r>
      <w:r>
        <w:br/>
      </w:r>
      <w:r>
        <w:rPr>
          <w:b/>
        </w:rPr>
        <w:t>Tal como está en la fuente:</w:t>
      </w:r>
      <w:r>
        <w:t xml:space="preserve"> El 7 de junio, Indonesia celebró sus primeras elecciones competitivas desde 1955.</w:t>
      </w:r>
      <w:r>
        <w:t>.</w:t>
      </w:r>
    </w:p>
    <w:p>
      <w:pPr>
        <w:spacing w:after="60"/>
        <w:ind w:left="510" w:hanging="397"/>
      </w:pPr>
      <w:r>
        <w:rPr>
          <w:b w:val="0"/>
        </w:rPr>
        <w:t xml:space="preserve">9. </w:t>
      </w:r>
      <w:r>
        <w:rPr>
          <w:b/>
        </w:rPr>
        <w:t>Georgia, 2003.</w:t>
      </w:r>
      <w:r>
        <w:t xml:space="preserve"> Según los observadores internacionales, las elecciones parlamentarias del 2 de noviembre terminaron en «un fraude electoral extendido y sistemático»</w:t>
      </w:r>
      <w:r>
        <w:t xml:space="preserve"> [original: «widespread and systematic election fraud»]</w:t>
      </w:r>
      <w:r>
        <w:t xml:space="preserve"> (OSCE/ODIHR, informe final, 28-1-2004, p. 1)</w:t>
      </w:r>
      <w:r>
        <w:br/>
      </w:r>
      <w:r>
        <w:rPr>
          <w:b/>
        </w:rPr>
        <w:t>leída en su fuente · OSCE/ODIHR, informe final, 28-1-2004, p. 1</w:t>
      </w:r>
      <w:r>
        <w:br/>
      </w:r>
      <w:r>
        <w:rPr>
          <w:b/>
        </w:rPr>
        <w:t>Archivo leído:</w:t>
      </w:r>
      <w:r>
        <w:t xml:space="preserve"> c9_osce_odihr_georgia_2003_final_report_part1_22205.pdf · contraste del archivo de pasajes: ✘</w:t>
      </w:r>
      <w:r>
        <w:br/>
      </w:r>
      <w:r>
        <w:rPr>
          <w:b/>
        </w:rPr>
        <w:t>Lugar:</w:t>
      </w:r>
      <w:r>
        <w:t xml:space="preserve"> Pág. PDF 3 (p. 1)</w:t>
      </w:r>
      <w:r>
        <w:br/>
      </w:r>
      <w:r>
        <w:rPr>
          <w:b/>
        </w:rPr>
        <w:t>Dirección:</w:t>
      </w:r>
      <w:r>
        <w:t xml:space="preserve"> </w:t>
      </w:r>
      <w:r>
        <w:t>https://odihr.osce.org/sites/default/files/f/documents/2/0/22205.pdf</w:t>
      </w:r>
      <w:r>
        <w:t xml:space="preserve"> (ficha: </w:t>
      </w:r>
      <w:r>
        <w:t>https://odihr.osce.org/odihr/elections/georgia/22205</w:t>
      </w:r>
      <w:r>
        <w:t>)</w:t>
      </w:r>
      <w:r>
        <w:br/>
      </w:r>
      <w:r>
        <w:rPr>
          <w:b/>
        </w:rPr>
        <w:t>Tal como está en la fuente:</w:t>
      </w:r>
      <w:r>
        <w:t xml:space="preserve"> Las elecciones parlamentarias del 2 de noviembre en Georgia no cumplieron varios compromisos de la OSCE y otras normas internacionales de elecciones democráticas. Demostraron que a las autoridades les faltó voluntad política para llevar a cabo un proceso democrático auténtico. El resultado fue un fraude electoral extendido y sistemático durante y después del día de la votación, sobre todo en las regiones de Ayaria y Kvemo Kartli.</w:t>
      </w:r>
      <w:r>
        <w:t>. Siguieron las protestas, con una rosa en la mano en lugar de un arma; de ahí el nombre de Revolución de las Rosas</w:t>
      </w:r>
      <w:r>
        <w:t xml:space="preserve"> (Columbia Magazine, «Rose revolutionary»; fuente secundaria)</w:t>
      </w:r>
      <w:r>
        <w:t>. El 22 de noviembre, los manifestantes impidieron que se constituyera el nuevo Parlamento, y el 23 dimitió el presidente Shevardnadze</w:t>
      </w:r>
      <w:r>
        <w:t xml:space="preserve"> (OSCE/ODIHR, informe final, p. 21)</w:t>
      </w:r>
      <w:r>
        <w:t>.</w:t>
      </w:r>
    </w:p>
    <w:p>
      <w:pPr>
        <w:spacing w:after="60"/>
        <w:ind w:left="510" w:hanging="397"/>
      </w:pPr>
      <w:r>
        <w:rPr>
          <w:b w:val="0"/>
        </w:rPr>
        <w:t xml:space="preserve">10. </w:t>
      </w:r>
      <w:r>
        <w:rPr>
          <w:b/>
        </w:rPr>
        <w:t>Islandia, 2008-2009.</w:t>
      </w:r>
      <w:r>
        <w:t xml:space="preserve"> En octubre de 2008, en una semana, quebraron los tres mayores bancos del país, un colapso «sin precedentes en el mundo por su escala (en proporción a la economía nacional)», según el Fondo Monetario Internacional</w:t>
      </w:r>
      <w:r>
        <w:t xml:space="preserve"> [original: «a banking sector collapse that is globally unprecedented in scale (relative to the domestic economy)»]</w:t>
      </w:r>
      <w:r>
        <w:t xml:space="preserve"> (FMI, informe de país n.º 08/362, párrs. 4 y 31)</w:t>
      </w:r>
      <w:r>
        <w:t>. Hubo protestas ante el Parlamento, golpeando cacerolas</w:t>
      </w:r>
      <w:r>
        <w:t xml:space="preserve"> (Encyclopaedia Britannica, «Iceland»; fuente secundaria)</w:t>
      </w:r>
      <w:r>
        <w:t>. El 26 de enero de 2009 dimitió el Gobierno</w:t>
      </w:r>
      <w:r>
        <w:t xml:space="preserve"> (Gobierno de Islandia, nota de 26-1-2009)</w:t>
      </w:r>
      <w:r>
        <w:t>, y el 25 de abril hubo elecciones</w:t>
      </w:r>
      <w:r>
        <w:t xml:space="preserve"> (Instituto de Estadística de Islandia)</w:t>
      </w:r>
      <w:r>
        <w:t>. El cambio se hizo por las vías ordinarias. En 2010, la comisión investigadora del Parlamento concluyó que el primer ministro, el ministro de Hacienda y el de Comercio de entonces, y los responsables del supervisor financiero y del banco central, habían incurrido en negligencia</w:t>
      </w:r>
      <w:r>
        <w:t xml:space="preserve"> (Comisión Investigadora Especial, informe de 12-4-2010, cap. 2, p. 18)</w:t>
      </w:r>
      <w:r>
        <w:t>.</w:t>
      </w:r>
    </w:p>
    <w:p>
      <w:r>
        <w:t>[19.00-13.1 a 22.2, corregido: la invitación no fue del Parlamento (no estaba reunido), sino de siete notables; la ley de 1947 es la Indian Independence Act; en Polonia, las elecciones «parcialmente democráticas» y un jefe de Gobierno no comunista en un Gobierno de coalición; en Praga, el 29 de noviembre, no el 28; en Sudáfrica las ganó el CNA; en Indonesia, las primeras competitivas desde 1955; en Georgia, irrupción el 22 y dimisión el 23; en Islandia, el superlativo es del FMI. Fuentes leídas en el original; las secundarias, marcadas]</w:t>
      </w:r>
    </w:p>
    <w:p>
      <w:r>
        <w:rPr>
          <w:b/>
        </w:rPr>
        <w:t>Precisiones de fecha y de fuente.</w:t>
      </w:r>
    </w:p>
    <w:p>
      <w:pPr>
        <w:pStyle w:val="ListBullet"/>
      </w:pPr>
      <w:r>
        <w:rPr>
          <w:b/>
        </w:rPr>
        <w:t>Inglaterra.</w:t>
      </w:r>
      <w:r>
        <w:t xml:space="preserve"> Lo que se reunió después, el 22 de enero de 1689, fue una Convención de lores y diputados, que «no se llamó Parlamento porque no la convocó el rey»</w:t>
      </w:r>
      <w:r>
        <w:t xml:space="preserve"> [original: «not called a Parliament, as it was not summoned by the King»]</w:t>
      </w:r>
      <w:r>
        <w:t xml:space="preserve"> (Parlamento del Reino Unido; fuente secundaria)</w:t>
      </w:r>
      <w:r>
        <w:br/>
      </w:r>
      <w:r>
        <w:rPr>
          <w:b/>
        </w:rPr>
        <w:t>leída en su fuente · Parlamento del Reino Unido; fuente secundaria</w:t>
      </w:r>
      <w:r>
        <w:br/>
      </w:r>
      <w:r>
        <w:rPr>
          <w:b/>
        </w:rPr>
        <w:t>Archivo leído:</w:t>
      </w:r>
      <w:r>
        <w:t xml:space="preserve"> c1_britannica_james_ii.html; c1_britannica_glorious_revolution.html; c1_uk_parliament_invasion_desertion.html; c1_uk_parliament_keydates_1660_88.html (c9b\c1_uk_parliament_invasion_desertion.html) · contraste del archivo de pasajes: ✔</w:t>
      </w:r>
      <w:r>
        <w:br/>
      </w:r>
      <w:r>
        <w:rPr>
          <w:b/>
        </w:rPr>
        <w:t>Lugar:</w:t>
      </w:r>
      <w:r>
        <w:t xml:space="preserve"> Britannica James II l. 408</w:t>
      </w:r>
      <w:r>
        <w:br/>
      </w:r>
      <w:r>
        <w:rPr>
          <w:b/>
        </w:rPr>
        <w:t>Dirección:</w:t>
      </w:r>
      <w:r>
        <w:t xml:space="preserve"> </w:t>
      </w:r>
      <w:r>
        <w:t>https://www.britannica.com/biography/James-II-king-of-England-Scotland-and-Ireland</w:t>
      </w:r>
      <w:r>
        <w:t xml:space="preserve"> ; </w:t>
      </w:r>
      <w:r>
        <w:t>https://www.britannica.com/event/Glorious-Revolution</w:t>
      </w:r>
      <w:r>
        <w:t xml:space="preserve"> ; </w:t>
      </w:r>
      <w:r>
        <w:t>https://www.parliament.uk/about/living-heritage/evolutionofparliament/parliamentaryauthority/revolution/overview/invasiondesertion/</w:t>
      </w:r>
      <w:r>
        <w:t xml:space="preserve"> ; </w:t>
      </w:r>
      <w:r>
        <w:t>https://www.parliament.uk/about/living-heritage/evolutionofparliament/parliamentaryauthority/revolution/keydates/keydates1660-88/</w:t>
      </w:r>
      <w:r>
        <w:br/>
      </w:r>
      <w:r>
        <w:rPr>
          <w:b/>
        </w:rPr>
        <w:t>Tal como está en la fuente:</w:t>
      </w:r>
      <w:r>
        <w:t xml:space="preserve"> summoned a Convention of Lords and MPs (not called a Parliament, as it was not summoned by the King)</w:t>
      </w:r>
      <w:r>
        <w:br/>
      </w:r>
      <w:r>
        <w:rPr>
          <w:b/>
        </w:rPr>
        <w:t>Traducción guardada:</w:t>
      </w:r>
      <w:r>
        <w:t xml:space="preserve"> «convocó una Convención de lores y diputados —no llamada Parlamento porque no la convocó el rey—»</w:t>
      </w:r>
      <w:r>
        <w:t>. Las fuentes no coinciden en quiénes firmaron la invitación: «un obispo y seis políticos destacados»</w:t>
      </w:r>
      <w:r>
        <w:t xml:space="preserve"> [original: «one bishop and six prominent politicians»]</w:t>
      </w:r>
      <w:r>
        <w:t xml:space="preserve"> (Encyclopaedia Britannica, «Glorious Revolution»; fuente secundaria)</w:t>
      </w:r>
      <w:r>
        <w:br/>
      </w:r>
      <w:r>
        <w:rPr>
          <w:b/>
        </w:rPr>
        <w:t>leída en su fuente · Encyclopaedia Britannica, «Glorious Revolution»; fuente secundaria</w:t>
      </w:r>
      <w:r>
        <w:br/>
      </w:r>
      <w:r>
        <w:rPr>
          <w:b/>
        </w:rPr>
        <w:t>Archivo leído:</w:t>
      </w:r>
      <w:r>
        <w:t xml:space="preserve"> c1_britannica_james_ii.html; c1_britannica_glorious_revolution.html; c1_uk_parliament_invasion_desertion.html; c1_uk_parliament_keydates_1660_88.html · contraste del archivo de pasajes: ✘</w:t>
      </w:r>
      <w:r>
        <w:br/>
      </w:r>
      <w:r>
        <w:rPr>
          <w:b/>
        </w:rPr>
        <w:t>Lugar:</w:t>
      </w:r>
      <w:r>
        <w:t xml:space="preserve"> Britannica James II l. 408</w:t>
      </w:r>
      <w:r>
        <w:br/>
      </w:r>
      <w:r>
        <w:rPr>
          <w:b/>
        </w:rPr>
        <w:t>Dirección:</w:t>
      </w:r>
      <w:r>
        <w:t xml:space="preserve"> </w:t>
      </w:r>
      <w:r>
        <w:t>https://www.britannica.com/biography/James-II-king-of-England-Scotland-and-Ireland</w:t>
      </w:r>
      <w:r>
        <w:t xml:space="preserve"> ; </w:t>
      </w:r>
      <w:r>
        <w:t>https://www.britannica.com/event/Glorious-Revolution</w:t>
      </w:r>
      <w:r>
        <w:t xml:space="preserve"> ; </w:t>
      </w:r>
      <w:r>
        <w:t>https://www.parliament.uk/about/living-heritage/evolutionofparliament/parliamentaryauthority/revolution/overview/invasiondesertion/</w:t>
      </w:r>
      <w:r>
        <w:t xml:space="preserve"> ; </w:t>
      </w:r>
      <w:r>
        <w:t>https://www.parliament.uk/about/living-heritage/evolutionofparliament/parliamentaryauthority/revolution/keydates/keydates1660-88/</w:t>
      </w:r>
      <w:r>
        <w:br/>
      </w:r>
      <w:r>
        <w:rPr>
          <w:b/>
        </w:rPr>
        <w:t>Tal como está en la fuente:</w:t>
      </w:r>
      <w:r>
        <w:t xml:space="preserve"> entre ellos un obispo y seis políticos destacados</w:t>
      </w:r>
      <w:r>
        <w:t>, según Britannica; «siete pares»</w:t>
      </w:r>
      <w:r>
        <w:t xml:space="preserve"> [original: «seven peers»]</w:t>
      </w:r>
      <w:r>
        <w:t xml:space="preserve"> (Parlamento del Reino Unido; fuente secundaria)</w:t>
      </w:r>
      <w:r>
        <w:t>, según la web del Parlamento. Y la revolución, poco sangrienta en Inglaterra, «fue muy sangrienta en Irlanda y Escocia»</w:t>
      </w:r>
      <w:r>
        <w:t xml:space="preserve"> [original: «became very bloody in Ireland and Scotland»]</w:t>
      </w:r>
      <w:r>
        <w:t xml:space="preserve"> (ídem)</w:t>
      </w:r>
      <w:r>
        <w:br/>
      </w:r>
      <w:r>
        <w:rPr>
          <w:b/>
        </w:rPr>
        <w:t>leída en su fuente · ídem</w:t>
      </w:r>
      <w:r>
        <w:br/>
      </w:r>
      <w:r>
        <w:rPr>
          <w:b/>
        </w:rPr>
        <w:t>Archivo leído:</w:t>
      </w:r>
      <w:r>
        <w:t xml:space="preserve"> c1_britannica_james_ii.html; c1_uk_parliament_invasion_desertion.html · contraste del archivo de pasajes: ✘</w:t>
      </w:r>
      <w:r>
        <w:br/>
      </w:r>
      <w:r>
        <w:rPr>
          <w:b/>
        </w:rPr>
        <w:t>Lugar:</w:t>
      </w:r>
      <w:r>
        <w:t xml:space="preserve"> Britannica l. 408</w:t>
      </w:r>
      <w:r>
        <w:br/>
      </w:r>
      <w:r>
        <w:rPr>
          <w:b/>
        </w:rPr>
        <w:t>Tal como está en la fuente:</w:t>
      </w:r>
      <w:r>
        <w:t xml:space="preserve"> con poco derramamiento de sangre en Inglaterra, olvidando que la revolución fue muy sangrienta en Irlanda y Escocia</w:t>
      </w:r>
      <w:r>
        <w:t>. La ley se titula «1688» porque entonces el año empezaba el 25 de marzo: en el calendario de hoy, 1689.</w:t>
      </w:r>
    </w:p>
    <w:p>
      <w:pPr>
        <w:pStyle w:val="ListBullet"/>
      </w:pPr>
      <w:r>
        <w:rPr>
          <w:b/>
        </w:rPr>
        <w:t>La India.</w:t>
      </w:r>
      <w:r>
        <w:t xml:space="preserve"> La Oficina de Prensa del Gobierno indio da 241 millas, unos 388 kilómetros</w:t>
      </w:r>
      <w:r>
        <w:t xml:space="preserve"> (Oficina de Prensa del Gobierno de la India, 2021; fuente secundaria)</w:t>
      </w:r>
      <w:r>
        <w:t>. La cifra de presos tiene una sola fuente secundaria.</w:t>
      </w:r>
    </w:p>
    <w:p>
      <w:pPr>
        <w:pStyle w:val="ListBullet"/>
      </w:pPr>
      <w:r>
        <w:rPr>
          <w:b/>
        </w:rPr>
        <w:t>Polonia.</w:t>
      </w:r>
      <w:r>
        <w:t xml:space="preserve"> La Unión Soviética ya había elegido en marzo de 1989, con varios candidatos, a parte de su Congreso de Diputados del Pueblo; lo que dicen las fuentes de Solidaridad es que fue «el primer movimiento de oposición que participó en elecciones libres en un país del bloque soviético desde los años cuarenta»</w:t>
      </w:r>
      <w:r>
        <w:t xml:space="preserve"> [original: «the first opposition movement to participate in free elections in a Soviet-bloc nation since the 1940s»]</w:t>
      </w:r>
      <w:r>
        <w:t xml:space="preserve"> (Encyclopaedia Britannica, «Solidarity»)</w:t>
      </w:r>
      <w:r>
        <w:br/>
      </w:r>
      <w:r>
        <w:rPr>
          <w:b/>
        </w:rPr>
        <w:t>leída en su fuente · Encyclopaedia Britannica, «Solidarity»</w:t>
      </w:r>
      <w:r>
        <w:br/>
      </w:r>
      <w:r>
        <w:rPr>
          <w:b/>
        </w:rPr>
        <w:t>Archivo leído:</w:t>
      </w:r>
      <w:r>
        <w:t xml:space="preserve"> c3_zpe_okragly_stol.html; c3_britannica_solidarity.html; c3_britannica_congress_of_peoples_deputies.html · contraste del archivo de pasajes: ✘</w:t>
      </w:r>
      <w:r>
        <w:br/>
      </w:r>
      <w:r>
        <w:rPr>
          <w:b/>
        </w:rPr>
        <w:t>Lugar:</w:t>
      </w:r>
      <w:r>
        <w:t xml:space="preserve"> zpe l. 67</w:t>
      </w:r>
      <w:r>
        <w:br/>
      </w:r>
      <w:r>
        <w:rPr>
          <w:b/>
        </w:rPr>
        <w:t>Tal como está en la fuente:</w:t>
      </w:r>
      <w:r>
        <w:t xml:space="preserve"> el primer movimiento de oposición que participó en elecciones libres en un país del bloque soviético desde los años cuarenta</w:t>
      </w:r>
      <w:r>
        <w:t>. El Gobierno de Mazowiecki, nombrado el 12 de septiembre, era de coalición con el Partido Obrero Unificado, que tenía ministros</w:t>
      </w:r>
      <w:r>
        <w:t xml:space="preserve"> (ídem; Sejm, resolución de 12-9-2014)</w:t>
      </w:r>
      <w:r>
        <w:t>.</w:t>
      </w:r>
    </w:p>
    <w:p>
      <w:pPr>
        <w:pStyle w:val="ListBullet"/>
      </w:pPr>
      <w:r>
        <w:rPr>
          <w:b/>
        </w:rPr>
        <w:t>La RDA.</w:t>
      </w:r>
      <w:r>
        <w:t xml:space="preserve"> La hora de apertura del paso varía según la fuente: las 23.14 (bpb) o las 23.30 (Crónica del Muro). La disolución de la Unión Soviética se fecha el 25 de diciembre, cuando dimitió su presidente y se arrió la bandera, o el 31, según la fuente.</w:t>
      </w:r>
    </w:p>
    <w:p>
      <w:pPr>
        <w:pStyle w:val="ListBullet"/>
      </w:pPr>
      <w:r>
        <w:rPr>
          <w:b/>
        </w:rPr>
        <w:t>Checoslovaquia.</w:t>
      </w:r>
      <w:r>
        <w:t xml:space="preserve"> El Partido Comunista siguió en el Gobierno hasta el Gobierno de transición y la dimisión del presidente Husák, el 10 de diciembre</w:t>
      </w:r>
      <w:r>
        <w:t xml:space="preserve"> (Britannica; fuente secundaria)</w:t>
      </w:r>
      <w:r>
        <w:t>.</w:t>
      </w:r>
    </w:p>
    <w:p>
      <w:pPr>
        <w:pStyle w:val="ListBullet"/>
      </w:pPr>
      <w:r>
        <w:rPr>
          <w:b/>
        </w:rPr>
        <w:t>Filipinas.</w:t>
      </w:r>
      <w:r>
        <w:t xml:space="preserve"> Ese mismo 25 de febrero, Marcos también juró ante los suyos</w:t>
      </w:r>
      <w:r>
        <w:t xml:space="preserve"> (Britannica, «Corazon Aquino»)</w:t>
      </w:r>
      <w:r>
        <w:t>. Que esa noche volara a una base dentro del país y saliera hacia Guam al día siguiente solo consta en prensa, y no entra.</w:t>
      </w:r>
    </w:p>
    <w:p>
      <w:pPr>
        <w:pStyle w:val="ListBullet"/>
      </w:pPr>
      <w:r>
        <w:rPr>
          <w:b/>
        </w:rPr>
        <w:t>Sudáfrica.</w:t>
      </w:r>
      <w:r>
        <w:t xml:space="preserve"> El 27 de abril fue el día general: los ancianos y las personas con discapacidad votaron el 26, y la votación se alargó hasta el 29</w:t>
      </w:r>
      <w:r>
        <w:t xml:space="preserve"> (South African History Online; Biblioteca del Congreso de EE. UU.; fuentes secundarias)</w:t>
      </w:r>
      <w:r>
        <w:t>.</w:t>
      </w:r>
    </w:p>
    <w:p>
      <w:pPr>
        <w:pStyle w:val="ListBullet"/>
      </w:pPr>
      <w:r>
        <w:rPr>
          <w:b/>
        </w:rPr>
        <w:t>Indonesia.</w:t>
      </w:r>
      <w:r>
        <w:t xml:space="preserve"> Fue presidente interino desde marzo de 1967 y elegido en marzo de 1968: contando desde 1967, serían treinta y un años</w:t>
      </w:r>
      <w:r>
        <w:t xml:space="preserve"> (Britannica)</w:t>
      </w:r>
      <w:r>
        <w:t>. La ocupación del Parlamento duró hasta la madrugada del 23 de mayo</w:t>
      </w:r>
      <w:r>
        <w:t xml:space="preserve"> (Forrester y May)</w:t>
      </w:r>
      <w:r>
        <w:t>. El texto de su discurso de dimisión solo se ha hallado en prensa.</w:t>
      </w:r>
    </w:p>
    <w:p>
      <w:pPr>
        <w:pStyle w:val="ListBullet"/>
      </w:pPr>
      <w:r>
        <w:rPr>
          <w:b/>
        </w:rPr>
        <w:t>Islandia.</w:t>
      </w:r>
      <w:r>
        <w:t xml:space="preserve"> La fecha exacta de las cacerolas no consta en las fuentes leídas.</w:t>
      </w:r>
    </w:p>
    <w:p>
      <w:r>
        <w:rPr>
          <w:b/>
        </w:rPr>
        <w:t>El patrón.</w:t>
      </w:r>
      <w:r>
        <w:t xml:space="preserve"> Diez casos, en tres continentes, de 1688 a 2009. Lo que comparten no es la violencia, sino la secuencia: la sustancia del poder, su respaldo real y su coherencia con lo que promete, se agota primero, y consta por escrito (un fraude electoral denunciado por observadores, una crisis económica, la represión de una protesta), y solo después el pueblo, sin que nadie se lo ordene ni lo autorice, deja de sostenerlo con su obediencia. En varios, quienes pedían el cambio lo hicieron sin armas: la sal, las rosas, las cacerolas. No todos los poderes respondieron sin represión: la ley marcial en Polonia, decenas de miles de presos en la India. Y en ninguno fue de un día para otro: entre la pérdida visible de sustancia y la caída pasaron semanas (Praga, Georgia), meses (Islandia) o años (Polonia, la India, Sudáfrica). </w:t>
      </w:r>
      <w:r>
        <w:t>[19.00-23.1, corregido: de 1688 a 2009 van más de tres siglos; ninguno de los diez es de la Primavera Árabe; las duraciones, con las fechas de los propios casos]</w:t>
      </w:r>
    </w:p>
    <w:p>
      <w:r>
        <w:rPr>
          <w:b/>
        </w:rPr>
        <w:t>Conclusión, lo que arrojan los datos:</w:t>
      </w:r>
      <w:r>
        <w:t xml:space="preserve"> en los diez casos se da la misma secuencia: primero se agota la sustancia del poder, y consta por escrito, y solo después el pueblo deja de sostenerlo. Es la otra cara de lo que se vio en 7.5: la forma puede seguir en pie mucho tiempo después de haberse vaciado, pero no para siempre. Y donde existían, los mejores mecanismos internos de corrección no bastaron contra una fuerza de fuera. </w:t>
      </w:r>
      <w:r>
        <w:t>[19.00-11.1 y 23.1]</w:t>
      </w:r>
    </w:p>
    <w:p>
      <w:r>
        <w:rPr>
          <w:b/>
        </w:rPr>
        <w:t>Lectura del autor:</w:t>
      </w:r>
      <w:r>
        <w:t xml:space="preserve"> el poder vive de la creencia de quienes lo sostienen (</w:t>
      </w:r>
      <w:r>
        <w:t>4.1</w:t>
      </w:r>
      <w:r>
        <w:t>). Cuando su sustancia se agota y se ve, la creencia se retira sola, sin que nadie lo mande. En España, el autor ve la primera parte de la secuencia, la forma que se ha quedado sin sustancia (</w:t>
      </w:r>
      <w:r>
        <w:t>9.1</w:t>
      </w:r>
      <w:r>
        <w:t xml:space="preserve">). Lo que quiere es que la segunda no sea una retirada a ciegas, sino la constancia escrita de lo que falta, el juicio de la verdad y la reforma por la puerta que la propia Constitución dejó abierta (capítulos 10 y 11). </w:t>
      </w:r>
      <w:r>
        <w:t>[00.0-5.16; 19.00-23.1; redacción nueva, aprobada por Kiko el 6-oct]</w:t>
      </w:r>
    </w:p>
    <w:p>
      <w:r>
        <w:rPr>
          <w:b/>
        </w:rPr>
        <w:t>Lo que la obra hace con esto.</w:t>
      </w:r>
      <w:r>
        <w:t xml:space="preserve"> Lo mismo que con el derecho de resistencia (</w:t>
      </w:r>
      <w:r>
        <w:t>6.5</w:t>
      </w:r>
      <w:r>
        <w:t>): no lo propone, y no exime de ninguna obligación vigente (</w:t>
      </w:r>
      <w:r>
        <w:t>0.2</w:t>
      </w:r>
      <w:r>
        <w:t>). Lo ofrece como lo que es, información histórica verificable, con su fuente, para que cada cual la compruebe y saque sus propias conclusiones. Su vía está antes de cualquier último recurso: la constancia escrita, la petición documentada y el juicio de opinión (capítulos 10 y 11). Lo que retira no es la obediencia, sino la creencia sin comprobar (</w:t>
      </w:r>
      <w:r>
        <w:t>4.1</w:t>
      </w:r>
      <w:r>
        <w:t xml:space="preserve">). </w:t>
      </w:r>
      <w:r>
        <w:t>[19.00-23.1]</w:t>
      </w:r>
    </w:p>
    <w:p>
      <w:pPr>
        <w:pStyle w:val="Heading2"/>
      </w:pPr>
      <w:r>
        <w:t>Límite honesto de la prueba</w:t>
      </w:r>
    </w:p>
    <w:p>
      <w:pPr>
        <w:pStyle w:val="ListBullet"/>
      </w:pPr>
      <w:r>
        <w:rPr>
          <w:b/>
        </w:rPr>
        <w:t>Un Estado no es una sociedad mercantil.</w:t>
      </w:r>
      <w:r>
        <w:t xml:space="preserve"> La obra lo concede: tiene poder tributario y no desaparece como una empresa. La vara mercantil es una analogía elegida a propósito: medir el sistema con la regla que él aplica a los demás. Lo que prueban los datos es la causa de disolución con esa regla, no una quiebra en sentido legal: el Estado sigue pagando y obteniendo préstamos. </w:t>
      </w:r>
      <w:r>
        <w:t>[00.0-6.3 y 6.4]</w:t>
      </w:r>
    </w:p>
    <w:p>
      <w:pPr>
        <w:pStyle w:val="ListBullet"/>
      </w:pPr>
      <w:r>
        <w:rPr>
          <w:b/>
        </w:rPr>
        <w:t>El dictamen no tiene valor oficial.</w:t>
      </w:r>
      <w:r>
        <w:t xml:space="preserve"> La obra no es un auditor inscrito ni un órgano de control; usa el formato de la ley para que su conclusión se lea con categorías conocidas. </w:t>
      </w:r>
      <w:r>
        <w:t>[00.0-6.9 y 6.10]</w:t>
      </w:r>
    </w:p>
    <w:p>
      <w:pPr>
        <w:pStyle w:val="ListBullet"/>
      </w:pPr>
      <w:r>
        <w:rPr>
          <w:b/>
        </w:rPr>
        <w:t>La deuda de pensiones no vence hoy.</w:t>
      </w:r>
      <w:r>
        <w:t xml:space="preserve"> Es el valor actual de pagos futuros, como advierte el INE; y compararla con la deuda oficial es un cálculo de la obra.</w:t>
      </w:r>
    </w:p>
    <w:p>
      <w:pPr>
        <w:pStyle w:val="ListBullet"/>
      </w:pPr>
      <w:r>
        <w:rPr>
          <w:b/>
        </w:rPr>
        <w:t>El Estado cumple la mayor parte de su Constitución:</w:t>
      </w:r>
      <w:r>
        <w:t xml:space="preserve"> 93 de sus 169 artículos, sin incidencia relevante (</w:t>
      </w:r>
      <w:r>
        <w:t>7.1</w:t>
      </w:r>
      <w:r>
        <w:t xml:space="preserve">). El hallazgo no es la cifra total, sino dónde recae el incumplimiento. </w:t>
      </w:r>
      <w:r>
        <w:t>[14.00-8.10]</w:t>
      </w:r>
    </w:p>
    <w:p>
      <w:pPr>
        <w:pStyle w:val="ListBullet"/>
      </w:pPr>
      <w:r>
        <w:rPr>
          <w:b/>
        </w:rPr>
        <w:t>Hay frutos que se reconocen:</w:t>
      </w:r>
      <w:r>
        <w:t xml:space="preserve"> sanidad universal, una pensión que la OCDE calcula en el 80,4 % del salario, una esperanza de vida de 84 años (</w:t>
      </w:r>
      <w:r>
        <w:t>8.4</w:t>
      </w:r>
      <w:r>
        <w:t xml:space="preserve">). El dictamen no los niega: los mide con la misma vara. Y parte del aumento del gasto se explica porque se vive más. </w:t>
      </w:r>
      <w:r>
        <w:t>[18.00-7.12; 34.00-13.12]</w:t>
      </w:r>
    </w:p>
    <w:p>
      <w:pPr>
        <w:pStyle w:val="ListBullet"/>
      </w:pPr>
      <w:r>
        <w:rPr>
          <w:b/>
        </w:rPr>
        <w:t>«El sistema creó los problemas» es lectura del autor,</w:t>
      </w:r>
      <w:r>
        <w:t xml:space="preserve"> no conclusión de los datos (</w:t>
      </w:r>
      <w:r>
        <w:t>8.9</w:t>
      </w:r>
      <w:r>
        <w:t xml:space="preserve">). </w:t>
      </w:r>
      <w:r>
        <w:t>[29.00-8.8]</w:t>
      </w:r>
    </w:p>
    <w:p>
      <w:pPr>
        <w:pStyle w:val="ListBullet"/>
      </w:pPr>
      <w:r>
        <w:rPr>
          <w:b/>
        </w:rPr>
        <w:t>La compensación es una propuesta del autor, y la ley vigente le pone límites.</w:t>
      </w:r>
      <w:r>
        <w:t xml:space="preserve"> Nadie puede ser condenado por lo que no era delito cuando lo hizo</w:t>
      </w:r>
      <w:r>
        <w:t xml:space="preserve"> (Constitución, art. 25.1)</w:t>
      </w:r>
      <w:r>
        <w:t>, y la Constitución garantiza «la irretroactividad de las disposiciones sancionadoras no favorables o restrictivas de derechos individuales»</w:t>
      </w:r>
      <w:r>
        <w:t xml:space="preserve"> (art. 9.3)</w:t>
      </w:r>
      <w:r>
        <w:br/>
      </w:r>
      <w:r>
        <w:rPr>
          <w:b/>
        </w:rPr>
        <w:t>leída en su fuente · art. 9.3</w:t>
      </w:r>
      <w:r>
        <w:br/>
      </w:r>
      <w:r>
        <w:rPr>
          <w:b/>
        </w:rPr>
        <w:t>Archivo leído:</w:t>
      </w:r>
      <w:r>
        <w:t xml:space="preserve"> constitucion_1978.html (c5\constitucion_1978.html) · contraste del archivo de pasajes: ✔</w:t>
      </w:r>
      <w:r>
        <w:br/>
      </w:r>
      <w:r>
        <w:rPr>
          <w:b/>
        </w:rPr>
        <w:t>Lugar:</w:t>
      </w:r>
      <w:r>
        <w:t xml:space="preserve"> Art. 9.3</w:t>
      </w:r>
      <w:r>
        <w:br/>
      </w:r>
      <w:r>
        <w:rPr>
          <w:b/>
        </w:rPr>
        <w:t>Tal como está en la fuente:</w:t>
      </w:r>
      <w:r>
        <w:t xml:space="preserve"> la irretroactividad de las disposiciones sancionadoras no favorables o restrictivas de derechos individuales</w:t>
      </w:r>
      <w:r>
        <w:t>. El decomiso ampliado del Código Penal exige una condena: se ordena sobre los bienes de «una persona condenada por alguno de los siguientes delitos»</w:t>
      </w:r>
      <w:r>
        <w:t xml:space="preserve"> (Código Penal, art. 127 bis.1)</w:t>
      </w:r>
      <w:r>
        <w:br/>
      </w:r>
      <w:r>
        <w:rPr>
          <w:b/>
        </w:rPr>
        <w:t>leída en su fuente · Código Penal, art. 127 bis.1</w:t>
      </w:r>
      <w:r>
        <w:br/>
      </w:r>
      <w:r>
        <w:rPr>
          <w:b/>
        </w:rPr>
        <w:t>Archivo leído:</w:t>
      </w:r>
      <w:r>
        <w:t xml:space="preserve"> 8.5_15a_Codigo_Penal_BOE-A-1995-25444.html (c8c\8.5_15a_Codigo_Penal_BOE-A-1995-25444.html) · contraste del archivo de pasajes: ✔</w:t>
      </w:r>
      <w:r>
        <w:br/>
      </w:r>
      <w:r>
        <w:rPr>
          <w:b/>
        </w:rPr>
        <w:t>Lugar:</w:t>
      </w:r>
      <w:r>
        <w:t xml:space="preserve"> Art. 127 bis.1 (#a127bis)</w:t>
      </w:r>
      <w:r>
        <w:br/>
      </w:r>
      <w:r>
        <w:rPr>
          <w:b/>
        </w:rPr>
        <w:t>Dirección:</w:t>
      </w:r>
      <w:r>
        <w:t xml:space="preserve"> </w:t>
      </w:r>
      <w:r>
        <w:t>https://www.boe.es/buscar/act.php?id=BOE-A-1995-25444</w:t>
      </w:r>
      <w:r>
        <w:br/>
      </w:r>
      <w:r>
        <w:rPr>
          <w:b/>
        </w:rPr>
        <w:t>Tal como está en la fuente:</w:t>
      </w:r>
      <w:r>
        <w:t xml:space="preserve"> 1. El juez o tribunal ordenará también el decomiso de los bienes, efectos y ganancias pertenecientes a una persona condenada por alguno de los siguientes delitos cuando resuelva, a partir de indicios objetivos fundados, que los bienes o efectos provienen de una actividad delictiva, y no se acredite su origen lícito: / a) Delitos de trata de seres humanos. / a bis) Delitos de tráfico de órganos. / b) Delitos relativos a la prostitución y a la explotación sexual y corrupción de menores y delitos de abusos y agresiones sexuales a menores de dieciséis años. / c) Delitos informáticos de los apartados 2 y 3 del artículo 197 y artículo 264. / d) Delitos contra el patrimonio y contra el orden socioeconómico en los supuestos de continuidad delictiva y reincidencia. / e) Delitos relativos a las insolvencias punibles. / f) Delitos contra la propiedad intelectual o industrial. / g) Delitos de corrupción en los negocios. / h) Delitos de receptación del apartado 2 del artículo 298. / i) Delitos de blanqueo de capitales. / j) Delitos contra la Hacienda pública y la Seguridad Social. / k) Delitos contra los derechos de los trabajadores de los artículos 311 a 313. / l) Delitos contra los derechos de los ciudadanos extranjeros. / m) Delitos contra la salud pública de los artículos 368 a 373. / n) Delitos de falsificación de moneda. / o) Delitos de cohecho. / p) Delitos de malversación. / q) Delitos de terrorismo. / r) Delitos cometidos en el seno de una organización o grupo criminal.</w:t>
      </w:r>
      <w:r>
        <w:t xml:space="preserve">. El tribunal de Núremberg habló de la guerra de agresión contra tratados, no de la gestión de un Estado. Lo que el autor propone para lo que fue legal cuando se hizo exigiría cambiar la ley, por las vías del </w:t>
      </w:r>
      <w:r>
        <w:t>capítulo 10</w:t>
      </w:r>
      <w:r>
        <w:t>; mientras tanto, no autoriza a nadie a tomarse la justicia por su mano. Y el límite de la herencia vale para quien la acepta a beneficio de inventario: quien la acepta sin él responde de sus cargas «no sólo con los bienes de ésta, sino también con los suyos propios»</w:t>
      </w:r>
      <w:r>
        <w:t xml:space="preserve"> (Código Civil, art. 1003)</w:t>
      </w:r>
      <w:r>
        <w:br/>
      </w:r>
      <w:r>
        <w:rPr>
          <w:b/>
        </w:rPr>
        <w:t>leída en su fuente · Código Civil, art. 1003</w:t>
      </w:r>
      <w:r>
        <w:br/>
      </w:r>
      <w:r>
        <w:rPr>
          <w:b/>
        </w:rPr>
        <w:t>Archivo leído:</w:t>
      </w:r>
      <w:r>
        <w:t xml:space="preserve"> codigo_civil_1889.html (c5\codigo_civil_1889.html) · contraste del archivo de pasajes: ✔</w:t>
      </w:r>
      <w:r>
        <w:br/>
      </w:r>
      <w:r>
        <w:rPr>
          <w:b/>
        </w:rPr>
        <w:t>Lugar:</w:t>
      </w:r>
      <w:r>
        <w:t xml:space="preserve"> Art. 659</w:t>
      </w:r>
      <w:r>
        <w:br/>
      </w:r>
      <w:r>
        <w:rPr>
          <w:b/>
        </w:rPr>
        <w:t>Tal como está en la fuente:</w:t>
      </w:r>
      <w:r>
        <w:t xml:space="preserve"> no sólo con los bienes de ésta, sino también con los suyos propios</w:t>
      </w:r>
      <w:r>
        <w:t xml:space="preserve">. </w:t>
      </w:r>
      <w:r>
        <w:t>[00.00-11.4; Código Penal, Constitución y Código Civil leídos en el BOE]</w:t>
      </w:r>
    </w:p>
    <w:p>
      <w:pPr>
        <w:pStyle w:val="ListBullet"/>
      </w:pPr>
      <w:r>
        <w:rPr>
          <w:b/>
        </w:rPr>
        <w:t>Los diez casos son constancia histórica, no una ley de la historia.</w:t>
      </w:r>
      <w:r>
        <w:t xml:space="preserve"> Los eligió el autor. La obra no ha estudiado los casos en que el pueblo dejó de obedecer y el poder no cayó, ni qué vino después en cada país: que se retire el sostén a un poder no garantiza lo que llega luego. Varios hechos tienen una sola fuente secundaria (los presos de la India, las manifestaciones de Leipzig, las cacerolas de Islandia). Y la comparación con España la hace el autor, no los datos. </w:t>
      </w:r>
      <w:r>
        <w:t>[19.00-23.1; 19.00-35.4]</w:t>
      </w:r>
    </w:p>
    <w:p>
      <w:pPr>
        <w:pStyle w:val="ListBullet"/>
      </w:pPr>
      <w:r>
        <w:rPr>
          <w:b/>
        </w:rPr>
        <w:t>El caso que se descartó:</w:t>
      </w:r>
      <w:r>
        <w:t xml:space="preserve"> los aztecas elegían a su gobernante dentro de un linaje y por sus méritos, pero no se halló ningún modo de destituirlo: «El poder del Tlatoani era absoluto desde el punto de vista jurídico»</w:t>
      </w:r>
      <w:r>
        <w:t xml:space="preserve"> (López Austin, La constitución real de México-Tenochtitlan, UNAM, conclusión 12)</w:t>
      </w:r>
      <w:r>
        <w:br/>
      </w:r>
      <w:r>
        <w:rPr>
          <w:b/>
        </w:rPr>
        <w:t>pasaje guardado · López Austin, La constitución real de México-Tenochtitlan, UNAM, conclusión 12</w:t>
      </w:r>
      <w:r>
        <w:br/>
      </w:r>
      <w:r>
        <w:rPr>
          <w:b/>
        </w:rPr>
        <w:t>Archivo leído:</w:t>
      </w:r>
      <w:r>
        <w:t xml:space="preserve"> c13_unam_lopez_austin_constitucion_real_1961_conclusiones_060_11.pdf; c13_unam_lopez_austin_constitucion_real_1961_cap_funcionamiento_estatal_060_09.pdf; c13_unam_torquemada_monarquia_indiana_lib2_cap62_muerte_tizoc_miv1127.pdf; c13_britannica_ahuitzotl.html (c9b\c13_unam_lopez_austin_constitucion_real_1961_conclusiones_060_11.pdf) · contraste del archivo de pasajes: parcial</w:t>
      </w:r>
      <w:r>
        <w:br/>
      </w:r>
      <w:r>
        <w:rPr>
          <w:b/>
        </w:rPr>
        <w:t>Lugar:</w:t>
      </w:r>
      <w:r>
        <w:t xml:space="preserve"> López Austin, conclusión 12, pág. PDF 4 (p. 151)</w:t>
      </w:r>
      <w:r>
        <w:br/>
      </w:r>
      <w:r>
        <w:rPr>
          <w:b/>
        </w:rPr>
        <w:t>Tal como está en la fuente:</w:t>
      </w:r>
      <w:r>
        <w:t xml:space="preserve"> El poder del Tlatoani era absoluto desde el punto de vista jurídico.</w:t>
      </w:r>
      <w:r>
        <w:t>. A Tízoc no lo destituyeron: lo mataron, según las crónicas</w:t>
      </w:r>
      <w:r>
        <w:t xml:space="preserve"> (Torquemada, Monarquía indiana, 1615, lib. II, cap. LXII)</w:t>
      </w:r>
      <w:r>
        <w:t xml:space="preserve">. La fuente maya del Registro no se ha leído en el original, y no entra. </w:t>
      </w:r>
      <w:r>
        <w:t>[19.00-0.1 y 11.1; leídos en la UNAM]</w:t>
      </w:r>
    </w:p>
    <w:p>
      <w:pPr>
        <w:pStyle w:val="ListBullet"/>
      </w:pPr>
      <w:r>
        <w:rPr>
          <w:b/>
        </w:rPr>
        <w:t>Cálculos de la obra:</w:t>
      </w:r>
      <w:r>
        <w:t xml:space="preserve"> las 18 jornadas, las «más de cuatro veces», los 37 años para la pensión entera, el 23 % y el 37 % más por habitante, y los 34.405 euros de deuda por habitante.</w:t>
      </w:r>
    </w:p>
    <w:p>
      <w:pPr>
        <w:pStyle w:val="ListBullet"/>
      </w:pPr>
      <w:r>
        <w:rPr>
          <w:b/>
        </w:rPr>
        <w:t>Fuentes privadas, marcadas:</w:t>
      </w:r>
      <w:r>
        <w:t xml:space="preserve"> el Instituto de Estudios Económicos, cuyo 3 % al 5 % recoge de otros autores y cuyo 1,5 % al 2,5 % es una estimación propia, y la asociación de autónomos de </w:t>
      </w:r>
      <w:r>
        <w:t>8.4</w:t>
      </w:r>
      <w:r>
        <w:t>.</w:t>
      </w:r>
    </w:p>
    <w:p>
      <w:pPr>
        <w:pStyle w:val="Heading2"/>
      </w:pPr>
      <w:r>
        <w:t>Dónde se oye la defensa del Estado</w:t>
      </w:r>
    </w:p>
    <w:p>
      <w:r>
        <w:t>La defensa del Estado frente al dictamen, y lo que la obra le responde, se oyen en el juicio, en 11.4:</w:t>
      </w:r>
    </w:p>
    <w:p>
      <w:pPr>
        <w:pStyle w:val="ListBullet"/>
      </w:pPr>
      <w:r>
        <w:t>«Un Estado no es una empresa», «La deuda de pensiones no vence hoy», «Un dinero sin respaldo material es la norma mundial», «"Opinión desfavorable" no es una auditoría oficial» y «Anunciar el cierre de una forma de gobierno invita a desobedecer»;</w:t>
      </w:r>
    </w:p>
    <w:p>
      <w:pPr>
        <w:pStyle w:val="ListBullet"/>
      </w:pPr>
      <w:r>
        <w:t>que España tiene un perfil mixto, con mecanismos reales de acceso abierto; que el Estado cumple la mayor parte de su Constitución; que las amenazas corregidas prueban que el sistema se frena a sí mismo; y la lectura de conjunto, con sus logros;</w:t>
      </w:r>
    </w:p>
    <w:p>
      <w:pPr>
        <w:pStyle w:val="ListBullet"/>
      </w:pPr>
      <w:r>
        <w:t>que «una forma sin sustancia es corrupción» es una categoría moral, no jurídica; y que comparar a España con los diez casos es ilegítimo, porque eran colonias o dictaduras;</w:t>
      </w:r>
    </w:p>
    <w:p>
      <w:pPr>
        <w:pStyle w:val="ListBullet"/>
      </w:pPr>
      <w:r>
        <w:t>que la confianza alta entre la gente prueba que el marco funciona; que decir que «el sistema creó los problemas» es un salto; y la conclusión de conjunto.</w:t>
      </w:r>
    </w:p>
    <w:p>
      <w:r>
        <w:t xml:space="preserve">La objeción de que recuperar lo obtenido ilícitamente exige condena se oye con su propuesta, en el </w:t>
      </w:r>
      <w:r>
        <w:t>capítulo 10</w:t>
      </w:r>
      <w:r>
        <w:t>.</w:t>
      </w:r>
    </w:p>
    <w:p>
      <w:r>
        <w:t>[clasificación de las defensas, aprobada, 11.4 y capítulo 10; 00.0-6.1 a 6.14; 00.00-11.4; 13.00-13.16; 14.00-8.10; 18.00-7.10 y 7.12; 19.00-35.1 a 35.5; 29.00-8.4 y 8.8; 34.00-13.12]</w:t>
      </w:r>
    </w:p>
    <w:p>
      <w:pPr>
        <w:pStyle w:val="Heading2"/>
      </w:pPr>
      <w:r>
        <w:t>Para recordar</w:t>
      </w:r>
    </w:p>
    <w:p>
      <w:pPr>
        <w:pStyle w:val="ListBullet"/>
      </w:pPr>
      <w:r>
        <w:t>La misma vara: con la regla que aplica a cualquier empresa, el sistema estaría en causa de disolución, y su propia ley lo excluye del concurso.</w:t>
      </w:r>
    </w:p>
    <w:p>
      <w:pPr>
        <w:pStyle w:val="ListBullet"/>
      </w:pPr>
      <w:r>
        <w:t>La quiebra camuflada es la lectura del autor: el camuflaje no es el secreto, sino la complejidad.</w:t>
      </w:r>
    </w:p>
    <w:p>
      <w:pPr>
        <w:pStyle w:val="ListBullet"/>
      </w:pPr>
      <w:r>
        <w:t>El ciudadano es acreedor y pagador: 6,13 billones de euros en pensiones prometidas, más de cuatro veces la deuda oficial de aquel año, que no figuran en ella.</w:t>
      </w:r>
    </w:p>
    <w:p>
      <w:pPr>
        <w:pStyle w:val="ListBullet"/>
      </w:pPr>
      <w:r>
        <w:rPr>
          <w:i/>
        </w:rPr>
        <w:t>Auctoritas</w:t>
      </w:r>
      <w:r>
        <w:t xml:space="preserve"> es hacer crecer. Hoy se piden más años, más normas y más trámites por lo mismo, y el hueco se cubre con deuda.</w:t>
      </w:r>
    </w:p>
    <w:p>
      <w:pPr>
        <w:pStyle w:val="ListBullet"/>
      </w:pPr>
      <w:r>
        <w:t>El propio Hobbes escribió que su Leviatán es mortal y que debe obedecer leyes que no son suyas.</w:t>
      </w:r>
    </w:p>
    <w:p>
      <w:pPr>
        <w:pStyle w:val="ListBullet"/>
      </w:pPr>
      <w:r>
        <w:t>El dictamen: opinión desfavorable, sin valor oficial. Anuncia el cierre de una forma de gobierno, no de la ley, por la puerta que la Constitución dejó abierta (art. 168).</w:t>
      </w:r>
    </w:p>
    <w:p>
      <w:pPr>
        <w:pStyle w:val="ListBullet"/>
      </w:pPr>
      <w:r>
        <w:t>La compensación: sin más deuda contra el ciudadano; caso a caso, con derecho de defensa, y nunca por apellido.</w:t>
      </w:r>
    </w:p>
    <w:p>
      <w:pPr>
        <w:pStyle w:val="ListBullet"/>
      </w:pPr>
      <w:r>
        <w:t>Cuando la forma se queda sin sustancia, el pueblo acaba por dejar de sostenerla. La obra lo deja por escrito; su vía es la constancia escrita.</w:t>
      </w:r>
    </w:p>
    <w:p>
      <w:pPr>
        <w:pStyle w:val="ListBullet"/>
      </w:pPr>
      <w:r>
        <w:rPr>
          <w:b/>
        </w:rPr>
        <w:t>Lo que aquí se expone que hay que podar (lectura del autor):</w:t>
      </w:r>
      <w:r>
        <w:t xml:space="preserve"> la quiebra camuflada: la regla que el sistema aplica a cualquier empresa y no se aplica a sí mismo, la complejidad que la tapa y el hueco que se cubre con deuda contra el ciudadano.</w:t>
      </w:r>
    </w:p>
    <w:p>
      <w:pPr>
        <w:pStyle w:val="ListBullet"/>
      </w:pPr>
      <w:r>
        <w:rPr>
          <w:b/>
        </w:rPr>
        <w:t>Lo siguiente:</w:t>
      </w:r>
      <w:r>
        <w:t xml:space="preserve"> las puertas, todas dentro de la ley: compensar, pedir con constancia escrita y deslindar (</w:t>
      </w:r>
      <w:r>
        <w:t>capítulo 10</w:t>
      </w:r>
      <w:r>
        <w:t>).</w:t>
      </w:r>
    </w:p>
    <w:p>
      <w:r>
        <w:br w:type="page"/>
      </w:r>
    </w:p>
    <w:p>
      <w:pPr>
        <w:pStyle w:val="Heading1"/>
      </w:pPr>
      <w:r>
        <w:t>10 Las puertas</w:t>
      </w:r>
    </w:p>
    <w:p>
      <w:pPr>
        <w:spacing w:after="200"/>
      </w:pPr>
      <w:r>
        <w:rPr>
          <w:rFonts w:ascii="Segoe UI" w:hAnsi="Segoe UI" w:eastAsia="Segoe UI" w:cs="Segoe UI"/>
          <w:color w:val="6B665E"/>
          <w:sz w:val="17"/>
        </w:rPr>
        <w:t>Primera versión: 6 de octubre de 2026 · Última revisión: 12 de octubre de 2026 · Cambios anotados en el capítulo: 13 · Citas leídas en su fuente: 56</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(d) *hamartia* en cursiva también en la fórmula del modelo que cita 10.4, para que siga igual a la de D (07/herramientas/aplicar_cinco_de_forma.py).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un punto nuevo: «Lo siguiente», el puente al capítulo 11 (borrador B16). Ninguna otra palabra cambia. Cambio del 12-oct-2026 (Kiko, chat de 08.18, 06:3x, pasado por 08.18 tal cual, a «¿das el sí a los nueve cambios de 07.6?»: «si»; borrador B13, el barrido de los cuantificadores vagos en las frases con dato): en 10.4, «se reclama siempre (o nunca) a la Administración, no al empleado» lleva su alcance, el de la Ley 40/2015, art. 36.1: «por el daño de un servicio público» (la responsabilidad patrimonial); y se añade el art. 37.1, leído en local: si hubo delito, la responsabilidad penal del empleado y la civil que nace de él se exigen por la ley penal. Ninguna otra palabra cambia. Cambio del 10-oct-2026 (Kiko, chat de 08.7, 23:1x, pasado por 08.7 tal cual: «¿Qué semilla estás cultivando y qué árbol estás creando?» y, a la pregunta de ponerla en 10.9 con remisión a J.1 sin tocar J.1, «SI»): en 10.9, «Lectura del autor», esa pregunta entra como primera de las preguntas de espejo, con «(J.1)», y su trazabilidad. Ninguna otra palabra cambia; la pregunta de cierre, la misma de G.0 y 11.6, tampoco. Cambio del 10-oct-2026 (Kiko, chat de 08.7, 22:5x a 23:0x, pasado por 08.7 tal cual: «Mi recomendación, ahora que lo he visto entero: la salida 3. OK»; pregunta 8 de 08/11, las remisiones a los anexos): en 10.9, «Por qué aquí», la segunda de las dos remisiones al anexo J, «y que el anexo J deja anunciada para aquí», pasa a «y que el propio anexo deja anunciada para aquí (J.1)»: lleva a J.1, donde J anuncia la brújula, y no otra vez al principio del anexo. Ninguna otra palabra cambia. Cambio del 9-oct-2026 (Kiko, chat de 07: «yo unificaría el lenguaje»; retoque de A10): en 10.2, en «un Estado, pero no un Gobierno», la frase de las auditorías pasa al lenguaje de la obra, mérito y frutos: «por mérito propio y por sus frutos, quien vale se debe quedar, y quien no cumple esto no puede estar en esa función, porque no la cumple». Cambio del 9-oct-2026 (Kiko, chat de 07: «Bien, perfecto. Puedes ponerlo. Lo veo bien», con sus tres decisiones; fila A10 de 03b): en 10.2, entre «La metamorfosis» y «Ya hay quien lo ha escrito», tres párrafos: «Lectura del autor, el árbol que hay que podar» (con la administración de funcionarios por mérito), «Lo que ya dice la ley» (Constitución, arts. 97, 103.1 y 104.1; Estatuto Básico del Empleado Público, arts. 20.1, 95.2.c y 96.1.a, leídos en el BOE) y «Lectura del autor, un Estado, pero no un Gobierno» (jefes elegidos por sus compañeros por mérito y una asamblea de departamentos con un coordinador; lectura del autor, no propuesta de la obra: queda para un parlamento aparte). «La idea» de 10.2 no cambia. Cambio del 9-oct-2026 (Kiko, chat de 07: «la frase que más invita a reflexionar es…»; tras proponerle armonizar la serie de preguntas, y su «en todos los sitios»): en 10.9, al final de las preguntas del espejo del autor (que se quedan como estaban), la misma pregunta que cierra G.0 y 11.6. Cambio del 9-oct-2026 (Kiko, chat de 07, tras varios dictados; su redacción última): la pregunta pasa a «Ahora que nadie te mira y ves tu reflejo interior, la pregunta que surge: ¿cuáles serán tus frutos? ¿Qué vas a hacer tú?», en lugar de la primera versión. Cambio del 9-oct-2026 (Kiko: «Sí al B6 con las tres recomendaciones» y «sí al B6»; filas 37 de 04p; borrador B6 de la carpeta 07, escrito por la ventana que acompaña): en 10.8, el paso 2 del plan dice cómo se mide la imparcialidad del jurado (voto razonado y público, sin conflicto de interés, con recusación y sin examen de ideas) y remite a 11.1; y en 10.2, un cuarto punto en la respuesta de la obra: la imparcialidad no se presume por el sorteo, se mide después. Cambio del 9-oct-2026 (Kiko: «Sí al B5, aplícalo»; filas 15 y 16 de 04p; borrador B5 de la carpeta 07, escrito por la ventana que acompaña): en 10.3, «La idea» (media frase más) y un bloque nuevo, «Quién puede corregir, y con qué medida» (cuatro condiciones: consentimiento, el bien del corregido, la medida justa y un rumbo; con Platón, Mencio, el Daodejing, la Gita y Lucas 13, y la imagen del médico); un apartado nuevo, 10.9 «La brújula», que cierra el capítulo y cumple lo que el anexo J anunciaba; una línea en 10.0, un punto en «En pocas palabras», otro en «Para recordar» y otro en «Límite honesto de la prueba». Cambio del 9-oct-2026 (Kiko, decisión Q16 del bloque 04n, «sí a todas»; fila 5 de 04p): en «Lo que no prueba» del principio convergente, «por su derecho positivo» pasa a «por su ley escrita». Nada más cambia. Cambio del 8-oct-2026 (lectura de la dirección de la obra, aviso PASO 4.8): en la respuesta de la obra a la defensa del sistema que se corrige, «la pieza lo dice con esas mismas palabras» pasa a «lo reconoce con esas mismas palabras». ESTADO: APROBADO por Kiko el 6-oct-2026, por la noche («si a las 3 preguntas»: el capítulo, la errata nueva del jurado y lo que se queda fuera). Su material está marcado en el inventario (04 CAPITULOS/marcas/marcas del capitulo 10.txt). Cualquier cambio posterior, con su aprobación. REPUESTO el 7-oct (lo verificado que se omitió por error se repone sin pedir permiso; Kiko, 7-oct), hallado con herramientas/flecos_en_local.py: en 10.2, el «perro guardián» del TEDH (00.00-8.1), leído en el original en el paso 2 (10 FUENTES LEIDAS/c9c, Observer y Guardian, § 59, fila de 00.00-24.2); y en el jurado, el año y las 99 personas de la asamblea irlandesa (00.00-9.11), leídos en c9d (citizensassembly.ie, la página de la asamblea 2016-2018: la muestra de 99 personas y la resolución de julio de 2016). Redactado en el paso 3 solo con lo comprobado en los pasos 2 y 2 bis: al redactar no se ha descargado nada; lo que falta se apunta en la libreta 75 (7 bis). Sin agentes. Escrito en tres niveles y con remisiones enlazables. Cambiado el 7-oct-2026, después de aprobar: los quince pilares salen de la obra (decisión de Kiko; libreta 72, punto 183). Fuera el apartado 10.8 y el verbo «declarar»; el Registro de los frutos pasa de 10.8 a 10.8.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Las piezas de origen conservan su título histórico solo aquí (la 30.00 se llamaba «Mapa de sustitución»: glosario 8.1). Leído hoy en su original (pasos 2 y 2 bis, 6-oct; cada dato tiene su pasaje en 12 COMPROBADO EN EL PASO 2 y en 14 ARCHIVO DE PASAJES): - BOE: Constitución (arts. 9.1, 9.2, 9.3, 10.2, 14, 20.1.d, 20.2, 24.2, 29, 33, 47, 53.1, 103.1, 106.2, 121 y 125); Código Civil (arts. 1.2, 6.4, 7, 364, 384, 434, 444, 454, 455, 457 y 1902); Código Penal (arts. 20.4, 20.5, 116.1, 404 y 410.2); Ley 39/2015 (arts. 21, 24, 35, 39, 47.2, 53.1, 53.2.b, 97.1, 106, 115.2, 117, 123 y 124); Ley 40/2015 (arts. 32 y 36); Ley 29/1998 (arts. 23.1, 26, 27, 29, 30, 34, 37.2, 46, 110, 111 y 139.1); Ley Orgánica 4/2001 (arts. 3, 4.2, 6, 8, 9.1, 11 y 12); Ley 19/2013 (arts. 5.1, 8.1.a, 18.1, 20 y 24); Ley General Tributaria (arts. 167, 211.4, 223 y 224); Ley de Enjuiciamiento Civil (arts. 250.1.4.º y 607); Ley de Tráfico (arts. 94 y 95.1); Ley Orgánica del Poder Judicial (arts. 6, 19 y 292 a 297); Ley Orgánica 5/1995 (art. 13); Ley Orgánica 3/1981 (art. 15); Ley Orgánica 2/1986 (art. 5.1.d); Estatuto Básico del Empleado Público (art. 54.3); Ley General de la Seguridad Social (art. 214); Ley de Expropiación Forzosa de 1954 (art. 121); Ley de Enjuiciamiento Criminal (art. 800.3) y Ley Orgánica 1/2025; Real Decreto-ley 16/2025. - Europa e internacional: Tratado de la Unión Europea (art. 5.2); Tratado de Funcionamiento de la UE (art. 3.1.c); Carta de los Derechos Fundamentales de la UE (arts. 17, 20, 41, 47, 48, 49 y 52.1); Reglamento (UE) 2024/1083 (arts. 6.1, 25.2 y 29); Directiva (UE) 2024/2853 (art. 21); Convenio Europeo de Derechos Humanos (arts. 6 y 10, y art. 1 del Protocolo n.º 1); Declaración Universal (arts. 7, 8, 10, 11 y 12); Pacto Internacional de Derechos Civiles y Políticos (art. 14.2); Constitución de Bolivia (art. 8.I); Asamblea Ciudadana de Irlanda. - Sentencias: SSTC 11/1981, 18/1981, 42/1989, 76/1990, 10/1991, 257/1993, 35/1994, 66/1995, 55/1996, 207/1996, 5/2004, 59/2017, 148/2021, 182/2021, 125/2022, 121/2025 y 184/2025; SSTS de 21-6-1996 y de 22-3-1996, 932/2021, 1182/2024, 3259/2025, 3465/2025, 1063/2025, 1785, 1786 y 1796/2025, y de 7-7-2026; SSTJUE de 22-2-2024 y de 14-4-2026; SSTEDH Casa di Cura Valle Fiorita c. Italia (13-12-2018) y Papachela y Amazon c. Grecia (3-12-2020). - Organismos y datos: Ministerio del Interior (criminalidad de 2024); CGPJ (La Justicia dato a dato, 2025); Tribunal Constitucional (Memoria de 2025); Consejo de Transparencia (reclamaciones de 2025); Eurostat (gasto de 2025); Idealista (análisis de sus anuncios, tercer trimestre de 2025: dato de una empresa privada). - Biblia, Reina-Valera Antigua (Mt 13:29-30; Mt 22:21; Rm 12:17-21; Rm 13:1-7; Hch 5:29; Lc 12:48; Stg 4:17; Jn 8:44; Dt 27:17); Corán 4:58-59, trad. de Julio Cortés. Fuente secundaria (se marca): Alonso-Cuevillas (2016), el título de su artículo. Hallado al escribir: erratas de la Biblioteca que la edición lleva corregidas (07 FE DE ERRATAS): - 00.00-7.1: Mt 13:29-30 y Rm 12:17-21 van en la RVA literal; las comillas de la pieza encerraban un resumen. - 20.00-7.1: la Carta, art. 52.1, dice «deberá ser establecida por la ley» y «respetar el contenido esencial»; la frase atribuida a la STC 18/1981 no está en ella (la edición dice lo que sí dice). 20.00-7.2: es la Carta de 2007 (DOUE-Z-2007-70004). - 20.00-9.1: las SSTS de diciembre de 2025 dicen «el consumidor debe quedar indemne económicamente», no «patrimonialmente indemne». - 20.00-9.3: las comillas de la STS de 21-6-1996 encerraban un resumen: van sus palabras. - 20.00-31.1: Dt 27:17 en la RVA («el término»); «maniobras o estratagemas…» no está en la STS de 25-9-1996: no entra; el art. 7.2 del Código Civil, con su texto entero («las medidas judiciales o administrativas que impidan…»). - 33.00-4.4: los quince días son para señalar el juicio oral, no para resolver; las «primeras 48 horas» no están en la ley: no entran. - 32.00-13.2: es el art. 94 de la Ley de Tráfico; 00.0-7.8: art. 97.1 de la Ley 39/2015; 32.00-22.2: la LO 4/2001 obliga a indicar el órgano competente cuando la petición tiene otro procedimiento (art. 9.1). - 33.00-7.1: la «STC de 10 de octubre de 2022» es la STC 125/2022; la doctrina de la STC 35/1994 viene de la 223/1988. - 20.00-31.1: la accesión invertida, con la STS de 22-3-1996, que la arranca en la de 31-5-1949 (la de 1908, sin fuente oficial en línea). Y al redactar (libreta 75, 7 bis), sin descargar nada: - ERRATA NUEVA, aprobada con el capítulo (al 07): 00.00-9.11 y 11.9 dicen que el jurado interviene «en torno al 0,3 %» de los asuntos penales; con la memoria del CGPJ de 2025 (c9c), 465 sentencias del jurado de 599.492 sentencias penales son menos del 0,1 %. - La criba dio por verificadas las cifras de vivienda social de 33.00-8.1 y 9.11 (1,5-3,3 %, 8-10,5 %, 50,7 %, 90,3 %) porque el mismo número salía en otro dato («4.090,3», «50,7 %» de la capa 4, «1,5-2,5 %» del IEE). No tienen fuente leída: no entran. Lección para la libreta 76. - La criba no veía los hechos sin cifra ni cita: no tienen fila en el registro y no entran el Tribunal Russell y el Tribunal Permanente de los Pueblos (00.00-10.1), el Auto 71/1993 (00.0-7.5; en su lugar, el art. 9.1 de la Constitución), el Ombudsman sueco y el Justicia Mayor (00.00-9.4 y 33.00-2.1), el «perro guardián» del TEDH (00.00-8.1; repuesto el 7-oct: estaba leído), las leyes hititas, la Lex Aquilia y el pacto del Sinaí (31.00-1 y 2), Terminus, Aristóteles y la «graphḕ hýbreōs» (20.00-31.1; de MacDowell solo se ha comprobado que el artículo existe), el caso IVIMA (33.00-5.1), los relatores de la ONU, el Comisionado del Consejo de Europa y la Ley Corcuera (33.00-1.1), los 50.000 euros del Consejo de Estado (20.00-9.4) y las 99 personas y el año de la asamblea irlandesa (00.00-9.11; repuestos el 7-oct: estaban leídos). No entra (flecos, 05; DECIDIDO por Kiko el 6-oct para los del capítulo 10): Paracelso; la frase de «uno de los redactores» de la Declaración Universal; los «20 meses» y «veinte meses» de los desahucios; Funcas y Cáritas; el expediente INFR(2026)4005; la cita académica de 20.00-9.2 y las de 31.00-6.2; las cifras del Colegio de Economistas de Cataluña y el Institut Cerdà (33.00-4.3, solo en prensa). Remisiones (hacia atrás): la ley de Dios primero (1.2); la costumbre y sus tribunales (1.5); el ente sin cuerpo (2.1); la buena fe y «el que no entendió» (2.5); los avales (2.4); la pata coja y Rm 13:1 (3.4); el Corán 4:58 (3.2); el padre de la mentira (4.4); lo que se da por supuesto (5.1, n.º 9 y 19; 5.2); la autoproclamación y el contrato que nadie firmó (6.1 y 6.2); los 93 artículos (7.1); la presunción en lo sancionador (7.5, n.º 3); la palabra del inspector (7.6); Torrejón de Ardoz (7.7, n.º 1); las tradiciones que hicieron institución la corrección (7.5); la carga (8.4); la quiebra camuflada y la compensación (9.1); la forma sin sustancia (9.2). Conceptos que ancla: la metamorfosis del Estado (10.2); la depuración sin venganza (10.3); la constancia escrita y la pregunta (10.4); el botiquín (10.5); el deslinde (10.7); el Registro de los frutos (10.8).</w:t>
      </w:r>
    </w:p>
    <w:p>
      <w:pPr>
        <w:pBdr>
          <w:left w:val="single" w:sz="24" w:space="6" w:color="E2DED6"/>
        </w:pBdr>
        <w:shd w:val="clear" w:color="auto" w:fill="F1EEE8"/>
        <w:spacing w:before="80" w:after="160"/>
        <w:ind w:left="142" w:right="142"/>
      </w:pPr>
      <w:r>
        <w:rPr>
          <w:b/>
        </w:rPr>
        <w:t>En pocas palabras:</w:t>
      </w:r>
    </w:p>
    <w:p>
      <w:pPr>
        <w:pStyle w:val="ListBullet"/>
      </w:pPr>
      <w:r>
        <w:t>Los textos que mandan pagar y obedecer ponen en el mismo sitio su condición: que la autoridad sirva. La obra está de acuerdo con pagar a un Estado que sirva al pueblo, y su camino es pedir, no dejar de pagar.</w:t>
      </w:r>
    </w:p>
    <w:p>
      <w:pPr>
        <w:pStyle w:val="ListBullet"/>
      </w:pPr>
      <w:r>
        <w:t>No se reclama un Estado nuevo: se invita al que hay a metamorfosearse. Las propuestas del autor van separadas de lo que ya existe.</w:t>
      </w:r>
    </w:p>
    <w:p>
      <w:pPr>
        <w:pStyle w:val="ListBullet"/>
      </w:pPr>
      <w:r>
        <w:t>Corregir sin vengarse: separar lo que sirve de lo que daña, caso por caso y con pruebas, sin arrancar el trigo con la cizaña; y quien corrige, como el médico, necesita consentimiento, buscar el bien del corregido, la medida justa y un rumbo.</w:t>
      </w:r>
    </w:p>
    <w:p>
      <w:pPr>
        <w:pStyle w:val="ListBullet"/>
      </w:pPr>
      <w:r>
        <w:t>La herramienta del ciudadano cabe en una pregunta: «¿Me puede explicar qué es lo que le legitima para solicitarme esto?». Se hace por escrito, y lo que se responde, o el silencio, queda registrado.</w:t>
      </w:r>
    </w:p>
    <w:p>
      <w:pPr>
        <w:pStyle w:val="ListBullet"/>
      </w:pPr>
      <w:r>
        <w:t>La ley ya obliga a compensar el daño injusto, y cada vez más arriba: el particular, la Administración, la justicia, el Tribunal Constitucional y hasta el legislador.</w:t>
      </w:r>
    </w:p>
    <w:p>
      <w:pPr>
        <w:pStyle w:val="ListBullet"/>
      </w:pPr>
      <w:r>
        <w:t>Cuando el límite entre lo que es del Estado y lo que es de la persona ya no se ve, se pide un deslinde: volver a marcarlo, con las dos partes presentes. No es una acusación.</w:t>
      </w:r>
    </w:p>
    <w:p>
      <w:pPr>
        <w:pStyle w:val="ListBullet"/>
      </w:pPr>
      <w:r>
        <w:t>Todo converge en el Registro de los frutos y en el juicio popular de la verdad: dejar constancia, a la vista de todos.</w:t>
      </w:r>
    </w:p>
    <w:p>
      <w:pPr>
        <w:pStyle w:val="ListBullet"/>
      </w:pPr>
      <w:r>
        <w:t>La última puerta no da al Estado, sino a uno mismo: la brújula, tres preguntas cuya respuesta no es dato de la obra.</w:t>
      </w:r>
    </w:p>
    <w:p>
      <w:pPr>
        <w:pStyle w:val="Heading2"/>
      </w:pPr>
      <w:r>
        <w:t>10.0 Propósito</w:t>
      </w:r>
    </w:p>
    <w:p>
      <w:r>
        <w:t xml:space="preserve">Los capítulos 7, 8 y 9 midieron y dictaminaron. Este abre las puertas: lo que la obra propone, y las herramientas que la propia ley ya da a cualquiera. Son tres verbos: </w:t>
      </w:r>
      <w:r>
        <w:rPr>
          <w:b/>
        </w:rPr>
        <w:t>compensar, pedir con constancia escrita y deslindar</w:t>
      </w:r>
      <w:r>
        <w:t>. Todas las puertas están dentro de la ley (</w:t>
      </w:r>
      <w:r>
        <w:t>0.2</w:t>
      </w:r>
      <w:r>
        <w:t>).</w:t>
      </w:r>
    </w:p>
    <w:p>
      <w:r>
        <w:rPr>
          <w:b/>
        </w:rPr>
        <w:t>Cómo se lee.</w:t>
      </w:r>
      <w:r>
        <w:t xml:space="preserve"> Cada apartado separa lo que ya existe, con su fuente, de lo que el autor propone, marcado como propuesta. Donde una propuesta tiene una objeción seria, la objeción va al lado, con su respuesta: son parte de usar bien cada herramienta, no el Estado defendiéndose (eso va al juicio, </w:t>
      </w:r>
      <w:r>
        <w:t>capítulo 11</w:t>
      </w:r>
      <w:r>
        <w:t>).</w:t>
      </w:r>
    </w:p>
    <w:p>
      <w:r>
        <w:rPr>
          <w:b/>
        </w:rPr>
        <w:t>Lo que este capítulo no hace.</w:t>
      </w:r>
      <w:r>
        <w:t xml:space="preserve"> No aconseja dejar de pagar ni desobedecer: las obligaciones vigentes siguen vigentes</w:t>
      </w:r>
      <w:r>
        <w:t xml:space="preserve"> (Constitución, art. 9.1)</w:t>
      </w:r>
      <w:r>
        <w:t>. Los modelos de escrito son orientativos, no asesoramiento para un caso concreto: los plazos son estrictos y, cuando hay mucho en juego, conviene un profesional.</w:t>
      </w:r>
    </w:p>
    <w:p>
      <w:r>
        <w:t>Este capítulo dice:</w:t>
      </w:r>
    </w:p>
    <w:p>
      <w:pPr>
        <w:pStyle w:val="ListBullet"/>
      </w:pPr>
      <w:r>
        <w:rPr>
          <w:b/>
        </w:rPr>
        <w:t>10.1</w:t>
      </w:r>
      <w:r>
        <w:t xml:space="preserve"> lo que se propone: un Estado que sirva al pueblo;</w:t>
      </w:r>
    </w:p>
    <w:p>
      <w:pPr>
        <w:pStyle w:val="ListBullet"/>
      </w:pPr>
      <w:r>
        <w:rPr>
          <w:b/>
        </w:rPr>
        <w:t>10.2</w:t>
      </w:r>
      <w:r>
        <w:t xml:space="preserve"> la metamorfosis del Estado y las propuestas del autor;</w:t>
      </w:r>
    </w:p>
    <w:p>
      <w:pPr>
        <w:pStyle w:val="ListBullet"/>
      </w:pPr>
      <w:r>
        <w:rPr>
          <w:b/>
        </w:rPr>
        <w:t>10.3</w:t>
      </w:r>
      <w:r>
        <w:t xml:space="preserve"> la depuración sin venganza;</w:t>
      </w:r>
    </w:p>
    <w:p>
      <w:pPr>
        <w:pStyle w:val="ListBullet"/>
      </w:pPr>
      <w:r>
        <w:rPr>
          <w:b/>
        </w:rPr>
        <w:t>10.4</w:t>
      </w:r>
      <w:r>
        <w:t xml:space="preserve"> la constancia escrita y la pregunta;</w:t>
      </w:r>
    </w:p>
    <w:p>
      <w:pPr>
        <w:pStyle w:val="ListBullet"/>
      </w:pPr>
      <w:r>
        <w:rPr>
          <w:b/>
        </w:rPr>
        <w:t>10.5</w:t>
      </w:r>
      <w:r>
        <w:t xml:space="preserve"> el botiquín de escritos;</w:t>
      </w:r>
    </w:p>
    <w:p>
      <w:pPr>
        <w:pStyle w:val="ListBullet"/>
      </w:pPr>
      <w:r>
        <w:rPr>
          <w:b/>
        </w:rPr>
        <w:t>10.6</w:t>
      </w:r>
      <w:r>
        <w:t xml:space="preserve"> el derecho a compensación;</w:t>
      </w:r>
    </w:p>
    <w:p>
      <w:pPr>
        <w:pStyle w:val="ListBullet"/>
      </w:pPr>
      <w:r>
        <w:rPr>
          <w:b/>
        </w:rPr>
        <w:t>10.7</w:t>
      </w:r>
      <w:r>
        <w:t xml:space="preserve"> el deslinde;</w:t>
      </w:r>
    </w:p>
    <w:p>
      <w:pPr>
        <w:pStyle w:val="ListBullet"/>
      </w:pPr>
      <w:r>
        <w:rPr>
          <w:b/>
        </w:rPr>
        <w:t>10.8</w:t>
      </w:r>
      <w:r>
        <w:t xml:space="preserve"> el Registro de los frutos;</w:t>
      </w:r>
    </w:p>
    <w:p>
      <w:pPr>
        <w:pStyle w:val="ListBullet"/>
      </w:pPr>
      <w:r>
        <w:rPr>
          <w:b/>
        </w:rPr>
        <w:t>10.9</w:t>
      </w:r>
      <w:r>
        <w:t xml:space="preserve"> y la brújula: la puerta de dentro.</w:t>
      </w:r>
    </w:p>
    <w:p>
      <w:pPr>
        <w:pStyle w:val="Heading2"/>
      </w:pPr>
      <w:r>
        <w:t>10.1 Lo que se propone: un Estado que sirva al pueblo</w:t>
      </w:r>
    </w:p>
    <w:p>
      <w:pPr>
        <w:pBdr>
          <w:left w:val="single" w:sz="24" w:space="6" w:color="E2DED6"/>
        </w:pBdr>
        <w:shd w:val="clear" w:color="auto" w:fill="F1EEE8"/>
        <w:spacing w:before="80" w:after="160"/>
        <w:ind w:left="142" w:right="142"/>
      </w:pPr>
      <w:r>
        <w:rPr>
          <w:b/>
        </w:rPr>
        <w:t>La idea: los mismos textos que mandan pagar y obedecer ponen la condición en el mismo lugar: la autoridad es para el bien de quien obedece. La obra está de acuerdo con pagar a un Estado que sirva, y su camino es pedir, no dejar de pagar.</w:t>
      </w:r>
    </w:p>
    <w:p>
      <w:pPr>
        <w:pStyle w:val="Heading3"/>
      </w:pPr>
      <w:r>
        <w:t>Los textos que mandan pagar y obedecer</w:t>
      </w:r>
    </w:p>
    <w:p>
      <w:pPr>
        <w:pStyle w:val="ListBullet"/>
      </w:pPr>
      <w:r>
        <w:t>Pablo: «Toda alma se someta á las potestades superiores […] por esto pagáis también los tributos»</w:t>
      </w:r>
      <w:r>
        <w:t xml:space="preserve"> (Rm 13:1 y 6)</w:t>
      </w:r>
      <w:r>
        <w:br/>
      </w:r>
      <w:r>
        <w:rPr>
          <w:b/>
        </w:rPr>
        <w:t>leída en su fuente · Rm 13:1 y 6</w:t>
      </w:r>
      <w:r>
        <w:br/>
      </w:r>
      <w:r>
        <w:rPr>
          <w:b/>
        </w:rPr>
        <w:t>Archivo leído:</w:t>
      </w:r>
      <w:r>
        <w:t xml:space="preserve"> rva_c3.txt (Rom 13:1); rom_13_4-6_rva.html (13:6) (biblia_rv1909\spaRV1909_texto_corrido.txt) · contraste del archivo de pasajes: ✔</w:t>
      </w:r>
      <w:r>
        <w:br/>
      </w:r>
      <w:r>
        <w:rPr>
          <w:b/>
        </w:rPr>
        <w:t>Lugar:</w:t>
      </w:r>
      <w:r>
        <w:t xml:space="preserve"> Rom 13:1</w:t>
      </w:r>
      <w:r>
        <w:br/>
      </w:r>
      <w:r>
        <w:rPr>
          <w:b/>
        </w:rPr>
        <w:t>Dirección:</w:t>
      </w:r>
      <w:r>
        <w:t xml:space="preserve"> </w:t>
      </w:r>
      <w:r>
        <w:t>https://www.biblegateway.com/passage/?search=Romans+13%3A4-6&amp;version=RVA</w:t>
      </w:r>
      <w:r>
        <w:br/>
      </w:r>
      <w:r>
        <w:rPr>
          <w:b/>
        </w:rPr>
        <w:t>Tal como está en la fuente:</w:t>
      </w:r>
      <w:r>
        <w:t xml:space="preserve"> TODA alma se someta á las potestades superiores; porque no hay potestad sino de Dios; y las que son, de Dios son ordenadas.</w:t>
      </w:r>
      <w:r>
        <w:t>. Y en el mismo capítulo, la razón: la autoridad «es ministro de Dios para tu bien»</w:t>
      </w:r>
      <w:r>
        <w:t xml:space="preserve"> (Rm 13:4)</w:t>
      </w:r>
      <w:r>
        <w:br/>
      </w:r>
      <w:r>
        <w:rPr>
          <w:b/>
        </w:rPr>
        <w:t>leída en su fuente · Rm 13:4</w:t>
      </w:r>
      <w:r>
        <w:br/>
      </w:r>
      <w:r>
        <w:rPr>
          <w:b/>
        </w:rPr>
        <w:t>Archivo leído:</w:t>
      </w:r>
      <w:r>
        <w:t xml:space="preserve"> rom_13_4-6_rva.html; mt_22_21_rva.html; hch_5_29_rva.html (c9g\rom_13_4-6_rva.html) · contraste del archivo de pasajes: ✔</w:t>
      </w:r>
      <w:r>
        <w:br/>
      </w:r>
      <w:r>
        <w:rPr>
          <w:b/>
        </w:rPr>
        <w:t>Lugar:</w:t>
      </w:r>
      <w:r>
        <w:t xml:space="preserve"> Rom 13:4</w:t>
      </w:r>
      <w:r>
        <w:br/>
      </w:r>
      <w:r>
        <w:rPr>
          <w:b/>
        </w:rPr>
        <w:t>Dirección:</w:t>
      </w:r>
      <w:r>
        <w:t xml:space="preserve"> </w:t>
      </w:r>
      <w:r>
        <w:t>https://www.biblegateway.com/passage/?search=Romans+13%3A4-6&amp;version=RVA</w:t>
      </w:r>
      <w:r>
        <w:br/>
      </w:r>
      <w:r>
        <w:rPr>
          <w:b/>
        </w:rPr>
        <w:t>Tal como está en la fuente:</w:t>
      </w:r>
      <w:r>
        <w:t xml:space="preserve"> Porque es ministro de Dios para tu bien. Mas si hicieres lo malo, teme: porque no en vano lleva el cuchillo…</w:t>
      </w:r>
      <w:r>
        <w:t xml:space="preserve">. Quién escribió esa obediencia, y desde dónde, ya se vio en </w:t>
      </w:r>
      <w:r>
        <w:t>3.4</w:t>
      </w:r>
      <w:r>
        <w:t>.</w:t>
      </w:r>
    </w:p>
    <w:p>
      <w:pPr>
        <w:pStyle w:val="ListBullet"/>
      </w:pPr>
      <w:r>
        <w:t xml:space="preserve">Jesús: «Pagad pues á César lo que es de César, y á Dios lo que es de Dios» (Mt 22:21; </w:t>
      </w:r>
      <w:r>
        <w:t>5.2</w:t>
      </w:r>
      <w:r>
        <w:t>). La persona no es del César.</w:t>
      </w:r>
    </w:p>
    <w:p>
      <w:pPr>
        <w:pStyle w:val="ListBullet"/>
      </w:pPr>
      <w:r>
        <w:t>El Corán: «obedeced […] a aquellos de vosotros que tengan autoridad»</w:t>
      </w:r>
      <w:r>
        <w:t xml:space="preserve"> (Corán 4:59, trad. de Julio Cortés)</w:t>
      </w:r>
      <w:r>
        <w:br/>
      </w:r>
      <w:r>
        <w:rPr>
          <w:b/>
        </w:rPr>
        <w:t>leída en su fuente · Corán 4:59, trad. de Julio Cortés</w:t>
      </w:r>
      <w:r>
        <w:br/>
      </w:r>
      <w:r>
        <w:rPr>
          <w:b/>
        </w:rPr>
        <w:t>Archivo leído:</w:t>
      </w:r>
      <w:r>
        <w:t xml:space="preserve"> coran_cortes_tanzil_completo.txt (l. 551-552) (c4\coran_cortes_tanzil_completo.txt) · contraste del archivo de pasajes: ✔</w:t>
      </w:r>
      <w:r>
        <w:br/>
      </w:r>
      <w:r>
        <w:rPr>
          <w:b/>
        </w:rPr>
        <w:t>Lugar:</w:t>
      </w:r>
      <w:r>
        <w:t xml:space="preserve"> 4:59</w:t>
      </w:r>
      <w:r>
        <w:br/>
      </w:r>
      <w:r>
        <w:rPr>
          <w:b/>
        </w:rPr>
        <w:t>Dirección:</w:t>
      </w:r>
      <w:r>
        <w:t xml:space="preserve"> </w:t>
      </w:r>
      <w:r>
        <w:t>https://tanzil.net/trans/es.cortes</w:t>
      </w:r>
      <w:r>
        <w:br/>
      </w:r>
      <w:r>
        <w:rPr>
          <w:b/>
        </w:rPr>
        <w:t>Tal como está en la fuente:</w:t>
      </w:r>
      <w:r>
        <w:t xml:space="preserve"> ¡Creyentes! Obedeced a Alá, obedeced al Enviado y a aquéllos de vosotros que tengan autoridad.</w:t>
      </w:r>
      <w:r>
        <w:t xml:space="preserve">, justo después de ordenar que se restituyan los depósitos y se juzgue con justicia (4:58; </w:t>
      </w:r>
      <w:r>
        <w:t>3.2</w:t>
      </w:r>
      <w:r>
        <w:t>).</w:t>
      </w:r>
    </w:p>
    <w:p>
      <w:pPr>
        <w:pStyle w:val="ListBullet"/>
      </w:pPr>
      <w:r>
        <w:t xml:space="preserve">Y por encima de todo: «Es menester obedecer á Dios antes que á los hombres» (Hch 5:29; </w:t>
      </w:r>
      <w:r>
        <w:t>1.2</w:t>
      </w:r>
      <w:r>
        <w:t>).</w:t>
      </w:r>
    </w:p>
    <w:p>
      <w:r>
        <w:t>[00.0-7.1 y 7.2; Reina-Valera Antigua; Corán, trad. de Julio Cortés]</w:t>
      </w:r>
    </w:p>
    <w:p>
      <w:r>
        <w:rPr>
          <w:b/>
        </w:rPr>
        <w:t>Conclusión, lo que arrojan los datos:</w:t>
      </w:r>
      <w:r>
        <w:t xml:space="preserve"> los textos que mandan pagar y obedecer no lo mandan sin condición: la autoridad lo es para el bien de quien obedece, y por encima de ella está Dios. </w:t>
      </w:r>
      <w:r>
        <w:t>[00.0-7.2]</w:t>
      </w:r>
    </w:p>
    <w:p>
      <w:r>
        <w:rPr>
          <w:b/>
        </w:rPr>
        <w:t>Lectura del autor:</w:t>
      </w:r>
      <w:r>
        <w:t xml:space="preserve"> el autor está de acuerdo con pagar tributos a un Estado que sirva al pueblo, como aquel en que esta obra invita a metamorfosearse al actual. El pueblo está dispuesto a seguir a un Estado que le sirva. Lo que se presenta como Estado pero no sirve al pueblo, sino que se sirve de él, apunta hacia el padre de la mentira (Jn 8:44; </w:t>
      </w:r>
      <w:r>
        <w:t>4.4</w:t>
      </w:r>
      <w:r>
        <w:t xml:space="preserve">). </w:t>
      </w:r>
      <w:r>
        <w:t>[00.0-7.4 y 7.6]</w:t>
      </w:r>
    </w:p>
    <w:p>
      <w:pPr>
        <w:pStyle w:val="Heading3"/>
      </w:pPr>
      <w:r>
        <w:t>¿Es cómplice quien paga?</w:t>
      </w:r>
    </w:p>
    <w:p>
      <w:r>
        <w:rPr>
          <w:b/>
        </w:rPr>
        <w:t>Lectura del autor:</w:t>
      </w:r>
      <w:r>
        <w:t xml:space="preserve"> quien paga obligado no decide el gasto: responde quien lo decide y lo impone. Quien no sabía, no es cómplice: no responde igual «el que no entendió»</w:t>
      </w:r>
      <w:r>
        <w:t xml:space="preserve"> (Lc 12:48)</w:t>
      </w:r>
      <w:r>
        <w:t xml:space="preserve"> (</w:t>
      </w:r>
      <w:r>
        <w:t>2.5</w:t>
      </w:r>
      <w:r>
        <w:t>). Pero quien ya sabe tiene una tarea: «El pecado, pues, está en aquel que sabe hacer lo bueno, y no lo hace»</w:t>
      </w:r>
      <w:r>
        <w:t xml:space="preserve"> (Stg 4:17)</w:t>
      </w:r>
      <w:r>
        <w:br/>
      </w:r>
      <w:r>
        <w:rPr>
          <w:b/>
        </w:rPr>
        <w:t>leída en su fuente · Stg 4:17</w:t>
      </w:r>
      <w:r>
        <w:br/>
      </w:r>
      <w:r>
        <w:rPr>
          <w:b/>
        </w:rPr>
        <w:t>Archivo leído:</w:t>
      </w:r>
      <w:r>
        <w:t xml:space="preserve"> stg_4_17_rva.html (c9h\stg_4_17_rva.html) · contraste del archivo de pasajes: ✔</w:t>
      </w:r>
      <w:r>
        <w:br/>
      </w:r>
      <w:r>
        <w:rPr>
          <w:b/>
        </w:rPr>
        <w:t>Dirección:</w:t>
      </w:r>
      <w:r>
        <w:t xml:space="preserve"> </w:t>
      </w:r>
      <w:r>
        <w:t>https://www.biblegateway.com/passage/?search=James+4%3A17&amp;version=RVA</w:t>
      </w:r>
      <w:r>
        <w:br/>
      </w:r>
      <w:r>
        <w:rPr>
          <w:b/>
        </w:rPr>
        <w:t>Tal como está en la fuente:</w:t>
      </w:r>
      <w:r>
        <w:t xml:space="preserve"> El pecado, pues, está en aquel que sabe hacer lo bueno, y no lo hace.</w:t>
      </w:r>
      <w:r>
        <w:br/>
      </w:r>
      <w:r>
        <w:rPr>
          <w:b/>
        </w:rPr>
        <w:t>Traducción guardada:</w:t>
      </w:r>
      <w:r>
        <w:t xml:space="preserve"> texto copiado del índice `c9h\INDICE_FUENTES_C9H.md`, fila `00.00-15.26`</w:t>
      </w:r>
      <w:r>
        <w:t>. Esa tarea no es dejar de pagar, porque la obligación vigente sigue vigente (Constitución, art. 9.1), sino dejar de consentir en silencio: pedir la motivación, saber a dónde va el dinero y dejar constancia por escrito (</w:t>
      </w:r>
      <w:r>
        <w:t>10.4</w:t>
      </w:r>
      <w:r>
        <w:t xml:space="preserve">). </w:t>
      </w:r>
      <w:r>
        <w:t>[00.0-7.5]</w:t>
      </w:r>
    </w:p>
    <w:p>
      <w:pPr>
        <w:pStyle w:val="Heading3"/>
      </w:pPr>
      <w:r>
        <w:t>El camino</w:t>
      </w:r>
    </w:p>
    <w:p>
      <w:r>
        <w:t xml:space="preserve">Son tres puertas: </w:t>
      </w:r>
      <w:r>
        <w:rPr>
          <w:b/>
        </w:rPr>
        <w:t>compensar</w:t>
      </w:r>
      <w:r>
        <w:t xml:space="preserve"> (</w:t>
      </w:r>
      <w:r>
        <w:t>10.6</w:t>
      </w:r>
      <w:r>
        <w:t xml:space="preserve">), </w:t>
      </w:r>
      <w:r>
        <w:rPr>
          <w:b/>
        </w:rPr>
        <w:t>pedir con constancia escrita</w:t>
      </w:r>
      <w:r>
        <w:t xml:space="preserve"> (</w:t>
      </w:r>
      <w:r>
        <w:t>10.4</w:t>
      </w:r>
      <w:r>
        <w:t xml:space="preserve"> y </w:t>
      </w:r>
      <w:r>
        <w:t>10.5</w:t>
      </w:r>
      <w:r>
        <w:t xml:space="preserve">) y </w:t>
      </w:r>
      <w:r>
        <w:rPr>
          <w:b/>
        </w:rPr>
        <w:t>deslindar</w:t>
      </w:r>
      <w:r>
        <w:t xml:space="preserve"> (</w:t>
      </w:r>
      <w:r>
        <w:t>10.7</w:t>
      </w:r>
      <w:r>
        <w:t>). Y todas llevan al mismo sitio: al Registro de los frutos y al juicio popular de la verdad (</w:t>
      </w:r>
      <w:r>
        <w:t>10.8</w:t>
      </w:r>
      <w:r>
        <w:t xml:space="preserve">). </w:t>
      </w:r>
      <w:r>
        <w:t>[00.0-7.7 y 7.9; glosario 8.1]</w:t>
      </w:r>
    </w:p>
    <w:p>
      <w:r>
        <w:t xml:space="preserve">La herramienta del ciudadano cabe en una pregunta: </w:t>
      </w:r>
      <w:r>
        <w:rPr>
          <w:b/>
        </w:rPr>
        <w:t>«¿Me puede explicar qué es lo que le legitima para solicitarme esto?»</w:t>
      </w:r>
      <w:r>
        <w:t>. Es el principio de legalidad dicho en llano: la Administración actúa «con sometimiento pleno a la ley y al Derecho»</w:t>
      </w:r>
      <w:r>
        <w:t xml:space="preserve"> (Constitución, art. 103.1)</w:t>
      </w:r>
      <w:r>
        <w:br/>
      </w:r>
      <w:r>
        <w:rPr>
          <w:b/>
        </w:rPr>
        <w:t>leída en su fuente · Constitución, art. 103.1</w:t>
      </w:r>
      <w:r>
        <w:br/>
      </w:r>
      <w:r>
        <w:rPr>
          <w:b/>
        </w:rPr>
        <w:t>Archivo leído:</w:t>
      </w:r>
      <w:r>
        <w:t xml:space="preserve"> ley39_2015_procedimiento.html (c5\ley39_2015_procedimiento.html) · contraste del archivo de pasajes: ✔</w:t>
      </w:r>
      <w:r>
        <w:br/>
      </w:r>
      <w:r>
        <w:rPr>
          <w:b/>
        </w:rPr>
        <w:t>Lugar:</w:t>
      </w:r>
      <w:r>
        <w:t xml:space="preserve"> CE art. 103.1</w:t>
      </w:r>
      <w:r>
        <w:br/>
      </w:r>
      <w:r>
        <w:rPr>
          <w:b/>
        </w:rPr>
        <w:t>Dirección:</w:t>
      </w:r>
      <w:r>
        <w:t xml:space="preserve"> </w:t>
      </w:r>
      <w:r>
        <w:t>https://www.boe.es/buscar/act.php?id=BOE-A-1978-31229#a103</w:t>
      </w:r>
      <w:r>
        <w:t xml:space="preserve"> ; </w:t>
      </w:r>
      <w:r>
        <w:t>https://www.boe.es/buscar/act.php?id=BOE-A-2015-10565#a97</w:t>
      </w:r>
      <w:r>
        <w:br/>
      </w:r>
      <w:r>
        <w:rPr>
          <w:b/>
        </w:rPr>
        <w:t>Tal como está en la fuente:</w:t>
      </w:r>
      <w:r>
        <w:t xml:space="preserve"> …con sometimiento pleno a la ley y al Derecho.</w:t>
      </w:r>
      <w:r>
        <w:t>, y no puede ejecutar ninguna actuación material sin la resolución previa que le sirva de fundamento jurídico</w:t>
      </w:r>
      <w:r>
        <w:t xml:space="preserve"> (Ley 39/2015, art. 97.1)</w:t>
      </w:r>
      <w:r>
        <w:t xml:space="preserve">. Se desarrolla en </w:t>
      </w:r>
      <w:r>
        <w:t>10.4</w:t>
      </w:r>
      <w:r>
        <w:t xml:space="preserve">. </w:t>
      </w:r>
      <w:r>
        <w:t>[00.0-7.8; glosario 8.7]</w:t>
      </w:r>
    </w:p>
    <w:p>
      <w:pPr>
        <w:pStyle w:val="Heading2"/>
      </w:pPr>
      <w:r>
        <w:t>10.2 La metamorfosis del Estado</w:t>
      </w:r>
    </w:p>
    <w:p>
      <w:pPr>
        <w:pBdr>
          <w:left w:val="single" w:sz="24" w:space="6" w:color="E2DED6"/>
        </w:pBdr>
        <w:shd w:val="clear" w:color="auto" w:fill="F1EEE8"/>
        <w:spacing w:before="80" w:after="160"/>
        <w:ind w:left="142" w:right="142"/>
      </w:pPr>
      <w:r>
        <w:rPr>
          <w:b/>
        </w:rPr>
        <w:t>La idea: no se reclama un Estado nuevo, sino que el que hay se alinee con la ley que está por encima de la suya y sirva al bien común, porque solo así recupera su legitimidad. Las propuestas del autor van marcadas como tales, separadas de lo que ya existe.</w:t>
      </w:r>
    </w:p>
    <w:p>
      <w:r>
        <w:rPr>
          <w:b/>
        </w:rPr>
        <w:t>La metamorfosis.</w:t>
      </w:r>
      <w:r>
        <w:t xml:space="preserve"> No se reclama un Estado nuevo, sino la verdad en que se sostiene el derecho de nacimiento (</w:t>
      </w:r>
      <w:r>
        <w:t>2.2</w:t>
      </w:r>
      <w:r>
        <w:t xml:space="preserve">). Esta obra es una invitación a que el Estado actual se metamorfosee: que se alinee con la ley de Dios, la ley natural y la costumbre, y sirva al bien común, porque solo así recupera su legitimidad. Cuando las propuestas de este apartado hablan del Estado «nuevo», hablan de ese mismo Estado, ya metamorfoseado. </w:t>
      </w:r>
      <w:r>
        <w:t>[00.00-9.1; glosario 8.1]</w:t>
      </w:r>
    </w:p>
    <w:p>
      <w:r>
        <w:rPr>
          <w:b/>
        </w:rPr>
        <w:t>Lectura del autor, el árbol que hay que podar</w:t>
      </w:r>
      <w:r>
        <w:t xml:space="preserve"> (palabras del autor, 6 y 9-oct-2026; la imagen es suya, no un dato): el Estado ya tiene construida gran parte de la maquinaria que se necesita: su fuerza, su Hacienda y una administración de funcionarios de carrera que acceden a su puesto por mérito y no por designación política, para ejecutar las leyes con neutralidad y eficiencia; esto último es lo que la Constitución ya pide (</w:t>
      </w:r>
      <w:r>
        <w:t>anexo A</w:t>
      </w:r>
      <w:r>
        <w:t>, art. 103). Solo hay que podar las ramas secas y las raíces podridas que envenenan el árbol. Es un árbol muy bonito, pero nadie se ha preocupado de cuidarlo, porque lo quisieron desviar de su naturaleza: en vez de regarlo con agua, lo regaban con los desperdicios de la cocina, aceites incluidos, y contaminaron su esencia. Podar no es talar: es lo que esta obra llama disolver, auditar a fondo para separar lo que sirve de lo que daña (</w:t>
      </w:r>
      <w:r>
        <w:t>anexo H</w:t>
      </w:r>
      <w:r>
        <w:t>), y lo que propone más abajo para las funciones del Estado, auditarlas una por una para conservar lo que sirve y suprimir lo que no.</w:t>
      </w:r>
    </w:p>
    <w:p>
      <w:r>
        <w:rPr>
          <w:b/>
        </w:rPr>
        <w:t>Lo que ya dice la ley.</w:t>
      </w:r>
      <w:r>
        <w:t xml:space="preserve"> La Administración Pública «actúa de acuerdo con los principios de eficacia, jerarquía, descentralización, desconcentración y coordinación»</w:t>
      </w:r>
      <w:r>
        <w:t xml:space="preserve"> (Constitución, art. 103.1)</w:t>
      </w:r>
      <w:r>
        <w:br/>
      </w:r>
      <w:r>
        <w:rPr>
          <w:b/>
        </w:rPr>
        <w:t>leída en su fuente · Constitución, art. 103.1</w:t>
      </w:r>
      <w:r>
        <w:br/>
      </w:r>
      <w:r>
        <w:rPr>
          <w:b/>
        </w:rPr>
        <w:t>Archivo leído:</w:t>
      </w:r>
      <w:r>
        <w:t xml:space="preserve"> ce.html (ant\c1\ce.html) · contraste del archivo de pasajes: ✔</w:t>
      </w:r>
      <w:r>
        <w:br/>
      </w:r>
      <w:r>
        <w:rPr>
          <w:b/>
        </w:rPr>
        <w:t>Lugar:</w:t>
      </w:r>
      <w:r>
        <w:t xml:space="preserve"> (paso 2 bis) regla: parecido medio con Constitución Española, art. 103.1 | texto de la fuente</w:t>
      </w:r>
      <w:r>
        <w:br/>
      </w:r>
      <w:r>
        <w:rPr>
          <w:b/>
        </w:rPr>
        <w:t>Tal como está en la fuente:</w:t>
      </w:r>
      <w:r>
        <w:t xml:space="preserve"> 1. La Administración Pública sirve con objetividad los intereses generales y actúa de acuerdo con los principios de eficacia, jerarquía, descentralización, desconcentración y coordinación, con sometimiento pleno a la ley y al Derecho.</w:t>
      </w:r>
      <w:r>
        <w:t>; el Gobierno «dirige la política interior y exterior, la Administración civil y militar y la defensa del Estado»</w:t>
      </w:r>
      <w:r>
        <w:t xml:space="preserve"> (Constitución, art. 97)</w:t>
      </w:r>
      <w:r>
        <w:br/>
      </w:r>
      <w:r>
        <w:rPr>
          <w:b/>
        </w:rPr>
        <w:t>leída en su fuente · Constitución, art. 97</w:t>
      </w:r>
      <w:r>
        <w:br/>
      </w:r>
      <w:r>
        <w:rPr>
          <w:b/>
        </w:rPr>
        <w:t>Archivo leído:</w:t>
      </w:r>
      <w:r>
        <w:t xml:space="preserve"> ce.html (ant\c1\ce.html) · contraste del archivo de pasajes: ✔</w:t>
      </w:r>
      <w:r>
        <w:br/>
      </w:r>
      <w:r>
        <w:rPr>
          <w:b/>
        </w:rPr>
        <w:t>Lugar:</w:t>
      </w:r>
      <w:r>
        <w:t xml:space="preserve"> (paso 2 bis) Ley 39/2015, art. 97.1 | texto de la fuente</w:t>
      </w:r>
      <w:r>
        <w:br/>
      </w:r>
      <w:r>
        <w:rPr>
          <w:b/>
        </w:rPr>
        <w:t>Tal como está en la fuente:</w:t>
      </w:r>
      <w:r>
        <w:t xml:space="preserve"> Artículo 97 El Gobierno dirige la política interior y exterior, la Administración civil y militar y la defensa del Estado. Ejerce la función ejecutiva y la potestad reglamentaria de acuerdo con la Constitución y las leyes. Subir [Bloque 114: #a98] Jurisprudencia</w:t>
      </w:r>
      <w:r>
        <w:t>, y la policía está «bajo la dependencia del Gobierno»</w:t>
      </w:r>
      <w:r>
        <w:t xml:space="preserve"> (Constitución, art. 104.1)</w:t>
      </w:r>
      <w:r>
        <w:br/>
      </w:r>
      <w:r>
        <w:rPr>
          <w:b/>
        </w:rPr>
        <w:t>leída en su fuente · Constitución, art. 104.1</w:t>
      </w:r>
      <w:r>
        <w:br/>
      </w:r>
      <w:r>
        <w:rPr>
          <w:b/>
        </w:rPr>
        <w:t>Archivo leído:</w:t>
      </w:r>
      <w:r>
        <w:t xml:space="preserve"> ce.html (ant\c1\ce.html) · contraste del archivo de pasajes: ✔</w:t>
      </w:r>
      <w:r>
        <w:br/>
      </w:r>
      <w:r>
        <w:rPr>
          <w:b/>
        </w:rPr>
        <w:t>Lugar:</w:t>
      </w:r>
      <w:r>
        <w:t xml:space="preserve"> Constitución, art. 104.1</w:t>
      </w:r>
      <w:r>
        <w:br/>
      </w:r>
      <w:r>
        <w:rPr>
          <w:b/>
        </w:rPr>
        <w:t>Tal como está en la fuente:</w:t>
      </w:r>
      <w:r>
        <w:t xml:space="preserve"> bajo la dependencia del Gobierno</w:t>
      </w:r>
      <w:r>
        <w:t>. Pero la misma ley ya pide lo que el autor pide para cada empleado: que las administraciones «establecerán sistemas que permitan la evaluación del desempeño de sus empleados»</w:t>
      </w:r>
      <w:r>
        <w:t xml:space="preserve"> (Estatuto Básico del Empleado Público, art. 20.1)</w:t>
      </w:r>
      <w:r>
        <w:br/>
      </w:r>
      <w:r>
        <w:rPr>
          <w:b/>
        </w:rPr>
        <w:t>leída en su fuente · Estatuto Básico del Empleado Público, art. 20.1</w:t>
      </w:r>
      <w:r>
        <w:br/>
      </w:r>
      <w:r>
        <w:rPr>
          <w:b/>
        </w:rPr>
        <w:t>Archivo leído:</w:t>
      </w:r>
      <w:r>
        <w:t xml:space="preserve"> ebep_rdleg5_2015.html (c5\ebep_rdleg5_2015.html) · contraste del archivo de pasajes: ✔</w:t>
      </w:r>
      <w:r>
        <w:br/>
      </w:r>
      <w:r>
        <w:rPr>
          <w:b/>
        </w:rPr>
        <w:t>Lugar:</w:t>
      </w:r>
      <w:r>
        <w:t xml:space="preserve"> Art. 20.1 (#a20)</w:t>
      </w:r>
      <w:r>
        <w:br/>
      </w:r>
      <w:r>
        <w:rPr>
          <w:b/>
        </w:rPr>
        <w:t>Dirección:</w:t>
      </w:r>
      <w:r>
        <w:t xml:space="preserve"> </w:t>
      </w:r>
      <w:r>
        <w:t>https://www.boe.es/buscar/act.php?id=BOE-A-2015-11719</w:t>
      </w:r>
      <w:r>
        <w:br/>
      </w:r>
      <w:r>
        <w:rPr>
          <w:b/>
        </w:rPr>
        <w:t>Tal como está en la fuente:</w:t>
      </w:r>
      <w:r>
        <w:t xml:space="preserve"> 1. Las Administraciones Públicas establecerán sistemas que permitan la evaluación del desempeño de sus empleados.</w:t>
      </w:r>
      <w:r>
        <w:t>, que en la Administración del Estado aún no se ha implantado para pagar el complemento (</w:t>
      </w:r>
      <w:r>
        <w:t>5.1</w:t>
      </w:r>
      <w:r>
        <w:t>), y que se separe del servicio, por falta muy grave, a quien incurra en «no hacerse cargo voluntariamente de las tareas o funciones que tienen encomendadas»</w:t>
      </w:r>
      <w:r>
        <w:t xml:space="preserve"> (Estatuto Básico del Empleado Público, arts. 95.2.c y 96.1.a)</w:t>
      </w:r>
      <w:r>
        <w:br/>
      </w:r>
      <w:r>
        <w:rPr>
          <w:b/>
        </w:rPr>
        <w:t>leída en su fuente · Estatuto Básico del Empleado Público, arts. 95.2.c y 96.1.a</w:t>
      </w:r>
      <w:r>
        <w:br/>
      </w:r>
      <w:r>
        <w:rPr>
          <w:b/>
        </w:rPr>
        <w:t>Archivo leído:</w:t>
      </w:r>
      <w:r>
        <w:t xml:space="preserve"> ebep_rdleg5_2015.html (c5\ebep_rdleg5_2015.html) · contraste del archivo de pasajes: ✔</w:t>
      </w:r>
      <w:r>
        <w:br/>
      </w:r>
      <w:r>
        <w:rPr>
          <w:b/>
        </w:rPr>
        <w:t>Lugar:</w:t>
      </w:r>
      <w:r>
        <w:t xml:space="preserve"> Estatuto Básico del Empleado Público, arts. 95.2.c y 96.1.a</w:t>
      </w:r>
      <w:r>
        <w:br/>
      </w:r>
      <w:r>
        <w:rPr>
          <w:b/>
        </w:rPr>
        <w:t>Tal como está en la fuente:</w:t>
      </w:r>
      <w:r>
        <w:t xml:space="preserve"> no hacerse cargo voluntariamente de las tareas o funciones que tienen encomendadas</w:t>
      </w:r>
      <w:r>
        <w:t>, aunque el funcionario de carrera tiene derecho a la inamovilidad (</w:t>
      </w:r>
      <w:r>
        <w:t>8.6</w:t>
      </w:r>
      <w:r>
        <w:t>).</w:t>
      </w:r>
    </w:p>
    <w:p>
      <w:r>
        <w:rPr>
          <w:b/>
        </w:rPr>
        <w:t>Lectura del autor, un Estado, pero no un Gobierno</w:t>
      </w:r>
      <w:r>
        <w:t xml:space="preserve"> (palabras del autor, 6 y 9-oct-2026): «necesitamos un Estado, pero no necesitamos un Gobierno, porque para eso ya estamos los seres conscientes». Lo que hace falta, dice, es que los administradores de la finca hagan su trabajo, y el gobierno es personal e intransferible: cada uno se gobierna a sí mismo (</w:t>
      </w:r>
      <w:r>
        <w:t>2.5</w:t>
      </w:r>
      <w:r>
        <w:t>). Con eso, cada funcionario sabe lo que tiene que hacer dentro del nuevo marco. Ya hay un jefe de policía y ya hay un jefe de departamento: cada cuerpo y cada departamento tiene el suyo, y en el nuevo marco lo eligen los propios compañeros por mérito, igual que los funcionarios se quedan por mérito. Pero no se sigue subiendo hasta el infinito: los departamentos forman una asamblea, con un coordinador, que es quien habla con los ayuntamientos y con los demás cuerpos y órganos del Estado. No es tan difícil: si se trabaja de buena fe, de persona a persona la gente se entiende rápido, porque está al servicio del pueblo. ¿Qué más necesitamos? ¿Un gobierno? Lo que hace falta son auditorías para que cada uno cumpla su función: por mérito propio y por sus frutos, quien vale se debe quedar, y quien no cumple esto no puede estar en esa función, porque no la cumple. Todos los asuntos se ven con vista de águila, es decir, de conjunto, antes de bajar al caso (</w:t>
      </w:r>
      <w:r>
        <w:t>J.5</w:t>
      </w:r>
      <w:r>
        <w:t>). No es una propuesta de esta obra: la ley de hoy va por otro camino, como se acaba de ver, y la obra no pide prescindir de ninguna institución ni desobedecer; mientras el Estado no cambie, las obligaciones vigentes siguen vigentes (</w:t>
      </w:r>
      <w:r>
        <w:t>0.2</w:t>
      </w:r>
      <w:r>
        <w:t>; Constitución, art. 9.1). Y quien corrige no lo hace por venganza: la responsabilidad se establece por acto y con fuente, nunca por pertenecer a un colectivo (</w:t>
      </w:r>
      <w:r>
        <w:t>10.3</w:t>
      </w:r>
      <w:r>
        <w:t>).</w:t>
      </w:r>
    </w:p>
    <w:p>
      <w:r>
        <w:t>[palabras de Kiko, 6-oct-2026 (libreta de flecos, sección 6) y 9-oct-2026 (chat de 07); 03b, A10; Constitución, arts. 97, 103.1 y 104.1, y Estatuto Básico del Empleado Público, arts. 20.1, 95.2.c y 96.1.a, leídos en el BOE, en local (c5)]</w:t>
      </w:r>
    </w:p>
    <w:p>
      <w:r>
        <w:rPr>
          <w:b/>
        </w:rPr>
        <w:t>Ya hay quien lo ha escrito.</w:t>
      </w:r>
      <w:r>
        <w:t xml:space="preserve"> Un Estado de hoy puede adoptar como propia la ética que guardaron las tradiciones: la Constitución de Bolivia de 2009 asume como principios «ama qhilla, ama llulla, ama suwa (no seas flojo, no seas mentiroso ni seas ladrón)»</w:t>
      </w:r>
      <w:r>
        <w:t xml:space="preserve"> (Constitución de Bolivia, art. 8.I)</w:t>
      </w:r>
      <w:r>
        <w:br/>
      </w:r>
      <w:r>
        <w:rPr>
          <w:b/>
        </w:rPr>
        <w:t>leída en su fuente · Constitución de Bolivia, art. 8.I</w:t>
      </w:r>
      <w:r>
        <w:br/>
      </w:r>
      <w:r>
        <w:rPr>
          <w:b/>
        </w:rPr>
        <w:t>Archivo leído:</w:t>
      </w:r>
      <w:r>
        <w:t xml:space="preserve"> Bolivia_Constitucion_Politica_del_Estado_2009_Gaceta_Oficial.pdf (c9d\Bolivia_Constitucion_Politica_del_Estado_2009_Gaceta_Oficial.pdf) · contraste del archivo de pasajes: ✔</w:t>
      </w:r>
      <w:r>
        <w:br/>
      </w:r>
      <w:r>
        <w:rPr>
          <w:b/>
        </w:rPr>
        <w:t>Lugar:</w:t>
      </w:r>
      <w:r>
        <w:t xml:space="preserve"> Pág. PDF 3, art. 8.I</w:t>
      </w:r>
      <w:r>
        <w:br/>
      </w:r>
      <w:r>
        <w:rPr>
          <w:b/>
        </w:rPr>
        <w:t>Dirección:</w:t>
      </w:r>
      <w:r>
        <w:t xml:space="preserve"> </w:t>
      </w:r>
      <w:r>
        <w:t>http://www.gacetaoficialdebolivia.gob.bo/app/webroot/archivos/CONSTITUCION.pdf</w:t>
      </w:r>
      <w:r>
        <w:br/>
      </w:r>
      <w:r>
        <w:rPr>
          <w:b/>
        </w:rPr>
        <w:t>Tal como está en la fuente:</w:t>
      </w:r>
      <w:r>
        <w:t xml:space="preserve"> El Estado asume y promueve como principios ético-morales de la sociedad plural: ama qhilla, ama llulla, ama suwa (no seas flojo, no seas mentiroso ni seas ladrón), suma qamaña (vivir bien)…</w:t>
      </w:r>
      <w:r>
        <w:t xml:space="preserve">. Se cita el texto, no se valora la práctica de ningún gobierno. </w:t>
      </w:r>
      <w:r>
        <w:t>[00.0-4.10]</w:t>
      </w:r>
    </w:p>
    <w:p>
      <w:r>
        <w:t xml:space="preserve">Lo que sigue son las propuestas del autor. Cada una separa lo que ya existe, con su fuente, de lo que se propone. </w:t>
      </w:r>
      <w:r>
        <w:t>[00.00-9.2]</w:t>
      </w:r>
    </w:p>
    <w:p>
      <w:pPr>
        <w:pStyle w:val="Heading3"/>
      </w:pPr>
      <w:r>
        <w:t>1. La prensa, libre y auditada</w:t>
      </w:r>
    </w:p>
    <w:p>
      <w:r>
        <w:rPr>
          <w:b/>
        </w:rPr>
        <w:t>Hechos.</w:t>
      </w:r>
      <w:r>
        <w:t xml:space="preserve"> La Constitución reconoce el derecho «a comunicar o recibir libremente información veraz por cualquier medio de difusión»</w:t>
      </w:r>
      <w:r>
        <w:t xml:space="preserve"> (Constitución, art. 20.1.d)</w:t>
      </w:r>
      <w:r>
        <w:br/>
      </w:r>
      <w:r>
        <w:rPr>
          <w:b/>
        </w:rPr>
        <w:t>leída en su fuente · Constitución, art. 20.1.d</w:t>
      </w:r>
      <w:r>
        <w:br/>
      </w:r>
      <w:r>
        <w:rPr>
          <w:b/>
        </w:rPr>
        <w:t>Archivo leído:</w:t>
      </w:r>
      <w:r>
        <w:t xml:space="preserve"> ce.html (ant\c1\ce.html) · contraste del archivo de pasajes: ✔</w:t>
      </w:r>
      <w:r>
        <w:br/>
      </w:r>
      <w:r>
        <w:rPr>
          <w:b/>
        </w:rPr>
        <w:t>Lugar:</w:t>
      </w:r>
      <w:r>
        <w:t xml:space="preserve"> Constitución, art. 20.1.d</w:t>
      </w:r>
      <w:r>
        <w:br/>
      </w:r>
      <w:r>
        <w:rPr>
          <w:b/>
        </w:rPr>
        <w:t>Tal como está en la fuente:</w:t>
      </w:r>
      <w:r>
        <w:t xml:space="preserve"> a comunicar o recibir libremente información veraz por cualquier medio de difusión</w:t>
      </w:r>
      <w:r>
        <w:t>, y prohíbe «ningún tipo de censura previa»</w:t>
      </w:r>
      <w:r>
        <w:t xml:space="preserve"> (Constitución, art. 20.2)</w:t>
      </w:r>
      <w:r>
        <w:br/>
      </w:r>
      <w:r>
        <w:rPr>
          <w:b/>
        </w:rPr>
        <w:t>leída en su fuente · Constitución, art. 20.2</w:t>
      </w:r>
      <w:r>
        <w:br/>
      </w:r>
      <w:r>
        <w:rPr>
          <w:b/>
        </w:rPr>
        <w:t>Archivo leído:</w:t>
      </w:r>
      <w:r>
        <w:t xml:space="preserve"> ce.html (ant\c1\ce.html) · contraste del archivo de pasajes: ✔</w:t>
      </w:r>
      <w:r>
        <w:br/>
      </w:r>
      <w:r>
        <w:rPr>
          <w:b/>
        </w:rPr>
        <w:t>Lugar:</w:t>
      </w:r>
      <w:r>
        <w:t xml:space="preserve"> Constitución, art. 20.2</w:t>
      </w:r>
      <w:r>
        <w:br/>
      </w:r>
      <w:r>
        <w:rPr>
          <w:b/>
        </w:rPr>
        <w:t>Tal como está en la fuente:</w:t>
      </w:r>
      <w:r>
        <w:t xml:space="preserve"> ningún tipo de censura previa</w:t>
      </w:r>
      <w:r>
        <w:t>. El Tribunal Europeo de Derechos Humanos llama a la prensa el «perro guardián» público: si el público no tuviera derecho a recibir esas informaciones, la prensa no podría cumplir ese papel vital</w:t>
      </w:r>
      <w:r>
        <w:t xml:space="preserve"> [original: «Were it otherwise, the press would be unable to play its vital role of "public watchdog"»]</w:t>
      </w:r>
      <w:r>
        <w:t xml:space="preserve"> (TEDH, Observer y Guardian c. Reino Unido, n.º 13585/88, sentencia de 26-11-1991, § 59)</w:t>
      </w:r>
      <w:r>
        <w:t>. Desde el 8 de agosto de 2025, el Reglamento europeo de libertad de los medios obliga a cada medio a hacer públicos sus dueños y el dinero público que recibe en publicidad estatal</w:t>
      </w:r>
      <w:r>
        <w:t xml:space="preserve"> (Reglamento (UE) 2024/1083, arts. 6.1 y 29)</w:t>
      </w:r>
      <w:r>
        <w:t>, y a cada administración a publicar cada año lo que gasta en publicidad en cada medio</w:t>
      </w:r>
      <w:r>
        <w:t xml:space="preserve"> (ídem, art. 25.2)</w:t>
      </w:r>
      <w:r>
        <w:t xml:space="preserve">. </w:t>
      </w:r>
      <w:r>
        <w:t>[00.00-8.1]</w:t>
      </w:r>
    </w:p>
    <w:p>
      <w:r>
        <w:rPr>
          <w:b/>
        </w:rPr>
        <w:t>Conclusión, lo que arrojan los datos:</w:t>
      </w:r>
      <w:r>
        <w:t xml:space="preserve"> la ley ya obliga a que se sepa quién es dueño de cada medio y cuánto dinero público recibe. Cualquiera puede comprobarlo. </w:t>
      </w:r>
      <w:r>
        <w:t>[00.00-8.2]</w:t>
      </w:r>
    </w:p>
    <w:p>
      <w:r>
        <w:rPr>
          <w:b/>
        </w:rPr>
        <w:t>Lectura del autor:</w:t>
      </w:r>
      <w:r>
        <w:t xml:space="preserve"> los periodistas son quienes se han preparado para la investigación a fondo: saben dónde mirar. Por eso son la primera voz de alarma, y les corresponde investigar si el Gobierno hace lo correcto. Lo primero que hay que liberar es la prensa, completamente. Pero también ella debe ser auditada con la misma vara: su credibilidad depende de sus frutos. Quien cobra o ha cobrado de un grupo político debe declararlo, porque el lector tiene derecho a saberlo. Y como estamos en una transición, la responsabilidad no es solo de la prensa: es de toda la ciudadanía. </w:t>
      </w:r>
      <w:r>
        <w:t>[00.00-8.3]</w:t>
      </w:r>
    </w:p>
    <w:p>
      <w:pPr>
        <w:pStyle w:val="Heading3"/>
      </w:pPr>
      <w:r>
        <w:t>2. El control ciudadano, con los jubilados</w:t>
      </w:r>
    </w:p>
    <w:p>
      <w:r>
        <w:rPr>
          <w:b/>
        </w:rPr>
        <w:t>Hechos.</w:t>
      </w:r>
      <w:r>
        <w:t xml:space="preserve"> La ley ya obliga a publicar, «de forma periódica y actualizada», la información que permite controlar la actuación pública</w:t>
      </w:r>
      <w:r>
        <w:t xml:space="preserve"> (Ley 19/2013, art. 5.1)</w:t>
      </w:r>
      <w:r>
        <w:t>, incluidos «todos los contratos», con su importe y su adjudicatario</w:t>
      </w:r>
      <w:r>
        <w:t xml:space="preserve"> (ídem, art. 8.1.a)</w:t>
      </w:r>
      <w:r>
        <w:t>. Y la pensión ya es compatible con seguir trabajando</w:t>
      </w:r>
      <w:r>
        <w:t xml:space="preserve"> (Ley General de la Seguridad Social, art. 214)</w:t>
      </w:r>
      <w:r>
        <w:t xml:space="preserve">. </w:t>
      </w:r>
      <w:r>
        <w:t>[00.00-9.4]</w:t>
      </w:r>
    </w:p>
    <w:p>
      <w:r>
        <w:rPr>
          <w:b/>
        </w:rPr>
        <w:t>Conclusión, lo que arrojan los datos:</w:t>
      </w:r>
      <w:r>
        <w:t xml:space="preserve"> la información existe y es pública, pero llega tarde y casi nadie la mira de forma organizada. </w:t>
      </w:r>
      <w:r>
        <w:t>[00.00-9.5]</w:t>
      </w:r>
    </w:p>
    <w:p>
      <w:r>
        <w:rPr>
          <w:b/>
        </w:rPr>
        <w:t>Lectura del autor (propuesta):</w:t>
      </w:r>
      <w:r>
        <w:t xml:space="preserve"> en el Estado metamorfoseado, todo lo que hagan quienes lo administran estará en internet en tiempo real. Los jubilados que quieran podrán seguirlo, con un pequeño pero digno incremento en su pensión: tienen la experiencia de toda una vida de trabajo, tienen tiempo y no dependen de ninguna carrera que cuidar. Se organizarán en grupos que, cuando detecten una irregularidad, y después de analizarla, llamarán al funcionario para que la aclare. Con las mismas garantías que pide esta obra: la buena fe se presume, la aclaración se pide por escrito y se responde por escrito. </w:t>
      </w:r>
      <w:r>
        <w:t>[00.00-9.6]</w:t>
      </w:r>
    </w:p>
    <w:p>
      <w:r>
        <w:rPr>
          <w:b/>
        </w:rPr>
        <w:t>La objeción: «El control por jubilados duplicaría lo que ya existe».</w:t>
      </w:r>
      <w:r>
        <w:t xml:space="preserve"> Ya existen el Tribunal de Cuentas, la Intervención General, el Consejo de Transparencia y el Defensor del Pueblo: un control paralelo costaría dinero y podría convertirse en presión sobre los funcionarios. </w:t>
      </w:r>
      <w:r>
        <w:t>[00.00-11.6]</w:t>
      </w:r>
    </w:p>
    <w:p>
      <w:r>
        <w:rPr>
          <w:b/>
        </w:rPr>
        <w:t>La respuesta de la obra:</w:t>
      </w:r>
    </w:p>
    <w:p>
      <w:pPr>
        <w:spacing w:after="60"/>
        <w:ind w:left="510" w:hanging="397"/>
      </w:pPr>
      <w:r>
        <w:rPr>
          <w:b w:val="0"/>
        </w:rPr>
        <w:t xml:space="preserve">1. </w:t>
      </w:r>
      <w:r>
        <w:t>La propuesta conserva las garantías: buena fe presumida, aclaración por escrito y respuesta por escrito.</w:t>
      </w:r>
    </w:p>
    <w:p>
      <w:pPr>
        <w:spacing w:after="60"/>
        <w:ind w:left="510" w:hanging="397"/>
      </w:pPr>
      <w:r>
        <w:rPr>
          <w:b w:val="0"/>
        </w:rPr>
        <w:t xml:space="preserve">2. </w:t>
      </w:r>
      <w:r>
        <w:t>Los controles que existen tienen límites ya documentados: el Consejo de Transparencia recibió 2.767 reclamaciones en 2025</w:t>
      </w:r>
      <w:r>
        <w:t xml:space="preserve"> (Consejo de Transparencia, reclamaciones de 2025)</w:t>
      </w:r>
      <w:r>
        <w:t>.</w:t>
      </w:r>
    </w:p>
    <w:p>
      <w:pPr>
        <w:spacing w:after="60"/>
        <w:ind w:left="510" w:hanging="397"/>
      </w:pPr>
      <w:r>
        <w:rPr>
          <w:b w:val="0"/>
        </w:rPr>
        <w:t xml:space="preserve">3. </w:t>
      </w:r>
      <w:r>
        <w:t>La información ya es pública por ley, pero casi nadie la mira de forma organizada: la propuesta no crea un poder nuevo, organiza una mirada.</w:t>
      </w:r>
    </w:p>
    <w:p>
      <w:r>
        <w:t>[00.00-11.7]</w:t>
      </w:r>
    </w:p>
    <w:p>
      <w:pPr>
        <w:pStyle w:val="Heading3"/>
      </w:pPr>
      <w:r>
        <w:t>3. Cómo se sostiene, y las pensiones</w:t>
      </w:r>
    </w:p>
    <w:p>
      <w:r>
        <w:rPr>
          <w:b/>
        </w:rPr>
        <w:t>Hechos.</w:t>
      </w:r>
      <w:r>
        <w:t xml:space="preserve"> Hoy, de cada 100 euros que paga la empresa por un asalariado medio, al menos 41 se van en cotizaciones e IRPF, y hasta 53,6 con las demás capas (</w:t>
      </w:r>
      <w:r>
        <w:t>8.4</w:t>
      </w:r>
      <w:r>
        <w:t>). España no puede devaluar su moneda: la política monetaria del euro es competencia exclusiva de la Unión</w:t>
      </w:r>
      <w:r>
        <w:t xml:space="preserve"> (Tratado de Funcionamiento de la UE, art. 3.1.c)</w:t>
      </w:r>
      <w:r>
        <w:t>. Y desde hace siglos se advierte que devaluar es un tributo disfrazado (</w:t>
      </w:r>
      <w:r>
        <w:t>8.2</w:t>
      </w:r>
      <w:r>
        <w:t xml:space="preserve">). </w:t>
      </w:r>
      <w:r>
        <w:t>[00.00-9.8]</w:t>
      </w:r>
    </w:p>
    <w:p>
      <w:r>
        <w:rPr>
          <w:b/>
        </w:rPr>
        <w:t>Lectura del autor (propuesta):</w:t>
      </w:r>
      <w:r>
        <w:t xml:space="preserve"> el Estado metamorfoseado se sostendrá con el equivalente al diezmo, el 10 %: una cuarta parte, o menos, de lo que hoy se paga. Y ese 10 % es solo el punto de partida: bajará según se vaya recuperando lo obtenido ilícitamente, hasta quedarse en lo que el Estado necesite para funcionar de un modo eficiente y mínimo, sin sacrificar nada de lo que sea útil. Se seguirá cotizando para la propia jubilación, y las pensiones se ajustarán al tiempo real trabajado, con la misma regla para todos, sin complementos ni ventajas por ningún cargo. Para quienes ya están jubilados, durante la transición se destinará lo recuperado de quienes se enriquecieron a costa del bien común, caso por caso, con prueba y dejándoles lo mínimo vital (</w:t>
      </w:r>
      <w:r>
        <w:t>9.1</w:t>
      </w:r>
      <w:r>
        <w:t xml:space="preserve">, «La deuda contraída contra el ciudadano»). Si aun así faltara, se pedirá una contribución provisional, declarada, con su importe y su plazo a la vista de todos; nunca una devaluación, que es el tributo disfrazado que esta obra denuncia. Las funciones del Estado se auditarán una por una, para conservar lo que sirve y suprimir lo que no. </w:t>
      </w:r>
      <w:r>
        <w:t>[00.00-9.9]</w:t>
      </w:r>
    </w:p>
    <w:p>
      <w:r>
        <w:rPr>
          <w:b/>
        </w:rPr>
        <w:t>La objeción: «El diezmo no alcanza».</w:t>
      </w:r>
      <w:r>
        <w:t xml:space="preserve"> El gasto de todas las administraciones fue de 764.884 millones de euros en 2025</w:t>
      </w:r>
      <w:r>
        <w:t xml:space="preserve"> (Eurostat, gov_10a_main)</w:t>
      </w:r>
      <w:r>
        <w:t xml:space="preserve">, y solo las pensiones del régimen general y de Clases Pasivas suman unos 228.000 millones al año, alrededor del 30 % de ese gasto (cálculo de la obra: la nómina mensual de las dos, por catorce pagas). </w:t>
      </w:r>
      <w:r>
        <w:t>[00.00-11.2]</w:t>
      </w:r>
    </w:p>
    <w:p>
      <w:r>
        <w:rPr>
          <w:b/>
        </w:rPr>
        <w:t>La respuesta de la obra:</w:t>
      </w:r>
    </w:p>
    <w:p>
      <w:pPr>
        <w:spacing w:after="60"/>
        <w:ind w:left="510" w:hanging="397"/>
      </w:pPr>
      <w:r>
        <w:rPr>
          <w:b w:val="0"/>
        </w:rPr>
        <w:t xml:space="preserve">1. </w:t>
      </w:r>
      <w:r>
        <w:t>La objeción es seria, y la obra la acepta con sus propias cifras.</w:t>
      </w:r>
    </w:p>
    <w:p>
      <w:pPr>
        <w:spacing w:after="60"/>
        <w:ind w:left="510" w:hanging="397"/>
      </w:pPr>
      <w:r>
        <w:rPr>
          <w:b w:val="0"/>
        </w:rPr>
        <w:t xml:space="preserve">2. </w:t>
      </w:r>
      <w:r>
        <w:t>La propuesta no es recaudar hoy un 10 % con el gasto de hoy: es el punto de llegada, después de auditar las funciones una por una, de que cada cual cotice para su propia jubilación y de pagar la transición con lo recuperado y, si falta, con una contribución provisional declarada.</w:t>
      </w:r>
    </w:p>
    <w:p>
      <w:pPr>
        <w:spacing w:after="60"/>
        <w:ind w:left="510" w:hanging="397"/>
      </w:pPr>
      <w:r>
        <w:rPr>
          <w:b w:val="0"/>
        </w:rPr>
        <w:t xml:space="preserve">3. </w:t>
      </w:r>
      <w:r>
        <w:t>Pero el cálculo de esa transición, año por año, todavía no está hecho, y la obra lo deja dicho como tarea pendiente antes de presentarla como plan cerrado.</w:t>
      </w:r>
    </w:p>
    <w:p>
      <w:r>
        <w:t>[00.00-11.3]</w:t>
      </w:r>
    </w:p>
    <w:p>
      <w:r>
        <w:rPr>
          <w:b/>
        </w:rPr>
        <w:t>La objeción: «Recuperar lo obtenido ilícitamente exige condena».</w:t>
      </w:r>
      <w:r>
        <w:t xml:space="preserve"> Nadie puede ser privado de sus bienes sin un proceso: rige la presunción de inocencia (Constitución, art. 24.2), y nadie puede ser privado de su propiedad sino por causa justificada y con indemnización (art. 33.3). Embargar fuera de un proceso sería confiscar. </w:t>
      </w:r>
      <w:r>
        <w:t>[00.00-11.4]</w:t>
      </w:r>
    </w:p>
    <w:p>
      <w:r>
        <w:rPr>
          <w:b/>
        </w:rPr>
        <w:t>La respuesta de la obra:</w:t>
      </w:r>
    </w:p>
    <w:p>
      <w:pPr>
        <w:spacing w:after="60"/>
        <w:ind w:left="510" w:hanging="397"/>
      </w:pPr>
      <w:r>
        <w:rPr>
          <w:b w:val="0"/>
        </w:rPr>
        <w:t xml:space="preserve">1. </w:t>
      </w:r>
      <w:r>
        <w:t>La obra está de acuerdo: la recuperación es caso por caso, con prueba, dejando el mínimo vital y por las vías que la ley ofrece (</w:t>
      </w:r>
      <w:r>
        <w:t>9.1</w:t>
      </w:r>
      <w:r>
        <w:t>).</w:t>
      </w:r>
    </w:p>
    <w:p>
      <w:pPr>
        <w:spacing w:after="60"/>
        <w:ind w:left="510" w:hanging="397"/>
      </w:pPr>
      <w:r>
        <w:rPr>
          <w:b w:val="0"/>
        </w:rPr>
        <w:t xml:space="preserve">2. </w:t>
      </w:r>
      <w:r>
        <w:t>La responsabilidad se establece por acto y con fuente, nunca por pertenecer a un colectivo (</w:t>
      </w:r>
      <w:r>
        <w:t>10.3</w:t>
      </w:r>
      <w:r>
        <w:t>).</w:t>
      </w:r>
    </w:p>
    <w:p>
      <w:pPr>
        <w:spacing w:after="60"/>
        <w:ind w:left="510" w:hanging="397"/>
      </w:pPr>
      <w:r>
        <w:rPr>
          <w:b w:val="0"/>
        </w:rPr>
        <w:t xml:space="preserve">3. </w:t>
      </w:r>
      <w:r>
        <w:t>El juicio popular no embarga nada: no tiene fuerza legal, y lo declara desde el principio (</w:t>
      </w:r>
      <w:r>
        <w:t>10.8</w:t>
      </w:r>
      <w:r>
        <w:t>).</w:t>
      </w:r>
    </w:p>
    <w:p>
      <w:r>
        <w:t>[00.00-11.5]</w:t>
      </w:r>
    </w:p>
    <w:p>
      <w:pPr>
        <w:pStyle w:val="Heading3"/>
      </w:pPr>
      <w:r>
        <w:t>4. Jurados por generaciones</w:t>
      </w:r>
    </w:p>
    <w:p>
      <w:r>
        <w:rPr>
          <w:b/>
        </w:rPr>
        <w:t>Hechos.</w:t>
      </w:r>
      <w:r>
        <w:t xml:space="preserve"> Hoy el jurado se forma por sorteo del censo electoral</w:t>
      </w:r>
      <w:r>
        <w:t xml:space="preserve"> (Ley Orgánica 5/1995, art. 13)</w:t>
      </w:r>
      <w:r>
        <w:t>, sin ningún reparto por edades, y su peso es pequeño: en 2025 dictó 465 sentencias, frente a 599.492 sentencias penales, menos del 0,1 %</w:t>
      </w:r>
      <w:r>
        <w:t xml:space="preserve"> (CGPJ, La Justicia dato a dato, 2025; cálculo de la obra)</w:t>
      </w:r>
      <w:r>
        <w:t>. Irlanda formó en 2016 una Asamblea Ciudadana con una muestra representativa de 99 personas del público, elegidas al azar, «ampliamente representativas de la sociedad tal como la refleja el censo»</w:t>
      </w:r>
      <w:r>
        <w:t xml:space="preserve"> [original: «a representative sample of 99 members of the public»; «approved by Resolution of both Houses of the Oireachtas in July 2016»; «broadly representative of society as reflected in the Census»]</w:t>
      </w:r>
      <w:r>
        <w:t xml:space="preserve"> (Citizens' Assembly, Irlanda, 2016-2018)</w:t>
      </w:r>
      <w:r>
        <w:br/>
      </w:r>
      <w:r>
        <w:rPr>
          <w:b/>
        </w:rPr>
        <w:t>leída en su fuente · Citizens' Assembly, Irlanda, 2016-2018</w:t>
      </w:r>
      <w:r>
        <w:br/>
      </w:r>
      <w:r>
        <w:rPr>
          <w:b/>
        </w:rPr>
        <w:t>Archivo leído:</w:t>
      </w:r>
      <w:r>
        <w:t xml:space="preserve"> Irlanda_Citizens_Assembly_2016-2018_pagina_oficial_citizensassembly-ie.html · contraste del archivo de pasajes: sin archivo</w:t>
      </w:r>
      <w:r>
        <w:br/>
      </w:r>
      <w:r>
        <w:rPr>
          <w:b/>
        </w:rPr>
        <w:t>Lugar:</w:t>
      </w:r>
      <w:r>
        <w:t xml:space="preserve"> 10 FUENTES LEIDAS/c9d (índice, entrada 73)</w:t>
      </w:r>
      <w:r>
        <w:br/>
      </w:r>
      <w:r>
        <w:rPr>
          <w:b/>
        </w:rPr>
        <w:t>Tal como está en la fuente:</w:t>
      </w:r>
      <w:r>
        <w:t xml:space="preserve"> ampliamente representativas de la sociedad tal como la refleja el censo</w:t>
      </w:r>
      <w:r>
        <w:t xml:space="preserve">. </w:t>
      </w:r>
      <w:r>
        <w:t>[00.00-9.11; 07: el «0,3 %» de la pieza]</w:t>
      </w:r>
    </w:p>
    <w:p>
      <w:r>
        <w:rPr>
          <w:b/>
        </w:rPr>
        <w:t>Lectura del autor (propuesta):</w:t>
      </w:r>
      <w:r>
        <w:t xml:space="preserve"> se constituirán jurados populares por sorteo, distribuidos según el peso de cada generación en la población, para que todas tengan voz: los jóvenes, que heredan las consecuencias; los adultos, que las sostienen; y los mayores, que traen la memoria de lo vivido. </w:t>
      </w:r>
      <w:r>
        <w:t>[00.00-9.12]</w:t>
      </w:r>
    </w:p>
    <w:p>
      <w:r>
        <w:rPr>
          <w:b/>
        </w:rPr>
        <w:t>La objeción: «El jurado por sorteo ya es imparcial».</w:t>
      </w:r>
      <w:r>
        <w:t xml:space="preserve"> El jurado actual se forma por sorteo del censo, que es la garantía de imparcialidad: repartirlo por edades no añade nada. </w:t>
      </w:r>
      <w:r>
        <w:t>[00.00-11.8]</w:t>
      </w:r>
    </w:p>
    <w:p>
      <w:r>
        <w:rPr>
          <w:b/>
        </w:rPr>
        <w:t>La respuesta de la obra:</w:t>
      </w:r>
    </w:p>
    <w:p>
      <w:pPr>
        <w:spacing w:after="60"/>
        <w:ind w:left="510" w:hanging="397"/>
      </w:pPr>
      <w:r>
        <w:rPr>
          <w:b w:val="0"/>
        </w:rPr>
        <w:t xml:space="preserve">1. </w:t>
      </w:r>
      <w:r>
        <w:t>Un sorteo repartido por generaciones sigue siendo un sorteo: es lo que hizo Irlanda.</w:t>
      </w:r>
    </w:p>
    <w:p>
      <w:pPr>
        <w:spacing w:after="60"/>
        <w:ind w:left="510" w:hanging="397"/>
      </w:pPr>
      <w:r>
        <w:rPr>
          <w:b w:val="0"/>
        </w:rPr>
        <w:t xml:space="preserve">2. </w:t>
      </w:r>
      <w:r>
        <w:t>Hoy el jurado decide menos del 0,1 % de las sentencias penales.</w:t>
      </w:r>
    </w:p>
    <w:p>
      <w:pPr>
        <w:spacing w:after="60"/>
        <w:ind w:left="510" w:hanging="397"/>
      </w:pPr>
      <w:r>
        <w:rPr>
          <w:b w:val="0"/>
        </w:rPr>
        <w:t xml:space="preserve">3. </w:t>
      </w:r>
      <w:r>
        <w:t>La propuesta busca que los jóvenes, que heredan las consecuencias, la deuda incluida, tengan siempre voz.</w:t>
      </w:r>
    </w:p>
    <w:p>
      <w:pPr>
        <w:spacing w:after="60"/>
        <w:ind w:left="510" w:hanging="397"/>
      </w:pPr>
      <w:r>
        <w:rPr>
          <w:b w:val="0"/>
        </w:rPr>
        <w:t xml:space="preserve">4. </w:t>
      </w:r>
      <w:r>
        <w:t>Y la imparcialidad no se presume por el sorteo: se mide después, en cada voto razonado y público (</w:t>
      </w:r>
      <w:r>
        <w:t>11.1</w:t>
      </w:r>
      <w:r>
        <w:t>).</w:t>
      </w:r>
    </w:p>
    <w:p>
      <w:r>
        <w:t>[00.00-11.9]</w:t>
      </w:r>
    </w:p>
    <w:p>
      <w:pPr>
        <w:pStyle w:val="Heading2"/>
      </w:pPr>
      <w:r>
        <w:t>10.3 La depuración sin venganza</w:t>
      </w:r>
    </w:p>
    <w:p>
      <w:pPr>
        <w:pBdr>
          <w:left w:val="single" w:sz="24" w:space="6" w:color="E2DED6"/>
        </w:pBdr>
        <w:shd w:val="clear" w:color="auto" w:fill="F1EEE8"/>
        <w:spacing w:before="80" w:after="160"/>
        <w:ind w:left="142" w:right="142"/>
      </w:pPr>
      <w:r>
        <w:rPr>
          <w:b/>
        </w:rPr>
        <w:t>La idea: corregir no es vengarse. Se audita para separar lo que sirve de lo que daña, sin desmantelar sistemas enteros ni cortar cabezas; la responsabilidad se establece por acto y con fuente, nunca por pertenecer a un colectivo; y quien corrige, como el médico, necesita cuatro cosas: consentimiento, buscar el bien del corregido, la medida justa y un rumbo.</w:t>
      </w:r>
    </w:p>
    <w:p>
      <w:r>
        <w:rPr>
          <w:b/>
        </w:rPr>
        <w:t>El principio.</w:t>
      </w:r>
      <w:r>
        <w:t xml:space="preserve"> «No arranquéis también con ella el trigo. Dejad crecer juntamente lo uno y lo otro hasta la siega»</w:t>
      </w:r>
      <w:r>
        <w:t xml:space="preserve"> (Mt 13:29-30)</w:t>
      </w:r>
      <w:r>
        <w:br/>
      </w:r>
      <w:r>
        <w:rPr>
          <w:b/>
        </w:rPr>
        <w:t>leída en su fuente · Mt 13:29-30</w:t>
      </w:r>
      <w:r>
        <w:br/>
      </w:r>
      <w:r>
        <w:rPr>
          <w:b/>
        </w:rPr>
        <w:t>Original donde está:</w:t>
      </w:r>
      <w:r>
        <w:t xml:space="preserve"> spaRV1909_texto_corrido.txt</w:t>
      </w:r>
      <w:r>
        <w:br/>
      </w:r>
      <w:r>
        <w:t>El pasaje literal no está en el archivo de pasajes con este comienzo; la auditoría lo halló en ese original.</w:t>
      </w:r>
      <w:r>
        <w:t>. Y: «No paguéis á nadie mal por mal […] No os venguéis vosotros mismos […] No seas vencido de lo malo; mas vence con el bien el mal»</w:t>
      </w:r>
      <w:r>
        <w:t xml:space="preserve"> (Rm 12:17, 19 y 21)</w:t>
      </w:r>
      <w:r>
        <w:br/>
      </w:r>
      <w:r>
        <w:rPr>
          <w:b/>
        </w:rPr>
        <w:t>leída en su fuente · Rm 12:17, 19 y 21</w:t>
      </w:r>
      <w:r>
        <w:br/>
      </w:r>
      <w:r>
        <w:rPr>
          <w:b/>
        </w:rPr>
        <w:t>Archivo leído:</w:t>
      </w:r>
      <w:r>
        <w:t xml:space="preserve"> rom_12_17-21_rva.html; rvr1960_rom_12_17-21.html (c9g\rom_12_17-21_rva.html) · contraste del archivo de pasajes: ✔</w:t>
      </w:r>
      <w:r>
        <w:br/>
      </w:r>
      <w:r>
        <w:rPr>
          <w:b/>
        </w:rPr>
        <w:t>Lugar:</w:t>
      </w:r>
      <w:r>
        <w:t xml:space="preserve"> RVA v. 17</w:t>
      </w:r>
      <w:r>
        <w:br/>
      </w:r>
      <w:r>
        <w:rPr>
          <w:b/>
        </w:rPr>
        <w:t>Dirección:</w:t>
      </w:r>
      <w:r>
        <w:t xml:space="preserve"> </w:t>
      </w:r>
      <w:r>
        <w:t>https://www.biblegateway.com/passage/?search=Romans+12%3A17-21&amp;version=RVA</w:t>
      </w:r>
      <w:r>
        <w:br/>
      </w:r>
      <w:r>
        <w:rPr>
          <w:b/>
        </w:rPr>
        <w:t>Tal como está en la fuente:</w:t>
      </w:r>
      <w:r>
        <w:t xml:space="preserve"> No seas vencido de lo malo; mas vence con el bien el mal.</w:t>
      </w:r>
      <w:r>
        <w:t>. Es discernir, separar el grano de la paja (</w:t>
      </w:r>
      <w:r>
        <w:t>1.3</w:t>
      </w:r>
      <w:r>
        <w:t xml:space="preserve">), aplicado a las responsabilidades. </w:t>
      </w:r>
      <w:r>
        <w:t>[00.00-7.1; glosario 8.3; 07: las citas, en la RVA literal]</w:t>
      </w:r>
    </w:p>
    <w:p>
      <w:r>
        <w:rPr>
          <w:b/>
        </w:rPr>
        <w:t>La regla.</w:t>
      </w:r>
      <w:r>
        <w:t xml:space="preserve"> La responsabilidad de las personas se establece por acto y con fuente, nunca por pertenecer a un colectivo: un informe interno es fuente, no sentencia. </w:t>
      </w:r>
      <w:r>
        <w:t>[00.00-7.3]</w:t>
      </w:r>
    </w:p>
    <w:p>
      <w:r>
        <w:rPr>
          <w:b/>
        </w:rPr>
        <w:t>Por qué importa.</w:t>
      </w:r>
      <w:r>
        <w:t xml:space="preserve"> Los capítulos 5 a 9 diagnosticaron el problema: el poder que deja de admitir su error, la palabra que necesita cada vez más parches para sostenerse. Esta es la respuesta: cómo auditar sin desmantelar y corregir sin vengarse, sin repetir el mismo error de poder concentrado y sin control que ya se documentó (</w:t>
      </w:r>
      <w:r>
        <w:t>6.5</w:t>
      </w:r>
      <w:r>
        <w:t xml:space="preserve"> y </w:t>
      </w:r>
      <w:r>
        <w:t>9.2</w:t>
      </w:r>
      <w:r>
        <w:t xml:space="preserve">). </w:t>
      </w:r>
      <w:r>
        <w:t>[00.00-7.4]</w:t>
      </w:r>
    </w:p>
    <w:p>
      <w:r>
        <w:rPr>
          <w:b/>
        </w:rPr>
        <w:t>Quién puede corregir, y con qué medida.</w:t>
      </w:r>
      <w:r>
        <w:t xml:space="preserve"> La imagen es del autor: para curar, un médico atraviesa los límites del cuerpo de otro, con una inyección, una operación o un medicamento. ¿Qué lo legitima? Lo que las tradiciones piden a quien corrige cabe en cuatro condiciones, y son las mismas que la vara pide a toda norma (</w:t>
      </w:r>
      <w:r>
        <w:t>0.5</w:t>
      </w:r>
      <w:r>
        <w:t xml:space="preserve">). </w:t>
      </w:r>
      <w:r>
        <w:t>[04d, 2d; 04l, apartado 2; Kiko, 8-oct: «Sí a las tres»]</w:t>
      </w:r>
    </w:p>
    <w:p>
      <w:r>
        <w:rPr>
          <w:b/>
        </w:rPr>
        <w:t>1. Que quien se corrige consienta.</w:t>
      </w:r>
      <w:r>
        <w:t xml:space="preserve"> La corrección se muestra; no se fuerza. Es lo que la obra ya sostiene: casi todas las tradiciones ponen al ser humano a elegir (</w:t>
      </w:r>
      <w:r>
        <w:t>capítulo 4</w:t>
      </w:r>
      <w:r>
        <w:t>), y la Gita cierra su enseñanza con «Medita; y, como quieras, obra» (</w:t>
      </w:r>
      <w:r>
        <w:t>1.9</w:t>
      </w:r>
      <w:r>
        <w:t>). Por eso las puertas de este capítulo piden y no imponen, y la obra no invita a desobedecer (</w:t>
      </w:r>
      <w:r>
        <w:t>0.2</w:t>
      </w:r>
      <w:r>
        <w:t xml:space="preserve">). </w:t>
      </w:r>
      <w:r>
        <w:t>[04l, 2a]</w:t>
      </w:r>
    </w:p>
    <w:p>
      <w:r>
        <w:rPr>
          <w:b/>
        </w:rPr>
        <w:t>2. Que busque el bien del corregido, y no el suyo.</w:t>
      </w:r>
      <w:r>
        <w:t xml:space="preserve"> Platón lo dice del médico y lo extiende a todo el que manda: «ningún médico, en cuanto médico, considera su propio bien en lo que prescribe, sino el de su paciente»</w:t>
      </w:r>
      <w:r>
        <w:t xml:space="preserve"> [original: «no physician, in so far as he is a physician, considers his own good in what he prescribes, but the good of his patient», en la traducción inglesa de Jowett]</w:t>
      </w:r>
      <w:r>
        <w:t xml:space="preserve"> (Platón, República I, traducción inglesa de Jowett)</w:t>
      </w:r>
      <w:r>
        <w:br/>
      </w:r>
      <w:r>
        <w:rPr>
          <w:b/>
        </w:rPr>
        <w:t>leída en su fuente · Platón, República I, traducción inglesa de Jowett</w:t>
      </w:r>
      <w:r>
        <w:br/>
      </w:r>
      <w:r>
        <w:rPr>
          <w:b/>
        </w:rPr>
        <w:t>Archivo leído:</w:t>
      </w:r>
      <w:r>
        <w:t xml:space="preserve"> platon_republica_jowett_gutenberg_1497.txt (c9h\platon_republica_jowett_gutenberg_1497.txt) · contraste del archivo de pasajes: ✔</w:t>
      </w:r>
      <w:r>
        <w:br/>
      </w:r>
      <w:r>
        <w:rPr>
          <w:b/>
        </w:rPr>
        <w:t>Lugar:</w:t>
      </w:r>
      <w:r>
        <w:t xml:space="preserve"> Platón, República I, traducción inglesa de Jowett</w:t>
      </w:r>
      <w:r>
        <w:br/>
      </w:r>
      <w:r>
        <w:rPr>
          <w:b/>
        </w:rPr>
        <w:t>Tal como está en la fuente:</w:t>
      </w:r>
      <w:r>
        <w:t xml:space="preserve"> no physician, in so far as he is a physician, considers his own good in what he prescribes, but the good of his patient</w:t>
      </w:r>
      <w:r>
        <w:t>; y lo mismo el piloto y el gobernante: «nadie, en ningún gobierno, en cuanto gobierna, considera ni prescribe lo que le conviene a él, sino siempre lo que conviene a su gobernado»</w:t>
      </w:r>
      <w:r>
        <w:t xml:space="preserve"> [original: «there is no one in any rule who, in so far as he is a ruler, considers or enjoins what is for his own interest, but always what is for the interest of his subject», en la traducción inglesa de Jowett]</w:t>
      </w:r>
      <w:r>
        <w:t xml:space="preserve"> (Platón, República I, traducción inglesa de Jowett)</w:t>
      </w:r>
      <w:r>
        <w:br/>
      </w:r>
      <w:r>
        <w:rPr>
          <w:b/>
        </w:rPr>
        <w:t>leída en su fuente · Platón, República I, traducción inglesa de Jowett</w:t>
      </w:r>
      <w:r>
        <w:br/>
      </w:r>
      <w:r>
        <w:rPr>
          <w:b/>
        </w:rPr>
        <w:t>Archivo leído:</w:t>
      </w:r>
      <w:r>
        <w:t xml:space="preserve"> platon_republica_jowett_gutenberg_1497.txt (c9h\platon_republica_jowett_gutenberg_1497.txt) · contraste del archivo de pasajes: ✔</w:t>
      </w:r>
      <w:r>
        <w:br/>
      </w:r>
      <w:r>
        <w:rPr>
          <w:b/>
        </w:rPr>
        <w:t>Lugar:</w:t>
      </w:r>
      <w:r>
        <w:t xml:space="preserve"> Platón, República I, traducción inglesa de Jowett</w:t>
      </w:r>
      <w:r>
        <w:br/>
      </w:r>
      <w:r>
        <w:rPr>
          <w:b/>
        </w:rPr>
        <w:t>Tal como está en la fuente:</w:t>
      </w:r>
      <w:r>
        <w:t xml:space="preserve"> there is no one in any rule who, in so far as he is a ruler, considers or enjoins what is for his own interest, but always what is for the interest of his subject</w:t>
      </w:r>
      <w:r>
        <w:t>. Es el primer principio del Arca, que el gobernante existe para el pueblo (</w:t>
      </w:r>
      <w:r>
        <w:t>3.2</w:t>
      </w:r>
      <w:r>
        <w:t>), aplicado a quien corrige; y es la regla de que nadie es juez en su propia causa (</w:t>
      </w:r>
      <w:r>
        <w:t>1.7</w:t>
      </w:r>
      <w:r>
        <w:t xml:space="preserve">). Ezequiel lo dice por el reverso: los pastores que se apacientan a sí mismos no sanan a la enferma (Ez 34:2-4; </w:t>
      </w:r>
      <w:r>
        <w:t>anexo J</w:t>
      </w:r>
      <w:r>
        <w:t xml:space="preserve">). </w:t>
      </w:r>
      <w:r>
        <w:t>[04l, 2b; Jowett leído en 07/fuentes/platon_republica_gutenberg, huella 3d2e397122881d77]</w:t>
      </w:r>
    </w:p>
    <w:p>
      <w:r>
        <w:rPr>
          <w:b/>
        </w:rPr>
        <w:t>3. En la medida justa:</w:t>
      </w:r>
      <w:r>
        <w:t xml:space="preserve"> no arrancar lo sano, no tirar de los brotes, dar tiempo. Tres familias que no se citan entre sí lo dicen con la misma imagen del campo:</w:t>
      </w:r>
    </w:p>
    <w:p>
      <w:pPr>
        <w:pStyle w:val="ListBullet"/>
      </w:pPr>
      <w:r>
        <w:rPr>
          <w:b/>
        </w:rPr>
        <w:t>China.</w:t>
      </w:r>
      <w:r>
        <w:t xml:space="preserve"> Mencio cuenta el hombre de Song, apenado porque sus brotes no crecían, que tiró de ellos para ayudarlos: «su hijo corrió a verlos, y los brotes estaban secos»</w:t>
      </w:r>
      <w:r>
        <w:t xml:space="preserve"> [original: «其子趨而往視之，苗則槁矣»; Legge: «His son ran to look at it, and found the corn all withered»]</w:t>
      </w:r>
      <w:r>
        <w:t xml:space="preserve"> (Mencio 2A, 2, en la traducción inglesa de James Legge)</w:t>
      </w:r>
      <w:r>
        <w:br/>
      </w:r>
      <w:r>
        <w:rPr>
          <w:b/>
        </w:rPr>
        <w:t>leída en su fuente · Mencio 2A, 2, en la traducción inglesa de James Legge</w:t>
      </w:r>
      <w:r>
        <w:br/>
      </w:r>
      <w:r>
        <w:rPr>
          <w:b/>
        </w:rPr>
        <w:t>Archivo leído:</w:t>
      </w:r>
      <w:r>
        <w:t xml:space="preserve"> 8.3_24_Legge_1895_Chinese_Classics_vol2_Mencius_OCR_archive.txt (c8a\8.3_24_Legge_1895_Chinese_Classics_vol2_Mencius_OCR_archive.txt) · contraste del archivo de pasajes: ✔</w:t>
      </w:r>
      <w:r>
        <w:br/>
      </w:r>
      <w:r>
        <w:rPr>
          <w:b/>
        </w:rPr>
        <w:t>Lugar:</w:t>
      </w:r>
      <w:r>
        <w:t xml:space="preserve"> Mencio 2A, 2, en la traducción inglesa de James Legge</w:t>
      </w:r>
      <w:r>
        <w:br/>
      </w:r>
      <w:r>
        <w:rPr>
          <w:b/>
        </w:rPr>
        <w:t>Tal como está en la fuente:</w:t>
      </w:r>
      <w:r>
        <w:t xml:space="preserve"> His son ran to look at it, and found the corn all withered</w:t>
      </w:r>
      <w:r>
        <w:t>. Y concluye: «quien lo ayuda a crecer, arranca los brotes»</w:t>
      </w:r>
      <w:r>
        <w:t xml:space="preserve"> [original: «助之長者，揠苗者也»; Legge: «They who assist it to grow long, pull out their corn»]</w:t>
      </w:r>
      <w:r>
        <w:t xml:space="preserve"> (Mencio 2A, 2, en la traducción inglesa de James Legge)</w:t>
      </w:r>
      <w:r>
        <w:br/>
      </w:r>
      <w:r>
        <w:rPr>
          <w:b/>
        </w:rPr>
        <w:t>leída en su fuente · Mencio 2A, 2, en la traducción inglesa de James Legge</w:t>
      </w:r>
      <w:r>
        <w:br/>
      </w:r>
      <w:r>
        <w:rPr>
          <w:b/>
        </w:rPr>
        <w:t>Archivo leído:</w:t>
      </w:r>
      <w:r>
        <w:t xml:space="preserve"> 8.3_24_Legge_1895_Chinese_Classics_vol2_Mencius_OCR_archive.txt (c8a\8.3_24_Legge_1895_Chinese_Classics_vol2_Mencius_OCR_archive.txt) · contraste del archivo de pasajes: ✔</w:t>
      </w:r>
      <w:r>
        <w:br/>
      </w:r>
      <w:r>
        <w:rPr>
          <w:b/>
        </w:rPr>
        <w:t>Lugar:</w:t>
      </w:r>
      <w:r>
        <w:t xml:space="preserve"> Mencio 2A, 2, en la traducción inglesa de James Legge</w:t>
      </w:r>
      <w:r>
        <w:br/>
      </w:r>
      <w:r>
        <w:rPr>
          <w:b/>
        </w:rPr>
        <w:t>Tal como está en la fuente:</w:t>
      </w:r>
      <w:r>
        <w:t xml:space="preserve"> They who assist it to grow long, pull out their corn</w:t>
      </w:r>
      <w:r>
        <w:t>. El Daodejing lo dice del Estado: «Gobernar un gran Estado es como cocinar pececillos»</w:t>
      </w:r>
      <w:r>
        <w:t xml:space="preserve"> [original: «治大國，若烹小鮮»; Legge: «Governing a great state is like cooking small fish»]</w:t>
      </w:r>
      <w:r>
        <w:t xml:space="preserve"> (Daodejing 60, en la traducción inglesa de James Legge, Sacred Books of the East, vol. 39, 1891)</w:t>
      </w:r>
      <w:r>
        <w:br/>
      </w:r>
      <w:r>
        <w:rPr>
          <w:b/>
        </w:rPr>
        <w:t>leída en su fuente · Daodejing 60, en la traducción inglesa de James Legge, Sacred Books of the East, vol. 39,</w:t>
      </w:r>
      <w:r>
        <w:br/>
      </w:r>
      <w:r>
        <w:rPr>
          <w:b/>
        </w:rPr>
        <w:t>Archivo leído:</w:t>
      </w:r>
      <w:r>
        <w:t xml:space="preserve"> laozi_legge_gutenberg_216.txt (c9h\laozi_legge_gutenberg_216.txt) · contraste del archivo de pasajes: ✔</w:t>
      </w:r>
      <w:r>
        <w:br/>
      </w:r>
      <w:r>
        <w:rPr>
          <w:b/>
        </w:rPr>
        <w:t>Lugar:</w:t>
      </w:r>
      <w:r>
        <w:t xml:space="preserve"> Daodejing 60, en la traducción inglesa de James Legge, Sacred Books of the East, vol. 39, 1891</w:t>
      </w:r>
      <w:r>
        <w:br/>
      </w:r>
      <w:r>
        <w:rPr>
          <w:b/>
        </w:rPr>
        <w:t>Tal como está en la fuente:</w:t>
      </w:r>
      <w:r>
        <w:t xml:space="preserve"> Governing a great state is like cooking small fish</w:t>
      </w:r>
      <w:r>
        <w:t>: cuantas más vueltas se les da, más se deshacen.</w:t>
      </w:r>
    </w:p>
    <w:p>
      <w:pPr>
        <w:pStyle w:val="ListBullet"/>
      </w:pPr>
      <w:r>
        <w:rPr>
          <w:b/>
        </w:rPr>
        <w:t>La India.</w:t>
      </w:r>
      <w:r>
        <w:t xml:space="preserve"> La Gita pide al que sabe que obre «sin sembrar en esos corazones sencillos y afanosos semilla de desesperanza»</w:t>
      </w:r>
      <w:r>
        <w:t xml:space="preserve"> [original: «Not sowing in those simple, busy hearts Seed of despair», en la traducción inglesa de Arnold]</w:t>
      </w:r>
      <w:r>
        <w:t xml:space="preserve"> (Bhagavad Gita III, 25-29, en la traducción de Edwin Arnold)</w:t>
      </w:r>
      <w:r>
        <w:br/>
      </w:r>
      <w:r>
        <w:rPr>
          <w:b/>
        </w:rPr>
        <w:t>leída en su fuente · Bhagavad Gita III, 25-29, en la traducción de Edwin Arnold</w:t>
      </w:r>
      <w:r>
        <w:br/>
      </w:r>
      <w:r>
        <w:rPr>
          <w:b/>
        </w:rPr>
        <w:t>Archivo leído:</w:t>
      </w:r>
      <w:r>
        <w:t xml:space="preserve"> pg2388.txt (cierre_B3_B4_9oct\gita_arnold_gutenberg\pg2388.txt) · contraste del archivo de pasajes: ✔</w:t>
      </w:r>
      <w:r>
        <w:br/>
      </w:r>
      <w:r>
        <w:rPr>
          <w:b/>
        </w:rPr>
        <w:t>Lugar:</w:t>
      </w:r>
      <w:r>
        <w:t xml:space="preserve"> Bhagavad Gita III, 25-29, en la traducción de Edwin Arnold</w:t>
      </w:r>
      <w:r>
        <w:br/>
      </w:r>
      <w:r>
        <w:rPr>
          <w:b/>
        </w:rPr>
        <w:t>Tal como está en la fuente:</w:t>
      </w:r>
      <w:r>
        <w:t xml:space="preserve"> Not sowing in those simple, busy hearts Seed of despair</w:t>
      </w:r>
      <w:r>
        <w:t>, y que a los que no saben «no los hagas tropezar, tú que tienes la luz»</w:t>
      </w:r>
      <w:r>
        <w:t xml:space="preserve"> [original: «Those make thou not to stumble, having the light», en la traducción inglesa de Arnold]</w:t>
      </w:r>
      <w:r>
        <w:t xml:space="preserve"> (Bhagavad Gita III, 25-29, en la traducción de Edwin Arnold)</w:t>
      </w:r>
      <w:r>
        <w:br/>
      </w:r>
      <w:r>
        <w:rPr>
          <w:b/>
        </w:rPr>
        <w:t>leída en su fuente · Bhagavad Gita III, 25-29, en la traducción de Edwin Arnold</w:t>
      </w:r>
      <w:r>
        <w:br/>
      </w:r>
      <w:r>
        <w:rPr>
          <w:b/>
        </w:rPr>
        <w:t>Archivo leído:</w:t>
      </w:r>
      <w:r>
        <w:t xml:space="preserve"> pg2388.txt (cierre_B3_B4_9oct\gita_arnold_gutenberg\pg2388.txt) · contraste del archivo de pasajes: ✔</w:t>
      </w:r>
      <w:r>
        <w:br/>
      </w:r>
      <w:r>
        <w:rPr>
          <w:b/>
        </w:rPr>
        <w:t>Lugar:</w:t>
      </w:r>
      <w:r>
        <w:t xml:space="preserve"> Bhagavad Gita III, 25-29, en la traducción de Edwin Arnold</w:t>
      </w:r>
      <w:r>
        <w:br/>
      </w:r>
      <w:r>
        <w:rPr>
          <w:b/>
        </w:rPr>
        <w:t>Tal como está en la fuente:</w:t>
      </w:r>
      <w:r>
        <w:t xml:space="preserve"> Those make thou not to stumble, having the light</w:t>
      </w:r>
      <w:r>
        <w:t>.</w:t>
      </w:r>
    </w:p>
    <w:p>
      <w:pPr>
        <w:pStyle w:val="ListBullet"/>
      </w:pPr>
      <w:r>
        <w:rPr>
          <w:b/>
        </w:rPr>
        <w:t>El Evangelio.</w:t>
      </w:r>
      <w:r>
        <w:t xml:space="preserve"> Además del trigo y la cizaña que abre este apartado, la higuera sin fruto: el dueño manda cortarla, y el viñador responde: «Señor, déjala aún este año, hasta que la excave, y estercole. Y si hiciere fruto, [bien]; y si no, la cortarás después»</w:t>
      </w:r>
      <w:r>
        <w:t xml:space="preserve"> (Lc 13:8-9)</w:t>
      </w:r>
      <w:r>
        <w:br/>
      </w:r>
      <w:r>
        <w:rPr>
          <w:b/>
        </w:rPr>
        <w:t>leída en su fuente · Lc 13:8-9</w:t>
      </w:r>
      <w:r>
        <w:br/>
      </w:r>
      <w:r>
        <w:rPr>
          <w:b/>
        </w:rPr>
        <w:t>Original donde está:</w:t>
      </w:r>
      <w:r>
        <w:t xml:space="preserve"> spaRV1909_texto_corrido.txt</w:t>
      </w:r>
      <w:r>
        <w:br/>
      </w:r>
      <w:r>
        <w:t>El pasaje literal no está en el archivo de pasajes con este comienzo; la auditoría lo halló en ese original.</w:t>
      </w:r>
      <w:r>
        <w:t>. El orden de la corrección es ese: primero cuidar; solo después, si no hay fruto, cortar.</w:t>
      </w:r>
    </w:p>
    <w:p>
      <w:r>
        <w:t>[04l, 2c: Mencio, finales del siglo IV a. C.; la Gita, siglos II-I a. C. lo más habitual; Lucas, 80-90 d. C. (04k); Mencio en 07/fuentes/mencio_legge_wikisource/chapter03.txt, huella e7e260d20f5f9fa2; el Daodejing en taoismo_legge_sacredtexts/sbe39067.htm.txt, huella e0008da6407d5378; la Gita en gita_arnold_gutenberg/pg2388.txt, huella 85b22401a9d25617; Lucas en la Reina-Valera 1909 de 06]</w:t>
      </w:r>
    </w:p>
    <w:p>
      <w:r>
        <w:rPr>
          <w:b/>
        </w:rPr>
        <w:t>4. Un rumbo.</w:t>
      </w:r>
      <w:r>
        <w:t xml:space="preserve"> Hacia dónde se corrige: no hacia el interés de quien corrige, sino hacia el centro que la obra ya tiene: los nueve principios del Arca (</w:t>
      </w:r>
      <w:r>
        <w:t>3.2</w:t>
      </w:r>
      <w:r>
        <w:t>), el hilo de servir (</w:t>
      </w:r>
      <w:r>
        <w:t>3.6</w:t>
      </w:r>
      <w:r>
        <w:t>) y el centro de cada dial, la medida justa entre dos vicios (</w:t>
      </w:r>
      <w:r>
        <w:t>anexo J</w:t>
      </w:r>
      <w:r>
        <w:t xml:space="preserve">). </w:t>
      </w:r>
      <w:r>
        <w:t>[04l, 2d; Kiko, 8-oct: el rumbo es el Arca y el centro de cada dial]</w:t>
      </w:r>
    </w:p>
    <w:p>
      <w:r>
        <w:rPr>
          <w:b/>
        </w:rPr>
        <w:t>Conclusión, lo que arrojan los datos:</w:t>
      </w:r>
      <w:r>
        <w:t xml:space="preserve"> los textos leídos coinciden en las cuatro condiciones, y en la medida justa coinciden tres familias que no se citan entre sí (China, la India y el Evangelio) con la misma imagen del campo. Cuando falta una de las cuatro, los mismos textos lo llaman daño: el hombre de Song secó sus brotes; los pastores que se apacientan a sí mismos no sanan a nadie.</w:t>
      </w:r>
    </w:p>
    <w:p>
      <w:r>
        <w:rPr>
          <w:b/>
        </w:rPr>
        <w:t>Lectura del autor:</w:t>
      </w:r>
      <w:r>
        <w:t xml:space="preserve"> esta obra es un médico sin autoridad para cortar. No tiene el consentimiento del Estado para cruzar su límite, y no lo pide: diagnostica en público, con sus pruebas (el juicio popular, </w:t>
      </w:r>
      <w:r>
        <w:t>capítulo 11</w:t>
      </w:r>
      <w:r>
        <w:t>), y ofrece el tratamiento dentro de la ley: compensar, pedir con constancia escrita y deslindar (</w:t>
      </w:r>
      <w:r>
        <w:t>10.6</w:t>
      </w:r>
      <w:r>
        <w:t xml:space="preserve">, </w:t>
      </w:r>
      <w:r>
        <w:t>10.4</w:t>
      </w:r>
      <w:r>
        <w:t xml:space="preserve"> y </w:t>
      </w:r>
      <w:r>
        <w:t>10.7</w:t>
      </w:r>
      <w:r>
        <w:t xml:space="preserve">). Hace lo que Ezequiel con los pastores: acusa, y no ejecuta; quien aparta a las gruesas y a las fuertes es Dios, no el profeta (Ez 34:16; </w:t>
      </w:r>
      <w:r>
        <w:t>anexo J</w:t>
      </w:r>
      <w:r>
        <w:t>). Y sigue el orden de la corrección entre hermanos: «si tu hermano pecare contra ti, ve, y redargúyele entre ti y él solo»</w:t>
      </w:r>
      <w:r>
        <w:t xml:space="preserve"> (Mt 18:15)</w:t>
      </w:r>
      <w:r>
        <w:br/>
      </w:r>
      <w:r>
        <w:rPr>
          <w:b/>
        </w:rPr>
        <w:t>leída en su fuente · Mt 18:15</w:t>
      </w:r>
      <w:r>
        <w:br/>
      </w:r>
      <w:r>
        <w:rPr>
          <w:b/>
        </w:rPr>
        <w:t>Archivo leído:</w:t>
      </w:r>
      <w:r>
        <w:t xml:space="preserve"> spaRV1909_texto_corrido.txt (biblia_rv1909\spaRV1909_texto_corrido.txt) · contraste del archivo de pasajes: ✔</w:t>
      </w:r>
      <w:r>
        <w:br/>
      </w:r>
      <w:r>
        <w:rPr>
          <w:b/>
        </w:rPr>
        <w:t>Lugar:</w:t>
      </w:r>
      <w:r>
        <w:t xml:space="preserve"> Mt 18:15</w:t>
      </w:r>
      <w:r>
        <w:br/>
      </w:r>
      <w:r>
        <w:rPr>
          <w:b/>
        </w:rPr>
        <w:t>Tal como está en la fuente:</w:t>
      </w:r>
      <w:r>
        <w:t xml:space="preserve"> si tu hermano pecare contra ti, ve, y redargúyele entre ti y él solo</w:t>
      </w:r>
      <w:r>
        <w:t>; «mas si no [te] oyere, toma aún contigo uno ó dos»</w:t>
      </w:r>
      <w:r>
        <w:t xml:space="preserve"> (Mt 18:16)</w:t>
      </w:r>
      <w:r>
        <w:br/>
      </w:r>
      <w:r>
        <w:rPr>
          <w:b/>
        </w:rPr>
        <w:t>leída en su fuente · Mt 18:16</w:t>
      </w:r>
      <w:r>
        <w:br/>
      </w:r>
      <w:r>
        <w:rPr>
          <w:b/>
        </w:rPr>
        <w:t>Archivo leído:</w:t>
      </w:r>
      <w:r>
        <w:t xml:space="preserve"> spaRV1909_texto_corrido.txt (biblia_rv1909\spaRV1909_texto_corrido.txt) · contraste del archivo de pasajes: ✔</w:t>
      </w:r>
      <w:r>
        <w:br/>
      </w:r>
      <w:r>
        <w:rPr>
          <w:b/>
        </w:rPr>
        <w:t>Lugar:</w:t>
      </w:r>
      <w:r>
        <w:t xml:space="preserve"> Mt 18:16</w:t>
      </w:r>
      <w:r>
        <w:br/>
      </w:r>
      <w:r>
        <w:rPr>
          <w:b/>
        </w:rPr>
        <w:t>Tal como está en la fuente:</w:t>
      </w:r>
      <w:r>
        <w:t xml:space="preserve"> mas si no [te] oyere, toma aún contigo uno ó dos</w:t>
      </w:r>
      <w:r>
        <w:t>; «y si no oyere á ellos, dilo á la iglesia»</w:t>
      </w:r>
      <w:r>
        <w:t xml:space="preserve"> (Mt 18:17)</w:t>
      </w:r>
      <w:r>
        <w:br/>
      </w:r>
      <w:r>
        <w:rPr>
          <w:b/>
        </w:rPr>
        <w:t>leída en su fuente · Mt 18:17</w:t>
      </w:r>
      <w:r>
        <w:br/>
      </w:r>
      <w:r>
        <w:rPr>
          <w:b/>
        </w:rPr>
        <w:t>Archivo leído:</w:t>
      </w:r>
      <w:r>
        <w:t xml:space="preserve"> spaRV1909_texto_corrido.txt (biblia_rv1909\spaRV1909_texto_corrido.txt) · contraste del archivo de pasajes: ✔</w:t>
      </w:r>
      <w:r>
        <w:br/>
      </w:r>
      <w:r>
        <w:rPr>
          <w:b/>
        </w:rPr>
        <w:t>Lugar:</w:t>
      </w:r>
      <w:r>
        <w:t xml:space="preserve"> Mt 18:17</w:t>
      </w:r>
      <w:r>
        <w:br/>
      </w:r>
      <w:r>
        <w:rPr>
          <w:b/>
        </w:rPr>
        <w:t>Tal como está en la fuente:</w:t>
      </w:r>
      <w:r>
        <w:t xml:space="preserve"> y si no oyere á ellos, dilo á la iglesia</w:t>
      </w:r>
      <w:r>
        <w:t xml:space="preserve">. Primero a solas y por escrito, a quien tiene el poder (la pregunta de </w:t>
      </w:r>
      <w:r>
        <w:t>10.4</w:t>
      </w:r>
      <w:r>
        <w:t xml:space="preserve">); después con otros (defenderse juntos, </w:t>
      </w:r>
      <w:r>
        <w:t>10.4</w:t>
      </w:r>
      <w:r>
        <w:t xml:space="preserve">); y solo al final, ante todos (el Registro de los frutos, </w:t>
      </w:r>
      <w:r>
        <w:t>10.8</w:t>
      </w:r>
      <w:r>
        <w:t xml:space="preserve">, y el juicio, </w:t>
      </w:r>
      <w:r>
        <w:t>capítulo 11</w:t>
      </w:r>
      <w:r>
        <w:t>). La escalera acaba en apartarse de quien no oye, no en forzarlo.</w:t>
      </w:r>
    </w:p>
    <w:p>
      <w:r>
        <w:t>[04l, apartados 3 y 4; Mt 18:15-17 en la Reina-Valera 1909 de 06; el reverso de Ez 34:16, con el texto en el anexo J]</w:t>
      </w:r>
    </w:p>
    <w:p>
      <w:r>
        <w:rPr>
          <w:b/>
        </w:rPr>
        <w:t>Lectura del autor (propuesta):</w:t>
      </w:r>
      <w:r>
        <w:t xml:space="preserve"> quienes conocen el sistema por dentro, con años de experiencia, propondrán las correcciones, con una segunda llave de verificación externa: una auditoría exterior con especialistas; una consulta abierta a la población, también por canales no digitales; y un consejo de personas de confianza demostrada, no elegidas al azar, con avales documentados y públicos, experiencia comprobable en lugar de una edad fija, y la posibilidad de retirar un aval dejando constancia del motivo. Quien no tenga actos documentados puede aportar testimonios firmados, de las personas o comunidades a las que haya ayudado, con niveles de prueba distintos según sean un documento oficial, varios testimonios contrastados o uno solo. </w:t>
      </w:r>
      <w:r>
        <w:t>[00.00-7.2]</w:t>
      </w:r>
    </w:p>
    <w:p>
      <w:r>
        <w:rPr>
          <w:b/>
        </w:rPr>
        <w:t>La objeción de los avales.</w:t>
      </w:r>
      <w:r>
        <w:t xml:space="preserve"> Que un filtro por avales excluye, y su respuesta, ya se vio en </w:t>
      </w:r>
      <w:r>
        <w:t>2.4</w:t>
      </w:r>
      <w:r>
        <w:t>. Por eso la propuesta no usa avales para juzgar a nadie: el jurado del juicio popular se elige por sorteo (</w:t>
      </w:r>
      <w:r>
        <w:t>10.2</w:t>
      </w:r>
      <w:r>
        <w:t xml:space="preserve">, punto 4); el aval es solo para el consejo que propone correcciones. </w:t>
      </w:r>
      <w:r>
        <w:t>[00.00-7.2; remitido a 2.4]</w:t>
      </w:r>
    </w:p>
    <w:p>
      <w:pPr>
        <w:pStyle w:val="Heading2"/>
      </w:pPr>
      <w:r>
        <w:t>10.4 La constancia escrita y la pregunta</w:t>
      </w:r>
    </w:p>
    <w:p>
      <w:pPr>
        <w:pBdr>
          <w:left w:val="single" w:sz="24" w:space="6" w:color="E2DED6"/>
        </w:pBdr>
        <w:shd w:val="clear" w:color="auto" w:fill="F1EEE8"/>
        <w:spacing w:before="80" w:after="160"/>
        <w:ind w:left="142" w:right="142"/>
      </w:pPr>
      <w:r>
        <w:rPr>
          <w:b/>
        </w:rPr>
        <w:t>La idea: el ciudadano no tiene que arreglar la casa del Estado, sino dejar constancia. Pide por escrito la norma y la resolución que amparan lo que se le exige, y lo que le respondan, o el silencio, queda registrado. Desde ese momento, quien tramita ya sabe.</w:t>
      </w:r>
    </w:p>
    <w:p>
      <w:pPr>
        <w:pStyle w:val="Heading3"/>
      </w:pPr>
      <w:r>
        <w:t>La constancia escrita</w:t>
      </w:r>
    </w:p>
    <w:p>
      <w:r>
        <w:t>Dejar constancia es dejar por escrito lo que se pide y lo que se responde, o el silencio. Quien deja constancia ya no puede ser ignorado sin que quede registrado (</w:t>
      </w:r>
      <w:r>
        <w:t>0.2</w:t>
      </w:r>
      <w:r>
        <w:t xml:space="preserve">). La estrategia es la misma en todo: nunca el enfrentamiento directo. Se responde por escrito, en plazo y con la ley en la mano. </w:t>
      </w:r>
      <w:r>
        <w:t>[32.00-11.1; glosario 8.5]</w:t>
      </w:r>
    </w:p>
    <w:p>
      <w:pPr>
        <w:pStyle w:val="Heading3"/>
      </w:pPr>
      <w:r>
        <w:t>Lo que dice la ley sobre quien yerra y quien sostiene lo injusto</w:t>
      </w:r>
    </w:p>
    <w:p>
      <w:r>
        <w:rPr>
          <w:b/>
        </w:rPr>
        <w:t>Hechos.</w:t>
      </w:r>
    </w:p>
    <w:p>
      <w:pPr>
        <w:pStyle w:val="ListBullet"/>
      </w:pPr>
      <w:r>
        <w:t>El ordenamiento tiene un orden: «Carecerán de validez las disposiciones que contradigan otra de rango superior»</w:t>
      </w:r>
      <w:r>
        <w:t xml:space="preserve"> (Código Civil, art. 1.2)</w:t>
      </w:r>
      <w:r>
        <w:br/>
      </w:r>
      <w:r>
        <w:rPr>
          <w:b/>
        </w:rPr>
        <w:t>leída en su fuente · Código Civil, art. 1.2</w:t>
      </w:r>
      <w:r>
        <w:br/>
      </w:r>
      <w:r>
        <w:rPr>
          <w:b/>
        </w:rPr>
        <w:t>Archivo leído:</w:t>
      </w:r>
      <w:r>
        <w:t xml:space="preserve"> codigo_civil_1889.html (c5\codigo_civil_1889.html) · contraste del archivo de pasajes: ✔</w:t>
      </w:r>
      <w:r>
        <w:br/>
      </w:r>
      <w:r>
        <w:rPr>
          <w:b/>
        </w:rPr>
        <w:t>Lugar:</w:t>
      </w:r>
      <w:r>
        <w:t xml:space="preserve"> Art. 1.2</w:t>
      </w:r>
      <w:r>
        <w:br/>
      </w:r>
      <w:r>
        <w:rPr>
          <w:b/>
        </w:rPr>
        <w:t>Dirección:</w:t>
      </w:r>
      <w:r>
        <w:t xml:space="preserve"> </w:t>
      </w:r>
      <w:r>
        <w:t>https://www.boe.es/buscar/act.php?id=BOE-A-1889-4763</w:t>
      </w:r>
      <w:r>
        <w:br/>
      </w:r>
      <w:r>
        <w:rPr>
          <w:b/>
        </w:rPr>
        <w:t>Tal como está en la fuente:</w:t>
      </w:r>
      <w:r>
        <w:t xml:space="preserve"> 2. Carecerán de validez las disposiciones que contradigan otra de rango superior.</w:t>
      </w:r>
      <w:r>
        <w:t>; las disposiciones administrativas que vulneren la Constitución o las leyes son «nulas de pleno derecho»</w:t>
      </w:r>
      <w:r>
        <w:t xml:space="preserve"> (Ley 39/2015, art. 47.2)</w:t>
      </w:r>
      <w:r>
        <w:t>, y los jueces no las aplican</w:t>
      </w:r>
      <w:r>
        <w:t xml:space="preserve"> (Ley Orgánica del Poder Judicial, art. 6)</w:t>
      </w:r>
      <w:r>
        <w:t>.</w:t>
      </w:r>
    </w:p>
    <w:p>
      <w:pPr>
        <w:pStyle w:val="ListBullet"/>
      </w:pPr>
      <w:r>
        <w:t>Por el daño de un servicio público, el particular reclama a la Administración, no al funcionario</w:t>
      </w:r>
      <w:r>
        <w:t xml:space="preserve"> (Ley 40/2015, art. 36.1)</w:t>
      </w:r>
      <w:r>
        <w:t>; la Administración que indemniza debe exigir después la responsabilidad de quien actuó con dolo, o culpa o negligencia graves</w:t>
      </w:r>
      <w:r>
        <w:t xml:space="preserve"> (ídem, art. 36.2)</w:t>
      </w:r>
      <w:r>
        <w:t>; y si hubo delito, la responsabilidad penal del empleado y la civil que nace de él se exigen por la ley penal</w:t>
      </w:r>
      <w:r>
        <w:t xml:space="preserve"> (ídem, art. 37.1)</w:t>
      </w:r>
      <w:r>
        <w:t>.</w:t>
      </w:r>
    </w:p>
    <w:p>
      <w:pPr>
        <w:pStyle w:val="ListBullet"/>
      </w:pPr>
      <w:r>
        <w:t>La autoridad o funcionario que, «a sabiendas de su injusticia», dicta una resolución arbitraria comete prevaricación</w:t>
      </w:r>
      <w:r>
        <w:t xml:space="preserve"> (Código Penal, art. 404)</w:t>
      </w:r>
      <w:r>
        <w:t>, y quien es responsable penalmente lo es también civilmente</w:t>
      </w:r>
      <w:r>
        <w:t xml:space="preserve"> (ídem, art. 116.1)</w:t>
      </w:r>
      <w:r>
        <w:t>.</w:t>
      </w:r>
    </w:p>
    <w:p>
      <w:pPr>
        <w:pStyle w:val="ListBullet"/>
      </w:pPr>
      <w:r>
        <w:t>La ley no ampara la obediencia a lo manifiestamente ilegal</w:t>
      </w:r>
      <w:r>
        <w:t xml:space="preserve"> (Código Penal, art. 410.2; Estatuto Básico del Empleado Público, art. 54.3; Ley Orgánica 2/1986, art. 5.1.d)</w:t>
      </w:r>
      <w:r>
        <w:t>, y obedecer órdenes no exime de responsabilidad cuando era posible la elección moral (</w:t>
      </w:r>
      <w:r>
        <w:t>1.4</w:t>
      </w:r>
      <w:r>
        <w:t>, el principio IV de Núremberg).</w:t>
      </w:r>
    </w:p>
    <w:p>
      <w:pPr>
        <w:pStyle w:val="ListBullet"/>
      </w:pPr>
      <w:r>
        <w:t>Y el interesado tiene derecho a identificar a las autoridades y al personal bajo cuya responsabilidad se tramita su procedimiento</w:t>
      </w:r>
      <w:r>
        <w:t xml:space="preserve"> (Ley 39/2015, art. 53.1.b)</w:t>
      </w:r>
      <w:r>
        <w:t>.</w:t>
      </w:r>
    </w:p>
    <w:p>
      <w:r>
        <w:t>[32.00-19.1]</w:t>
      </w:r>
    </w:p>
    <w:p>
      <w:r>
        <w:rPr>
          <w:b/>
        </w:rPr>
        <w:t>Conclusión, lo que arrojan los datos:</w:t>
      </w:r>
      <w:r>
        <w:t xml:space="preserve"> la ley distingue a quien yerra de quien sostiene lo injusto a sabiendas. Un escrito que pide la norma y la resolución, expone por qué la actuación no se sostiene y pide identificar a quien la tramita, deja constancia de lo que se advirtió, cuándo y a quién. El escrito no anula la norma: una ley vigente solo la deja sin efecto un tribunal. Y si hubo o no conocimiento, lo decide un juez, no el escrito. </w:t>
      </w:r>
      <w:r>
        <w:t>[32.00-19.2]</w:t>
      </w:r>
    </w:p>
    <w:p>
      <w:r>
        <w:rPr>
          <w:b/>
        </w:rPr>
        <w:t>Lectura del autor:</w:t>
      </w:r>
      <w:r>
        <w:t xml:space="preserve"> por encima está la ley de Dios; después, la ley natural; después, la costumbre; y por último, la ley humana (</w:t>
      </w:r>
      <w:r>
        <w:t>1.1</w:t>
      </w:r>
      <w:r>
        <w:t>). Es el mismo principio que el Código Civil aplica a las leyes humanas, llevado a la ley suprema: la norma que contradice a la de rango superior no vale. A esa jerarquía se suma lo que esta obra ha documentado: el contrato social es un pacto que nadie firmó (</w:t>
      </w:r>
      <w:r>
        <w:t>6.1</w:t>
      </w:r>
      <w:r>
        <w:t>), y en lo que la Constitución dispone sobre el bien común, el incumplimiento es del 62,1 %, frente al 27,2 % en lo que regula el organigrama político (</w:t>
      </w:r>
      <w:r>
        <w:t>7.4</w:t>
      </w:r>
      <w:r>
        <w:t>). La forma sigue en pie, pero ha perdido la sustancia que la sostenía (</w:t>
      </w:r>
      <w:r>
        <w:t>9.2</w:t>
      </w:r>
      <w:r>
        <w:t xml:space="preserve">). </w:t>
      </w:r>
      <w:r>
        <w:t>[32.00-19.3]</w:t>
      </w:r>
    </w:p>
    <w:p>
      <w:r>
        <w:rPr>
          <w:b/>
        </w:rPr>
        <w:t>Lectura del autor:</w:t>
      </w:r>
      <w:r>
        <w:t xml:space="preserve"> poner orden en su casa es tarea de quien la administra; al ciudadano no le corresponde arreglarla, sino dejar constancia. Ante una extracción económica o el intento de imponerle algo, pide la motivación que lo justifica y expone sus motivos. A partir de ese momento, quien lo tramita ya participa del conocimiento, y es él quien decide si sigue adelante. El Estado es un ente sin cuerpo, sin voz y sin acción propias (</w:t>
      </w:r>
      <w:r>
        <w:t>2.1</w:t>
      </w:r>
      <w:r>
        <w:t xml:space="preserve">): cuando se aparta, queda la persona, y sobre ella recae la responsabilidad de imponer la norma. «Es menester obedecer á Dios antes que á los hombres» (Hch 5:29). Así se desmonta, sin violencia, una estructura que tiene que aprender a servir al ser humano, no a empobrecerlo. Dentro del escrito, en cambio, solo lenguaje jurídico: la identificación, la norma y la resolución. Este razonamiento es para quien lo redacta, no para la ventanilla. </w:t>
      </w:r>
      <w:r>
        <w:t>[32.00-19.4 y 19.5]</w:t>
      </w:r>
    </w:p>
    <w:p>
      <w:pPr>
        <w:pStyle w:val="Heading3"/>
      </w:pPr>
      <w:r>
        <w:t>La pregunta, y el escrito de petición</w:t>
      </w:r>
    </w:p>
    <w:p>
      <w:r>
        <w:t xml:space="preserve">Todo se resume en una pregunta: </w:t>
      </w:r>
      <w:r>
        <w:rPr>
          <w:b/>
        </w:rPr>
        <w:t>«¿Me puede explicar qué es lo que le legitima para solicitarme esto?»</w:t>
      </w:r>
      <w:r>
        <w:t xml:space="preserve">. El escrito de petición la hace en lenguaje jurídico. Su modelo completo está en el </w:t>
      </w:r>
      <w:r>
        <w:t>anexo D</w:t>
      </w:r>
      <w:r>
        <w:t xml:space="preserve">; aquí, lo que lo sostiene. </w:t>
      </w:r>
      <w:r>
        <w:t>[32.00-6.2; glosario 8.7]</w:t>
      </w:r>
    </w:p>
    <w:p>
      <w:r>
        <w:rPr>
          <w:b/>
        </w:rPr>
        <w:t>Lo que el escrito no hace.</w:t>
      </w:r>
      <w:r>
        <w:t xml:space="preserve"> No declara una «aceptación condicionada» ni pretende que el silencio equivalga a aceptación: el silencio tiene su régimen legal tasado</w:t>
      </w:r>
      <w:r>
        <w:t xml:space="preserve"> (Ley 39/2015, art. 24)</w:t>
      </w:r>
      <w:r>
        <w:t>. No exige la exhibición de un supuesto contrato de adhesión: la sujeción al ordenamiento no deriva de contrato. No niega la jurisdicción, ni usa fórmulas de reserva de derechos ni firma con huella dactilar en tinta roja: todo eso lo identifica como literatura pseudojurídica (</w:t>
      </w:r>
      <w:r>
        <w:t>2.6</w:t>
      </w:r>
      <w:r>
        <w:t xml:space="preserve">). Y no amenaza al funcionario que actúa dentro de su cargo. La regla de oro: todo lo que afirma se puede comprobar, y todo lo que pide se puede conceder. </w:t>
      </w:r>
      <w:r>
        <w:t>[32.00-1.1 a 1.5; 32.00-27.1]</w:t>
      </w:r>
    </w:p>
    <w:p>
      <w:r>
        <w:rPr>
          <w:b/>
        </w:rPr>
        <w:t>En qué derechos se apoya.</w:t>
      </w:r>
    </w:p>
    <w:p>
      <w:pPr>
        <w:pStyle w:val="ListBullet"/>
      </w:pPr>
      <w:r>
        <w:t>El derecho de petición: toda persona puede dirigir peticiones a los poderes públicos, y la Administración está obligada a acusar recibo y a contestar</w:t>
      </w:r>
      <w:r>
        <w:t xml:space="preserve"> (Constitución, art. 29; Ley Orgánica 4/2001)</w:t>
      </w:r>
      <w:r>
        <w:t>.</w:t>
      </w:r>
    </w:p>
    <w:p>
      <w:pPr>
        <w:pStyle w:val="ListBullet"/>
      </w:pPr>
      <w:r>
        <w:t>El deber de motivación: los actos que limiten derechos, resuelvan procedimientos o se aparten del criterio anterior deben motivarse, con sucinta referencia de hechos y fundamentos de derecho</w:t>
      </w:r>
      <w:r>
        <w:t xml:space="preserve"> (Ley 39/2015, art. 35)</w:t>
      </w:r>
      <w:r>
        <w:t>. Una motivación de plantilla no cumple ese deber.</w:t>
      </w:r>
    </w:p>
    <w:p>
      <w:pPr>
        <w:pStyle w:val="ListBullet"/>
      </w:pPr>
      <w:r>
        <w:t>El acceso a la información pública, con sus plazos y su reclamación ante el Consejo de Transparencia</w:t>
      </w:r>
      <w:r>
        <w:t xml:space="preserve"> (Ley 19/2013)</w:t>
      </w:r>
      <w:r>
        <w:t>.</w:t>
      </w:r>
    </w:p>
    <w:p>
      <w:pPr>
        <w:pStyle w:val="ListBullet"/>
      </w:pPr>
      <w:r>
        <w:t>La buena administración, como estándar europeo de referencia: tratamiento imparcial y equitativo, en un plazo razonable, con obligación de motivar</w:t>
      </w:r>
      <w:r>
        <w:t xml:space="preserve"> (Carta de los Derechos Fundamentales de la UE, art. 41)</w:t>
      </w:r>
      <w:r>
        <w:t>. Precisión honesta: vincula a las instituciones de la Unión, no directamente a un ayuntamiento.</w:t>
      </w:r>
    </w:p>
    <w:p>
      <w:r>
        <w:t>[32.00-5.1 a 5.5]</w:t>
      </w:r>
    </w:p>
    <w:p>
      <w:r>
        <w:rPr>
          <w:b/>
        </w:rPr>
        <w:t>Qué pide.</w:t>
      </w:r>
      <w:r>
        <w:t xml:space="preserve"> Peticiones concretas, numeradas y todas posibles de conceder:</w:t>
      </w:r>
    </w:p>
    <w:p>
      <w:pPr>
        <w:spacing w:after="60"/>
        <w:ind w:left="510" w:hanging="397"/>
      </w:pPr>
      <w:r>
        <w:rPr>
          <w:b w:val="0"/>
        </w:rPr>
        <w:t xml:space="preserve">1. </w:t>
      </w:r>
      <w:r>
        <w:t>Que se indique la norma concreta, con rango, número y artículo, que ampara la actuación.</w:t>
      </w:r>
    </w:p>
    <w:p>
      <w:pPr>
        <w:spacing w:after="60"/>
        <w:ind w:left="510" w:hanging="397"/>
      </w:pPr>
      <w:r>
        <w:rPr>
          <w:b w:val="0"/>
        </w:rPr>
        <w:t xml:space="preserve">2. </w:t>
      </w:r>
      <w:r>
        <w:t>Que se acredite la resolución previa que le sirve de fundamento</w:t>
      </w:r>
      <w:r>
        <w:t xml:space="preserve"> (Ley 39/2015, art. 97.1)</w:t>
      </w:r>
      <w:r>
        <w:t>.</w:t>
      </w:r>
    </w:p>
    <w:p>
      <w:pPr>
        <w:spacing w:after="60"/>
        <w:ind w:left="510" w:hanging="397"/>
      </w:pPr>
      <w:r>
        <w:rPr>
          <w:b w:val="0"/>
        </w:rPr>
        <w:t xml:space="preserve">3. </w:t>
      </w:r>
      <w:r>
        <w:t>Que se motive por qué se descartaron medidas menos gravosas: el juicio de necesidad que el Tribunal Constitucional aplica a la Administración, a los jueces y al legislador</w:t>
      </w:r>
      <w:r>
        <w:t xml:space="preserve"> (SSTC 66/1995, 207/1996 y 55/1996)</w:t>
      </w:r>
      <w:r>
        <w:t xml:space="preserve"> (</w:t>
      </w:r>
      <w:r>
        <w:t>10.7</w:t>
      </w:r>
      <w:r>
        <w:t>).</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w:t>
      </w:r>
      <w:r>
        <w:t xml:space="preserve"> (Ley 39/2015, art. 53.1.a)</w:t>
      </w:r>
      <w:r>
        <w:t>.</w:t>
      </w:r>
    </w:p>
    <w:p>
      <w:pPr>
        <w:spacing w:after="60"/>
        <w:ind w:left="510" w:hanging="397"/>
      </w:pPr>
      <w:r>
        <w:rPr>
          <w:b w:val="0"/>
        </w:rPr>
        <w:t xml:space="preserve">6. </w:t>
      </w:r>
      <w:r>
        <w:t>Que se identifique a quien tramita el procedimiento</w:t>
      </w:r>
      <w:r>
        <w:t xml:space="preserve"> (ídem, art. 53.1.b)</w:t>
      </w:r>
      <w:r>
        <w:t xml:space="preserve"> y que, si se continúa, se haga constar por escrito con la norma y la resolución que lo amparan.</w:t>
      </w:r>
    </w:p>
    <w:p>
      <w:r>
        <w:t xml:space="preserve">Cada petición debe poder contestarse con un documento o con una cita normativa; si no, se elimina. Y los hechos, cada uno con su fuente: si un dato no se puede acreditar, se retira. Es mejor un escrito de diez líneas sólidas que uno de cinco páginas con una afirmación indefendible. </w:t>
      </w:r>
      <w:r>
        <w:t>[32.00-4.1 y 4.2; 32.00-6.1 a 6.9]</w:t>
      </w:r>
    </w:p>
    <w:p>
      <w:r>
        <w:rPr>
          <w:b/>
        </w:rPr>
        <w:t>El domicilio.</w:t>
      </w:r>
      <w:r>
        <w:t xml:space="preserve"> Designarlo de forma expresa tiene efecto real: la Administración debe notificar en el domicilio que el interesado ha designado</w:t>
      </w:r>
      <w:r>
        <w:t xml:space="preserve"> (STS 3259/2025, de 1 de julio)</w:t>
      </w:r>
      <w:r>
        <w:t xml:space="preserve">. </w:t>
      </w:r>
      <w:r>
        <w:t>[32.00-3.5]</w:t>
      </w:r>
    </w:p>
    <w:p>
      <w:r>
        <w:rPr>
          <w:b/>
        </w:rPr>
        <w:t>La buena fe, por escrito.</w:t>
      </w:r>
      <w:r>
        <w:t xml:space="preserve"> El escrito termina declarando que se formula de buena fe, y lo dice con estas palabras del modelo: «Reconozco que la condición humana es propensa a errar el blanco —</w:t>
      </w:r>
      <w:r>
        <w:rPr>
          <w:i/>
        </w:rPr>
        <w:t>hamartia</w:t>
      </w:r>
      <w:r>
        <w:t>—, y que también yo puedo estar equivocado en mi apreciación». Quien firma rectificará si se le indica de forma motivada. No da inmunidad frente a ninguna ley. Se pone porque la buena fe se presume y solo se pierde ante prueba de dolo (</w:t>
      </w:r>
      <w:r>
        <w:t>2.5</w:t>
      </w:r>
      <w:r>
        <w:t xml:space="preserve">): dejar constancia de la voluntad de rectificar es lo contrario del dolo. </w:t>
      </w:r>
      <w:r>
        <w:t>[32.00-7.1 y 7.2; 07.00-19.1 y 19.2]</w:t>
      </w:r>
    </w:p>
    <w:p>
      <w:r>
        <w:rPr>
          <w:b/>
        </w:rPr>
        <w:t>La firma.</w:t>
      </w:r>
      <w:r>
        <w:t xml:space="preserve"> El nombre legal completo y la firma habitual. Sin anotaciones, sin siglas, sin huella, sin tinta de color: cualquier añadido de ese tipo convierte un escrito impecable en uno descalificable. </w:t>
      </w:r>
      <w:r>
        <w:t>[32.00-9.1 y 9.2]</w:t>
      </w:r>
    </w:p>
    <w:p>
      <w:pPr>
        <w:pStyle w:val="Heading3"/>
      </w:pPr>
      <w:r>
        <w:t>Qué hacer si no contestan</w:t>
      </w:r>
    </w:p>
    <w:p>
      <w:r>
        <w:t>El silencio no da la razón a nadie, pero tampoco es una salida libre para quien está obligado a contestar:</w:t>
      </w:r>
    </w:p>
    <w:p>
      <w:pPr>
        <w:pStyle w:val="ListBullet"/>
      </w:pPr>
      <w:r>
        <w:rPr>
          <w:b/>
        </w:rPr>
        <w:t>Acuse de recibo</w:t>
      </w:r>
      <w:r>
        <w:t xml:space="preserve"> en los diez días siguientes</w:t>
      </w:r>
      <w:r>
        <w:t xml:space="preserve"> (Ley Orgánica 4/2001, art. 6)</w:t>
      </w:r>
      <w:r>
        <w:t xml:space="preserve">, y </w:t>
      </w:r>
      <w:r>
        <w:rPr>
          <w:b/>
        </w:rPr>
        <w:t>contestación motivada</w:t>
      </w:r>
      <w:r>
        <w:t xml:space="preserve"> en tres meses como máximo</w:t>
      </w:r>
      <w:r>
        <w:t xml:space="preserve"> (ídem, art. 11)</w:t>
      </w:r>
      <w:r>
        <w:t>.</w:t>
      </w:r>
    </w:p>
    <w:p>
      <w:pPr>
        <w:pStyle w:val="ListBullet"/>
      </w:pPr>
      <w:r>
        <w:rPr>
          <w:b/>
        </w:rPr>
        <w:t>Tutela judicial:</w:t>
      </w:r>
      <w:r>
        <w:t xml:space="preserve"> el derecho de petición se defiende por el procedimiento preferente y sumario de los derechos fundamentales, contra la inadmisión, la falta de contestación o una contestación insuficiente</w:t>
      </w:r>
      <w:r>
        <w:t xml:space="preserve"> (ídem, art. 12; Constitución, art. 53.2)</w:t>
      </w:r>
      <w:r>
        <w:t>.</w:t>
      </w:r>
    </w:p>
    <w:p>
      <w:pPr>
        <w:pStyle w:val="ListBullet"/>
      </w:pPr>
      <w:r>
        <w:rPr>
          <w:b/>
        </w:rPr>
        <w:t>Información pública:</w:t>
      </w:r>
      <w:r>
        <w:t xml:space="preserve"> un mes, ampliable otro; sin respuesta, se entiende desestimada, y cabe reclamar ante el Consejo de Transparencia en un mes</w:t>
      </w:r>
      <w:r>
        <w:t xml:space="preserve"> (Ley 19/2013, arts. 20 y 24)</w:t>
      </w:r>
      <w:r>
        <w:t>.</w:t>
      </w:r>
    </w:p>
    <w:p>
      <w:pPr>
        <w:pStyle w:val="ListBullet"/>
      </w:pPr>
      <w:r>
        <w:rPr>
          <w:b/>
        </w:rPr>
        <w:t>En cualquier procedimiento</w:t>
      </w:r>
      <w:r>
        <w:t>, la Administración debe resolver de forma expresa</w:t>
      </w:r>
      <w:r>
        <w:t xml:space="preserve"> (Ley 39/2015, art. 21.1)</w:t>
      </w:r>
      <w:r>
        <w:t>, en tres meses si su norma no fija otro plazo</w:t>
      </w:r>
      <w:r>
        <w:t xml:space="preserve"> (ídem, art. 21.3)</w:t>
      </w:r>
      <w:r>
        <w:t>. El silencio en una petición del art. 29 es desestimatorio</w:t>
      </w:r>
      <w:r>
        <w:t xml:space="preserve"> (ídem, art. 24.1)</w:t>
      </w:r>
      <w:r>
        <w:t>: no da la razón, pero deja abierta la vía de recurso.</w:t>
      </w:r>
    </w:p>
    <w:p>
      <w:pPr>
        <w:pStyle w:val="ListBullet"/>
      </w:pPr>
      <w:r>
        <w:rPr>
          <w:b/>
        </w:rPr>
        <w:t>El Defensor del Pueblo</w:t>
      </w:r>
      <w:r>
        <w:t>, gratuito y sin abogado ni procurador</w:t>
      </w:r>
      <w:r>
        <w:t xml:space="preserve"> (Ley Orgánica 3/1981, art. 15)</w:t>
      </w:r>
      <w:r>
        <w:t>.</w:t>
      </w:r>
    </w:p>
    <w:p>
      <w:pPr>
        <w:pStyle w:val="ListBullet"/>
      </w:pPr>
      <w:r>
        <w:rPr>
          <w:b/>
        </w:rPr>
        <w:t>Si la Administración no cumple una prestación concreta</w:t>
      </w:r>
      <w:r>
        <w:t xml:space="preserve"> a la que está obligada, cabe recurso contra su inactividad pasados tres meses; si no ejecuta un acto firme, pasado un mes; y frente a una vía de hecho, una actuación sin resolución que la ampare, se le requiere que cese y, si no lo hace en diez días, cabe recurso directo</w:t>
      </w:r>
      <w:r>
        <w:t xml:space="preserve"> (Ley 29/1998, arts. 29, 30 y 46)</w:t>
      </w:r>
      <w:r>
        <w:t>.</w:t>
      </w:r>
    </w:p>
    <w:p>
      <w:r>
        <w:t>Y por encima de todo, la constancia: conservar la copia sellada con la fecha de entrada. Un escrito registrado que nadie contesta es un hecho documentado. No se pide que el silencio dé la razón: se deja constancia de que hubo silencio. «Por sus frutos los conoceréis» (</w:t>
      </w:r>
      <w:r>
        <w:t>0.5</w:t>
      </w:r>
      <w:r>
        <w:t xml:space="preserve">). </w:t>
      </w:r>
      <w:r>
        <w:t>[32.00-10.1 a 10.10]</w:t>
      </w:r>
    </w:p>
    <w:p>
      <w:pPr>
        <w:pStyle w:val="Heading3"/>
      </w:pPr>
      <w:r>
        <w:t>Las vías que ya han funcionado</w:t>
      </w:r>
    </w:p>
    <w:p>
      <w:r>
        <w:rPr>
          <w:b/>
        </w:rPr>
        <w:t>Hechos.</w:t>
      </w:r>
      <w:r>
        <w:t xml:space="preserve"> Frente a un impuesto o una actuación que se juzga abusiva, hay vías reales, con resultados probados:</w:t>
      </w:r>
    </w:p>
    <w:p>
      <w:pPr>
        <w:pStyle w:val="ListBullet"/>
      </w:pPr>
      <w:r>
        <w:rPr>
          <w:b/>
        </w:rPr>
        <w:t>Los recursos ordinarios:</w:t>
      </w:r>
      <w:r>
        <w:t xml:space="preserve"> el de reposición, ante el mismo órgano, en un mes; la reclamación económico-administrativa; y el contencioso-administrativo, donde un juez revisa la legalidad del acto. </w:t>
      </w:r>
      <w:r>
        <w:t>[20.00-9.1]</w:t>
      </w:r>
    </w:p>
    <w:p>
      <w:pPr>
        <w:pStyle w:val="ListBullet"/>
      </w:pPr>
      <w:r>
        <w:rPr>
          <w:b/>
        </w:rPr>
        <w:t>Pedir al juez que pregunte al Constitucional.</w:t>
      </w:r>
      <w:r>
        <w:t xml:space="preserve"> Ningún ciudadano puede plantear la cuestión de inconstitucionalidad, pero sí pedírsela al juez de su litigio, y ha funcionado: la plusvalía municipal se declaró nula dos veces por esta vía</w:t>
      </w:r>
      <w:r>
        <w:t xml:space="preserve"> (SSTC 59/2017 y 182/2021)</w:t>
      </w:r>
      <w:r>
        <w:t>, con efectos solo hacia adelante (</w:t>
      </w:r>
      <w:r>
        <w:t>5.1</w:t>
      </w:r>
      <w:r>
        <w:t xml:space="preserve">, n.º 9). </w:t>
      </w:r>
      <w:r>
        <w:t>[20.00-9.1]</w:t>
      </w:r>
    </w:p>
    <w:p>
      <w:pPr>
        <w:pStyle w:val="ListBullet"/>
      </w:pPr>
      <w:r>
        <w:rPr>
          <w:b/>
        </w:rPr>
        <w:t>La forma que la ley obliga a cumplir.</w:t>
      </w:r>
      <w:r>
        <w:t xml:space="preserve"> El Supremo fijó como doctrina que Hacienda debe notificar en el domicilio designado, y anuló por ello una sanción de 20.000 euros, además de declarar caducado el procedimiento por superar los seis meses</w:t>
      </w:r>
      <w:r>
        <w:t xml:space="preserve"> (STS 3259/2025, de 1 de julio; Ley General Tributaria, art. 211.4)</w:t>
      </w:r>
      <w:r>
        <w:t xml:space="preserve">. </w:t>
      </w:r>
      <w:r>
        <w:t>[20.00-9.1]</w:t>
      </w:r>
    </w:p>
    <w:p>
      <w:pPr>
        <w:pStyle w:val="ListBullet"/>
      </w:pPr>
      <w:r>
        <w:rPr>
          <w:b/>
        </w:rPr>
        <w:t>Una norma sin la ley que exige la Constitución.</w:t>
      </w:r>
      <w:r>
        <w:t xml:space="preserve"> El Constitucional anuló un artículo del reglamento sancionador de la Escuela de Policía que se aplicaba desde 1981 sin el respaldo legal que exige el art. 25.1</w:t>
      </w:r>
      <w:r>
        <w:t xml:space="preserve"> (STC 184/2025, de 2 de diciembre)</w:t>
      </w:r>
      <w:r>
        <w:t xml:space="preserve"> (</w:t>
      </w:r>
      <w:r>
        <w:t>5.2</w:t>
      </w:r>
      <w:r>
        <w:t xml:space="preserve">). </w:t>
      </w:r>
      <w:r>
        <w:t>[20.00-9.1]</w:t>
      </w:r>
    </w:p>
    <w:p>
      <w:pPr>
        <w:pStyle w:val="ListBullet"/>
      </w:pPr>
      <w:r>
        <w:rPr>
          <w:b/>
        </w:rPr>
        <w:t>La culpa no se presume por el cargo.</w:t>
      </w:r>
      <w:r>
        <w:t xml:space="preserve"> Derivar la responsabilidad tributaria a un administrador tiene naturaleza sancionadora: la Administración debe probar su culpa, de forma concreta</w:t>
      </w:r>
      <w:r>
        <w:t xml:space="preserve"> (STS 3465/2025, de 17 de julio)</w:t>
      </w:r>
      <w:r>
        <w:t xml:space="preserve">. </w:t>
      </w:r>
      <w:r>
        <w:t>[20.00-9.1]</w:t>
      </w:r>
    </w:p>
    <w:p>
      <w:pPr>
        <w:pStyle w:val="ListBullet"/>
      </w:pPr>
      <w:r>
        <w:rPr>
          <w:b/>
        </w:rPr>
        <w:t>Defender un derecho no debe costar dinero.</w:t>
      </w:r>
      <w:r>
        <w:t xml:space="preserve"> Cuando un consumidor gana en apelación un litigio sobre una cláusula abusiva, el banco paga las costas: el Constitucional vio que la regla anterior carecía de motivación adecuada</w:t>
      </w:r>
      <w:r>
        <w:t xml:space="preserve"> (STC 121/2025, de 26 de mayo)</w:t>
      </w:r>
      <w:r>
        <w:t>, y el Supremo la corrigió en pleno: «el consumidor debe quedar indemne económicamente»</w:t>
      </w:r>
      <w:r>
        <w:t xml:space="preserve"> (SSTS 1785, 1786 y 1796/2025, de 4 y 5 de diciembre)</w:t>
      </w:r>
      <w:r>
        <w:br/>
      </w:r>
      <w:r>
        <w:rPr>
          <w:b/>
        </w:rPr>
        <w:t>leída en su fuente · SSTS 1785, 1786 y 1796/2025, de 4 y 5 de diciembre</w:t>
      </w:r>
      <w:r>
        <w:br/>
      </w:r>
      <w:r>
        <w:rPr>
          <w:b/>
        </w:rPr>
        <w:t>Archivo leído:</w:t>
      </w:r>
      <w:r>
        <w:t xml:space="preserve"> sts_5479_2025_res1785.pdf (c10\sts_5479_2025_res1785.pdf) · contraste del archivo de pasajes: ✔</w:t>
      </w:r>
      <w:r>
        <w:br/>
      </w:r>
      <w:r>
        <w:rPr>
          <w:b/>
        </w:rPr>
        <w:t>Lugar:</w:t>
      </w:r>
      <w:r>
        <w:t xml:space="preserve"> SSTS 1785, 1786 y 1796/2025, de 4 y 5 de diciembre</w:t>
      </w:r>
      <w:r>
        <w:br/>
      </w:r>
      <w:r>
        <w:rPr>
          <w:b/>
        </w:rPr>
        <w:t>Tal como está en la fuente:</w:t>
      </w:r>
      <w:r>
        <w:t xml:space="preserve"> el consumidor debe quedar indemne económicamente</w:t>
      </w:r>
      <w:r>
        <w:t xml:space="preserve">. </w:t>
      </w:r>
      <w:r>
        <w:t>[20.00-9.1; 07: no dicen «patrimonialmente indemne»]</w:t>
      </w:r>
    </w:p>
    <w:p>
      <w:pPr>
        <w:pStyle w:val="ListBullet"/>
      </w:pPr>
      <w:r>
        <w:rPr>
          <w:b/>
        </w:rPr>
        <w:t>El plazo cuenta desde que se sabe.</w:t>
      </w:r>
      <w:r>
        <w:t xml:space="preserve"> El Supremo reconoció el derecho a recuperar un IVA que un proceso penal reveló indebido, contando el plazo desde que el contribuyente supo que el pago era indebido</w:t>
      </w:r>
      <w:r>
        <w:t xml:space="preserve"> (STS 1063/2025, de 21 de julio)</w:t>
      </w:r>
      <w:r>
        <w:t>. Y Hacienda no puede seguir por la vía penal una deuda ya prescrita en la administrativa</w:t>
      </w:r>
      <w:r>
        <w:t xml:space="preserve"> (STS 1182/2024, de 7 de enero de 2025)</w:t>
      </w:r>
      <w:r>
        <w:t xml:space="preserve">. </w:t>
      </w:r>
      <w:r>
        <w:t>[20.00-9.1]</w:t>
      </w:r>
    </w:p>
    <w:p>
      <w:r>
        <w:rPr>
          <w:b/>
        </w:rPr>
        <w:t>Contra un reglamento ilegal.</w:t>
      </w:r>
      <w:r>
        <w:t xml:space="preserve"> El plazo de dos meses para recurrir un reglamento vence pronto, pero cada acto nuevo que lo aplique abre un plazo nuevo: es el recurso indirecto</w:t>
      </w:r>
      <w:r>
        <w:t xml:space="preserve"> (Ley 29/1998, art. 26)</w:t>
      </w:r>
      <w:r>
        <w:t>. Hace falta que la ilegalidad del reglamento tenga que ver con el acto recurrido: no cabe impugnar la norma «en abstracto»</w:t>
      </w:r>
      <w:r>
        <w:t xml:space="preserve"> (STS 932/2021, de 28 de junio)</w:t>
      </w:r>
      <w:r>
        <w:t>. Si el juez lo estima, la cuestión de ilegalidad lleva la norma al tribunal que puede anularla para todos</w:t>
      </w:r>
      <w:r>
        <w:t xml:space="preserve"> (Ley 29/1998, art. 27)</w:t>
      </w:r>
      <w:r>
        <w:t>. Las disposiciones nulas lo son sin plazo, pero el ciudadano solo puede pedir de parte la revisión de los actos; la de las disposiciones generales es de oficio</w:t>
      </w:r>
      <w:r>
        <w:t xml:space="preserve"> (Ley 39/2015, arts. 47.2 y 106)</w:t>
      </w:r>
      <w:r>
        <w:t xml:space="preserve">: frente a un reglamento nulo, su vía fuerte sigue siendo el recurso indirecto. </w:t>
      </w:r>
      <w:r>
        <w:t>[20.00-24.1]</w:t>
      </w:r>
    </w:p>
    <w:p>
      <w:r>
        <w:rPr>
          <w:b/>
        </w:rPr>
        <w:t>La responsabilidad personal, como es.</w:t>
      </w:r>
      <w:r>
        <w:t xml:space="preserve"> Por el daño de un servicio público, el particular reclama a la Administración, no al empleado; después, la Administración puede exigir a su personal la responsabilidad por dolo o culpa grave, no por cualquier error</w:t>
      </w:r>
      <w:r>
        <w:t xml:space="preserve"> (Ley 40/2015, art. 36)</w:t>
      </w:r>
      <w:r>
        <w:t>. Para el error judicial, primero una decisión que lo reconozca, pedida en tres meses al Supremo, y después la reclamación al Ministerio de Justicia</w:t>
      </w:r>
      <w:r>
        <w:t xml:space="preserve"> (Ley Orgánica del Poder Judicial, arts. 292 y 293)</w:t>
      </w:r>
      <w:r>
        <w:t xml:space="preserve">. Ninguna de estas vías es una fórmula mágica: son el mapa de lo que el propio ordenamiento ya permite. </w:t>
      </w:r>
      <w:r>
        <w:t>[20.00-24.1]</w:t>
      </w:r>
    </w:p>
    <w:p>
      <w:pPr>
        <w:pStyle w:val="Heading3"/>
      </w:pPr>
      <w:r>
        <w:t>Defenderse juntos</w:t>
      </w:r>
    </w:p>
    <w:p>
      <w:r>
        <w:rPr>
          <w:b/>
        </w:rPr>
        <w:t>Hechos.</w:t>
      </w:r>
      <w:r>
        <w:t xml:space="preserve"> La ley permite acumular los recursos sobre un mismo acto o sobre actos conectados</w:t>
      </w:r>
      <w:r>
        <w:t xml:space="preserve"> (Ley 29/1998, art. 34)</w:t>
      </w:r>
      <w:r>
        <w:t>; si hay muchos con idéntico objeto, el juez puede tramitar uno como pleito testigo y suspender los demás</w:t>
      </w:r>
      <w:r>
        <w:t xml:space="preserve"> (ídem, art. 37.2)</w:t>
      </w:r>
      <w:r>
        <w:t>; y en materia tributaria, quienes estén en idéntica situación pueden pedir que se les extiendan los efectos de una sentencia firme en el plazo de un año</w:t>
      </w:r>
      <w:r>
        <w:t xml:space="preserve"> (ídem, art. 110)</w:t>
      </w:r>
      <w:r>
        <w:t>. Ante un juzgado unipersonal, el procurador es opcional</w:t>
      </w:r>
      <w:r>
        <w:t xml:space="preserve"> (ídem, art. 23.1)</w:t>
      </w:r>
      <w:r>
        <w:t>. Y si se pierde del todo, el juez impone las costas a quien recurrió, salvo serias dudas</w:t>
      </w:r>
      <w:r>
        <w:t xml:space="preserve"> (ídem, art. 139.1)</w:t>
      </w:r>
      <w:r>
        <w:t xml:space="preserve">. </w:t>
      </w:r>
      <w:r>
        <w:t>[32.00-20.1]</w:t>
      </w:r>
    </w:p>
    <w:p>
      <w:r>
        <w:rPr>
          <w:b/>
        </w:rPr>
        <w:t>Conclusión, lo que arrojan los datos:</w:t>
      </w:r>
      <w:r>
        <w:t xml:space="preserve"> los cauces para defenderse en grupo ya existen. Lo que falta es encontrar a quien tiene el mismo problema. </w:t>
      </w:r>
      <w:r>
        <w:t>[32.00-20.2]</w:t>
      </w:r>
    </w:p>
    <w:p>
      <w:r>
        <w:rPr>
          <w:b/>
        </w:rPr>
        <w:t>Lectura del autor (propuesta):</w:t>
      </w:r>
      <w:r>
        <w:t xml:space="preserve"> el Registro servirá también para que las personas con el mismo problema se encuentren y se defiendan juntas, pagando entre todas a uno o dos abogados, con un coste que el autor sitúa en no más de 100 euros por persona, y siempre con el consentimiento expreso de cada una para compartir su caso</w:t>
      </w:r>
      <w:r>
        <w:t xml:space="preserve"> (Reglamento General de Protección de Datos, art. 6.1.a)</w:t>
      </w:r>
      <w:r>
        <w:t xml:space="preserve">. Una inteligencia artificial agruparía los casos con la misma motivación; cada persona depositaría 50 euros al sumarse; reunido el grupo, se calcularía el coste real de los abogados y se repartiría; y todos firmarían antes de empezar que, si se pierde, las costas se reparten entre todos. Es un riesgo real, y por eso se dice desde el principio. </w:t>
      </w:r>
      <w:r>
        <w:t>[32.00-20.3 a 20.7]</w:t>
      </w:r>
    </w:p>
    <w:p>
      <w:pPr>
        <w:pStyle w:val="Heading3"/>
      </w:pPr>
      <w:r>
        <w:t>La respuesta probable de la Administración</w:t>
      </w:r>
    </w:p>
    <w:p>
      <w:r>
        <w:t xml:space="preserve">Conocer la respuesta probable antes de presentar el escrito es parte de la buena fe. Estas son las cinco, con lo que responde la obra. </w:t>
      </w:r>
      <w:r>
        <w:t>[32.00-22.1 a 26.2; clasificación de las defensas, 5]</w:t>
      </w:r>
    </w:p>
    <w:p>
      <w:pPr>
        <w:spacing w:after="60"/>
        <w:ind w:left="510" w:hanging="397"/>
      </w:pPr>
      <w:r>
        <w:rPr>
          <w:b w:val="0"/>
        </w:rPr>
        <w:t xml:space="preserve">1. </w:t>
      </w:r>
      <w:r>
        <w:rPr>
          <w:b/>
        </w:rPr>
        <w:t>«Si hay un procedimiento abierto, no es una petición.»</w:t>
      </w:r>
      <w:r>
        <w:t xml:space="preserve"> La ley del derecho de petición excluye lo que tiene un procedimiento específico</w:t>
      </w:r>
      <w:r>
        <w:t xml:space="preserve"> (Ley Orgánica 4/2001, art. 3)</w:t>
      </w:r>
      <w:r>
        <w:t xml:space="preserve"> e inadmite las peticiones sobre un procedimiento ya iniciado</w:t>
      </w:r>
      <w:r>
        <w:t xml:space="preserve"> (ídem, art. 8)</w:t>
      </w:r>
      <w:r>
        <w:t xml:space="preserve">. </w:t>
      </w:r>
      <w:r>
        <w:rPr>
          <w:i/>
        </w:rPr>
        <w:t>La respuesta de la obra:</w:t>
      </w:r>
      <w:r>
        <w:t xml:space="preserve"> la obra lo acepta: con un procedimiento abierto, el escrito va dentro de él, como alegaciones o como solicitud del expediente. Y si se inadmite por tener otro procedimiento, la ley obliga a decir cuál y ante quién: la inadmisión «deberá indicar expresamente las disposiciones a cuyo amparo deba sustanciarse, así como el órgano competente»</w:t>
      </w:r>
      <w:r>
        <w:t xml:space="preserve"> (ídem, art. 9.1)</w:t>
      </w:r>
      <w:r>
        <w:br/>
      </w:r>
      <w:r>
        <w:rPr>
          <w:b/>
        </w:rPr>
        <w:t>leída en su fuente · ídem, art. 9.1</w:t>
      </w:r>
      <w:r>
        <w:br/>
      </w:r>
      <w:r>
        <w:rPr>
          <w:b/>
        </w:rPr>
        <w:t>Archivo leído:</w:t>
      </w:r>
      <w:r>
        <w:t xml:space="preserve"> BOE-A-2001-21090_consolidado.html (c9d\BOE-A-2001-21090_consolidado.html) · contraste del archivo de pasajes: ✔</w:t>
      </w:r>
      <w:r>
        <w:br/>
      </w:r>
      <w:r>
        <w:rPr>
          <w:b/>
        </w:rPr>
        <w:t>Lugar:</w:t>
      </w:r>
      <w:r>
        <w:t xml:space="preserve"> Art. 9.1 (#a9)</w:t>
      </w:r>
      <w:r>
        <w:br/>
      </w:r>
      <w:r>
        <w:rPr>
          <w:b/>
        </w:rPr>
        <w:t>Dirección:</w:t>
      </w:r>
      <w:r>
        <w:t xml:space="preserve"> </w:t>
      </w:r>
      <w:r>
        <w:t>https://www.boe.es/buscar/act.php?id=BOE-A-2001-21090</w:t>
      </w:r>
      <w:r>
        <w:br/>
      </w:r>
      <w:r>
        <w:rPr>
          <w:b/>
        </w:rPr>
        <w:t>Tal como está en la fuente:</w:t>
      </w:r>
      <w:r>
        <w:t xml:space="preserve"> 1. La declaración de inadmisibilidad será siempre motivada y deberá acordarse y notificarse al peticionario en los cuarenta y cinco días hábiles siguientes al de presentación del escrito de petición. Cuando la inadmisión traiga causa de la existencia en el ordenamiento jurídico de otros procedimientos específicos para la satisfacción del objeto de la petición, la declaración de inadmisión deberá indicar expresamente las disposiciones a cuyo amparo deba sustanciarse, así como el órgano competente para ella.</w:t>
      </w:r>
      <w:r>
        <w:t>. Además, el nombre que se dé al escrito no lo invalida</w:t>
      </w:r>
      <w:r>
        <w:t xml:space="preserve"> (Ley 39/2015, art. 115.2)</w:t>
      </w:r>
      <w:r>
        <w:t>.</w:t>
      </w:r>
    </w:p>
    <w:p>
      <w:pPr>
        <w:spacing w:after="60"/>
        <w:ind w:left="510" w:hanging="397"/>
      </w:pPr>
      <w:r>
        <w:rPr>
          <w:b w:val="0"/>
        </w:rPr>
        <w:t xml:space="preserve">2. </w:t>
      </w:r>
      <w:r>
        <w:rPr>
          <w:b/>
        </w:rPr>
        <w:t>«El acto ya cita su norma, y basta una motivación sucinta.»</w:t>
      </w:r>
      <w:r>
        <w:t xml:space="preserve"> (Ley 39/2015, art. 35)</w:t>
      </w:r>
      <w:r>
        <w:t xml:space="preserve"> </w:t>
      </w:r>
      <w:r>
        <w:rPr>
          <w:i/>
        </w:rPr>
        <w:t>La respuesta de la obra:</w:t>
      </w:r>
      <w:r>
        <w:t xml:space="preserve"> no se pide un tratado: se pide la norma con su número y artículo, y la resolución previa. Si existen, contestar cuesta una línea. Sucinta no es genérica. Y si no existen, el silencio o la evasiva quedan registrados.</w:t>
      </w:r>
    </w:p>
    <w:p>
      <w:pPr>
        <w:spacing w:after="60"/>
        <w:ind w:left="510" w:hanging="397"/>
      </w:pPr>
      <w:r>
        <w:rPr>
          <w:b w:val="0"/>
        </w:rPr>
        <w:t xml:space="preserve">3. </w:t>
      </w:r>
      <w:r>
        <w:rPr>
          <w:b/>
        </w:rPr>
        <w:t>«Para darlo habría que reelaborar la información.»</w:t>
      </w:r>
      <w:r>
        <w:t xml:space="preserve"> (Ley 19/2013, art. 18.1.c)</w:t>
      </w:r>
      <w:r>
        <w:t xml:space="preserve"> </w:t>
      </w:r>
      <w:r>
        <w:rPr>
          <w:i/>
        </w:rPr>
        <w:t>La respuesta de la obra:</w:t>
      </w:r>
      <w:r>
        <w:t xml:space="preserve"> lo que se pide ya existe: el expediente, la norma, la resolución, la notificación y la identidad de quien tramita. Y la inadmisión también debe motivarse.</w:t>
      </w:r>
    </w:p>
    <w:p>
      <w:pPr>
        <w:spacing w:after="60"/>
        <w:ind w:left="510" w:hanging="397"/>
      </w:pPr>
      <w:r>
        <w:rPr>
          <w:b w:val="0"/>
        </w:rPr>
        <w:t xml:space="preserve">4. </w:t>
      </w:r>
      <w:r>
        <w:rPr>
          <w:b/>
        </w:rPr>
        <w:t>«Si no contestamos, está desestimada, y puede recurrir.»</w:t>
      </w:r>
      <w:r>
        <w:t xml:space="preserve"> (Ley 19/2013, art. 20.4)</w:t>
      </w:r>
      <w:r>
        <w:t xml:space="preserve"> </w:t>
      </w:r>
      <w:r>
        <w:rPr>
          <w:i/>
        </w:rPr>
        <w:t>La respuesta de la obra:</w:t>
      </w:r>
      <w:r>
        <w:t xml:space="preserve"> el silencio no libera de resolver</w:t>
      </w:r>
      <w:r>
        <w:t xml:space="preserve"> (Ley 39/2015, art. 21.1)</w:t>
      </w:r>
      <w:r>
        <w:t>, y la resolución tardía se dicta «sin vinculación alguna al sentido del silencio»</w:t>
      </w:r>
      <w:r>
        <w:t xml:space="preserve"> (ídem, art. 24.3.b)</w:t>
      </w:r>
      <w:r>
        <w:br/>
      </w:r>
      <w:r>
        <w:rPr>
          <w:b/>
        </w:rPr>
        <w:t>leída en su fuente · ídem, art. 24.3.b</w:t>
      </w:r>
      <w:r>
        <w:br/>
      </w:r>
      <w:r>
        <w:rPr>
          <w:b/>
        </w:rPr>
        <w:t>Archivo leído:</w:t>
      </w:r>
      <w:r>
        <w:t xml:space="preserve"> l39.html (ant\c1\l39.html) · contraste del archivo de pasajes: ✔</w:t>
      </w:r>
      <w:r>
        <w:br/>
      </w:r>
      <w:r>
        <w:rPr>
          <w:b/>
        </w:rPr>
        <w:t>Lugar:</w:t>
      </w:r>
      <w:r>
        <w:t xml:space="preserve"> ídem, art. 24.3.b</w:t>
      </w:r>
      <w:r>
        <w:br/>
      </w:r>
      <w:r>
        <w:rPr>
          <w:b/>
        </w:rPr>
        <w:t>Tal como está en la fuente:</w:t>
      </w:r>
      <w:r>
        <w:t xml:space="preserve"> sin vinculación alguna al sentido del silencio</w:t>
      </w:r>
      <w:r>
        <w:t>. El silencio no da la razón a nadie: es un hecho documentado.</w:t>
      </w:r>
    </w:p>
    <w:p>
      <w:pPr>
        <w:spacing w:after="60"/>
        <w:ind w:left="510" w:hanging="397"/>
      </w:pPr>
      <w:r>
        <w:rPr>
          <w:b w:val="0"/>
        </w:rPr>
        <w:t xml:space="preserve">5. </w:t>
      </w:r>
      <w:r>
        <w:rPr>
          <w:b/>
        </w:rPr>
        <w:t>«Una avalancha de escritos idénticos es abusiva.»</w:t>
      </w:r>
      <w:r>
        <w:t xml:space="preserve"> (Ley 19/2013, art. 18.1.e)</w:t>
      </w:r>
      <w:r>
        <w:t xml:space="preserve"> </w:t>
      </w:r>
      <w:r>
        <w:rPr>
          <w:i/>
        </w:rPr>
        <w:t>La respuesta de la obra:</w:t>
      </w:r>
      <w:r>
        <w:t xml:space="preserve"> el escrito exige hechos concretos del propio asunto: no es un formulario para enviar en masa. Cuando el problema es de muchos, la vía es la colectiva que la ley ya prevé, la acumulación y el pleito testigo. Cada ciudadano escribe sobre lo suyo; el Registro agrupa los casos después.</w:t>
      </w:r>
    </w:p>
    <w:p>
      <w:pPr>
        <w:pStyle w:val="Heading2"/>
      </w:pPr>
      <w:r>
        <w:t>10.5 El botiquín de escritos</w:t>
      </w:r>
    </w:p>
    <w:p>
      <w:pPr>
        <w:pBdr>
          <w:left w:val="single" w:sz="24" w:space="6" w:color="E2DED6"/>
        </w:pBdr>
        <w:shd w:val="clear" w:color="auto" w:fill="F1EEE8"/>
        <w:spacing w:before="80" w:after="160"/>
        <w:ind w:left="142" w:right="142"/>
      </w:pPr>
      <w:r>
        <w:rPr>
          <w:b/>
        </w:rPr>
        <w:t xml:space="preserve">La idea: el botiquín son los modelos de escrito listos para rellenar, cada uno con sus artículos y sus plazos. Aquí, su índice y su regla; los doce modelos completos, en el </w:t>
      </w:r>
      <w:r>
        <w:rPr>
          <w:b/>
        </w:rPr>
        <w:t>anexo D</w:t>
      </w:r>
      <w:r>
        <w:rPr>
          <w:b/>
        </w:rPr>
        <w:t>.</w:t>
      </w:r>
    </w:p>
    <w:p>
      <w:r>
        <w:t xml:space="preserve">El botiquín son los modelos de escrito listos para rellenar, con sus artículos y sus plazos (H.8). Son doce: el escrito de petición; la solicitud de acceso a la información pública; las alegaciones y el recurso contra una multa o una sanción; el recurso contra una liquidación, una providencia de apremio o un embargo de Hacienda; la reclamación por inactividad de la Administración; la queja al Defensor del Pueblo; la constancia de no consentimiento; la solicitud de acreditación de la competencia, de los hechos y de la motivación; la petición de motivación extensa; el recordatorio de responsabilidad por falta de respuesta; la reclamación de los intereses de demora que Hacienda debe al ciudadano; y la reclamación de responsabilidad patrimonial. Cada uno lleva sus contrapuntos para replicar. </w:t>
      </w:r>
      <w:r>
        <w:t>[36.00, índice]</w:t>
      </w:r>
    </w:p>
    <w:p>
      <w:r>
        <w:rPr>
          <w:b/>
        </w:rPr>
        <w:t>Algunos plazos que conviene saber antes de abrirlo</w:t>
      </w:r>
      <w:r>
        <w:t xml:space="preserve"> (los fundamentos de cada modelo, en el </w:t>
      </w:r>
      <w:r>
        <w:t>anexo D</w:t>
      </w:r>
      <w:r>
        <w:t>):</w:t>
      </w:r>
    </w:p>
    <w:p>
      <w:pPr>
        <w:pStyle w:val="ListBullet"/>
      </w:pPr>
      <w:r>
        <w:t>Notificada una denuncia de tráfico, hay veinte días naturales para alegar</w:t>
      </w:r>
      <w:r>
        <w:t xml:space="preserve"> (Ley de Tráfico, art. 95.1)</w:t>
      </w:r>
      <w:r>
        <w:t>. Pagar en ese plazo reduce la multa a la mitad, pero las alegaciones «se tendrán por no presentadas» y la vía administrativa se agota</w:t>
      </w:r>
      <w:r>
        <w:t xml:space="preserve"> (ídem, art. 94)</w:t>
      </w:r>
      <w:r>
        <w:t xml:space="preserve">: o se paga con la reducción, o se alega. </w:t>
      </w:r>
      <w:r>
        <w:t>[32.00-13.1 y 13.2; 07: es el art. 94]</w:t>
      </w:r>
    </w:p>
    <w:p>
      <w:pPr>
        <w:pStyle w:val="ListBullet"/>
      </w:pPr>
      <w:r>
        <w:t>El recurso de reposición, en un mes, y otro mes para resolverlo</w:t>
      </w:r>
      <w:r>
        <w:t xml:space="preserve"> (Ley 39/2015, arts. 123 y 124)</w:t>
      </w:r>
      <w:r>
        <w:t>. Recurrir no suspende por sí solo, pero se puede pedir la suspensión, y si no se resuelve en un mes, «la ejecución del acto impugnado se entenderá suspendida»</w:t>
      </w:r>
      <w:r>
        <w:t xml:space="preserve"> (ídem, art. 117)</w:t>
      </w:r>
      <w:r>
        <w:br/>
      </w:r>
      <w:r>
        <w:rPr>
          <w:b/>
        </w:rPr>
        <w:t>leída en su fuente · ídem, art. 117</w:t>
      </w:r>
      <w:r>
        <w:br/>
      </w:r>
      <w:r>
        <w:rPr>
          <w:b/>
        </w:rPr>
        <w:t>Archivo leído:</w:t>
      </w:r>
      <w:r>
        <w:t xml:space="preserve"> l39.html (ant\c1\l39.html) · contraste del archivo de pasajes: ✔</w:t>
      </w:r>
      <w:r>
        <w:br/>
      </w:r>
      <w:r>
        <w:rPr>
          <w:b/>
        </w:rPr>
        <w:t>Lugar:</w:t>
      </w:r>
      <w:r>
        <w:t xml:space="preserve"> ídem, art. 117</w:t>
      </w:r>
      <w:r>
        <w:br/>
      </w:r>
      <w:r>
        <w:rPr>
          <w:b/>
        </w:rPr>
        <w:t>Tal como está en la fuente:</w:t>
      </w:r>
      <w:r>
        <w:t xml:space="preserve"> la ejecución del acto impugnado se entenderá suspendida</w:t>
      </w:r>
      <w:r>
        <w:t xml:space="preserve">. </w:t>
      </w:r>
      <w:r>
        <w:t>[32.00-14.1 y 14.2]</w:t>
      </w:r>
    </w:p>
    <w:p>
      <w:pPr>
        <w:pStyle w:val="ListBullet"/>
      </w:pPr>
      <w:r>
        <w:t>La providencia de apremio tiene «la misma fuerza ejecutiva que la sentencia judicial», y solo admite cinco motivos de oposición</w:t>
      </w:r>
      <w:r>
        <w:t xml:space="preserve"> (Ley General Tributaria, art. 167)</w:t>
      </w:r>
      <w:r>
        <w:t>. La reposición tributaria, en un mes, nunca empeora la situación de quien recurre, y si lo recurrido es una sanción se suspende sin garantía</w:t>
      </w:r>
      <w:r>
        <w:t xml:space="preserve"> (ídem, arts. 223 y 224.1)</w:t>
      </w:r>
      <w:r>
        <w:t xml:space="preserve">. </w:t>
      </w:r>
      <w:r>
        <w:t>[32.00-15.1 y 15.2]</w:t>
      </w:r>
    </w:p>
    <w:p>
      <w:pPr>
        <w:pStyle w:val="ListBullet"/>
      </w:pPr>
      <w:r>
        <w:t>No se puede embargar el sueldo o la pensión que no exceda del salario mínimo</w:t>
      </w:r>
      <w:r>
        <w:t xml:space="preserve"> (Ley de Enjuiciamiento Civil, art. 607.1)</w:t>
      </w:r>
      <w:r>
        <w:t xml:space="preserve">. </w:t>
      </w:r>
      <w:r>
        <w:t>[32.00-16.1]</w:t>
      </w:r>
    </w:p>
    <w:p>
      <w:r>
        <w:rPr>
          <w:b/>
        </w:rPr>
        <w:t>Su regla.</w:t>
      </w:r>
      <w:r>
        <w:t xml:space="preserve"> No aconseja dejar de pagar ni desobedecer: son los cauces que la propia ley reconoce para defenderse. Y no se puede correr antes de gatear: pasar de un modelo a un escrito real, con nombres y fechas, requiere su propia maduración y, si el asunto lo merece, asistencia profesional. Por eso la obra no incluye ningún modelo para impugnar una obligación fiscal concreta, como el IRPF. </w:t>
      </w:r>
      <w:r>
        <w:t>[32.00-16.2; 32.00-27.2; 07.00-29.1]</w:t>
      </w:r>
    </w:p>
    <w:p>
      <w:pPr>
        <w:pStyle w:val="Heading2"/>
      </w:pPr>
      <w:r>
        <w:t>10.6 El derecho a compensación</w:t>
      </w:r>
    </w:p>
    <w:p>
      <w:pPr>
        <w:pBdr>
          <w:left w:val="single" w:sz="24" w:space="6" w:color="E2DED6"/>
        </w:pBdr>
        <w:shd w:val="clear" w:color="auto" w:fill="F1EEE8"/>
        <w:spacing w:before="80" w:after="160"/>
        <w:ind w:left="142" w:right="142"/>
      </w:pPr>
      <w:r>
        <w:rPr>
          <w:b/>
        </w:rPr>
        <w:t>La idea: cuando alguien causa un daño injusto, la respuesta madura de un sistema jurídico no es solo castigar: es compensar. La ley española ya obliga a hacerlo cada vez más arriba: el particular, la Administración, la justicia, el Tribunal Constitucional y el legislador. Cuanto más arriba, más estrecho es el camino.</w:t>
      </w:r>
    </w:p>
    <w:p>
      <w:r>
        <w:t>La compensación es lo que el sistema debe al ciudadano, y no puede pagarse con más deuda contra el mismo ciudadano (</w:t>
      </w:r>
      <w:r>
        <w:t>9.1</w:t>
      </w:r>
      <w:r>
        <w:t xml:space="preserve">). Este apartado dice qué compensación ya reconoce la ley. </w:t>
      </w:r>
      <w:r>
        <w:t>[glosario 8.4]</w:t>
      </w:r>
    </w:p>
    <w:p>
      <w:r>
        <w:rPr>
          <w:b/>
        </w:rPr>
        <w:t>Hechos: cinco frentes.</w:t>
      </w:r>
    </w:p>
    <w:p>
      <w:pPr>
        <w:spacing w:after="60"/>
        <w:ind w:left="510" w:hanging="397"/>
      </w:pPr>
      <w:r>
        <w:rPr>
          <w:b w:val="0"/>
        </w:rPr>
        <w:t xml:space="preserve">1. </w:t>
      </w:r>
      <w:r>
        <w:rPr>
          <w:b/>
        </w:rPr>
        <w:t>Entre particulares.</w:t>
      </w:r>
      <w:r>
        <w:t xml:space="preserve"> «El que por acción u omisión causa daño a otro, interviniendo culpa o negligencia, está obligado a reparar el daño causado»</w:t>
      </w:r>
      <w:r>
        <w:t xml:space="preserve"> (Código Civil, art. 1902)</w:t>
      </w:r>
      <w:r>
        <w:br/>
      </w:r>
      <w:r>
        <w:rPr>
          <w:b/>
        </w:rPr>
        <w:t>leída en su fuente · Código Civil, art. 1902</w:t>
      </w:r>
      <w:r>
        <w:br/>
      </w:r>
      <w:r>
        <w:rPr>
          <w:b/>
        </w:rPr>
        <w:t>Archivo leído:</w:t>
      </w:r>
      <w:r>
        <w:t xml:space="preserve"> …Codigo_Civil_consolidado.html (ant\c1\cc.html) · contraste del archivo de pasajes: ✔</w:t>
      </w:r>
      <w:r>
        <w:br/>
      </w:r>
      <w:r>
        <w:rPr>
          <w:b/>
        </w:rPr>
        <w:t>Lugar:</w:t>
      </w:r>
      <w:r>
        <w:t xml:space="preserve"> Art. 1902</w:t>
      </w:r>
      <w:r>
        <w:br/>
      </w:r>
      <w:r>
        <w:rPr>
          <w:b/>
        </w:rPr>
        <w:t>Dirección:</w:t>
      </w:r>
      <w:r>
        <w:t xml:space="preserve"> </w:t>
      </w:r>
      <w:r>
        <w:t>https://www.boe.es/buscar/act.php?id=BOE-A-1889-4763#art1902</w:t>
      </w:r>
      <w:r>
        <w:br/>
      </w:r>
      <w:r>
        <w:rPr>
          <w:b/>
        </w:rPr>
        <w:t>Tal como está en la fuente:</w:t>
      </w:r>
      <w:r>
        <w:t xml:space="preserve"> El que por acción u omisión causa daño a otro, interviniendo culpa o negligencia, está obligado a reparar el daño causado.</w:t>
      </w:r>
      <w:r>
        <w:t>. Es el único frente donde sigue haciendo falta probar la culpa.</w:t>
      </w:r>
    </w:p>
    <w:p>
      <w:pPr>
        <w:spacing w:after="60"/>
        <w:ind w:left="510" w:hanging="397"/>
      </w:pPr>
      <w:r>
        <w:rPr>
          <w:b w:val="0"/>
        </w:rPr>
        <w:t xml:space="preserve">2. </w:t>
      </w:r>
      <w:r>
        <w:rPr>
          <w:b/>
        </w:rPr>
        <w:t>La Administración.</w:t>
      </w:r>
      <w:r>
        <w:t xml:space="preserve"> El régimen de responsabilidad del Estado arranca de la Ley de Expropiación Forzosa de 1954</w:t>
      </w:r>
      <w:r>
        <w:t xml:space="preserve"> (Ley de 16 de diciembre de 1954, art. 121)</w:t>
      </w:r>
      <w:r>
        <w:t>, veinticuatro años antes de la Constitución, que lo eleva a su rango: «Los particulares, en los términos establecidos por la ley, tendrán derecho a ser indemnizados por toda lesión que sufran en cualquiera de sus bienes y derechos, salvo en los casos de fuerza mayor, siempre que la lesión sea consecuencia del funcionamiento de los servicios públicos»</w:t>
      </w:r>
      <w:r>
        <w:t xml:space="preserve"> (Constitución, art. 106.2; Ley 40/2015, art. 32)</w:t>
      </w:r>
      <w:r>
        <w:br/>
      </w:r>
      <w:r>
        <w:rPr>
          <w:b/>
        </w:rPr>
        <w:t>leída en su fuente · Constitución, art. 106.2; Ley 40/2015, art. 32</w:t>
      </w:r>
      <w:r>
        <w:br/>
      </w:r>
      <w:r>
        <w:rPr>
          <w:b/>
        </w:rPr>
        <w:t>Archivo leído:</w:t>
      </w:r>
      <w:r>
        <w:t xml:space="preserve"> ce.html (ant\c1\ce.html) · contraste del archivo de pasajes: ✔</w:t>
      </w:r>
      <w:r>
        <w:br/>
      </w:r>
      <w:r>
        <w:rPr>
          <w:b/>
        </w:rPr>
        <w:t>Lugar:</w:t>
      </w:r>
      <w:r>
        <w:t xml:space="preserve"> Constitución (BOE, texto consolidado) · art. 106</w:t>
      </w:r>
      <w:r>
        <w:br/>
      </w:r>
      <w:r>
        <w:rPr>
          <w:b/>
        </w:rPr>
        <w:t>Tal como está en la fuente:</w:t>
      </w:r>
      <w:r>
        <w:t xml:space="preserve"> Los particulares, en los términos establecidos por la ley, tendrán derecho a ser indemnizados por toda lesión que sufran en cualquiera de sus bienes y derechos, salvo en los casos de fuerza mayor, siempre que la lesión sea consecuencia del funcionamiento de los servicios públicos.</w:t>
      </w:r>
      <w:r>
        <w:t>. Es responsabilidad objetiva: no hace falta que la Administración se haya equivocado; basta que el funcionamiento de un servicio cause un daño que el ciudadano no tenía el deber de soportar.</w:t>
      </w:r>
    </w:p>
    <w:p>
      <w:pPr>
        <w:spacing w:after="60"/>
        <w:ind w:left="510" w:hanging="397"/>
      </w:pPr>
      <w:r>
        <w:rPr>
          <w:b w:val="0"/>
        </w:rPr>
        <w:t xml:space="preserve">3. </w:t>
      </w:r>
      <w:r>
        <w:rPr>
          <w:b/>
        </w:rPr>
        <w:t>La justicia.</w:t>
      </w:r>
      <w:r>
        <w:t xml:space="preserve"> «Los daños causados por error judicial, así como los que sean consecuencia del funcionamiento anormal de la Administración de Justicia, darán derecho a una indemnización a cargo del Estado, conforme a la ley»</w:t>
      </w:r>
      <w:r>
        <w:t xml:space="preserve"> (Constitución, art. 121; Ley Orgánica del Poder Judicial, arts. 292 a 297)</w:t>
      </w:r>
      <w:r>
        <w:br/>
      </w:r>
      <w:r>
        <w:rPr>
          <w:b/>
        </w:rPr>
        <w:t>leída en su fuente · Constitución, art. 121; Ley Orgánica del Poder Judicial, arts. 292 a 297</w:t>
      </w:r>
      <w:r>
        <w:br/>
      </w:r>
      <w:r>
        <w:rPr>
          <w:b/>
        </w:rPr>
        <w:t>Archivo leído:</w:t>
      </w:r>
      <w:r>
        <w:t xml:space="preserve"> 12.00_13.00_BOE_LOPJ_LO_6-1985_consolidada.html (ant\c1\ce.html) · contraste del archivo de pasajes: ✔</w:t>
      </w:r>
      <w:r>
        <w:br/>
      </w:r>
      <w:r>
        <w:rPr>
          <w:b/>
        </w:rPr>
        <w:t>Lugar:</w:t>
      </w:r>
      <w:r>
        <w:t xml:space="preserve"> CE art. 121</w:t>
      </w:r>
      <w:r>
        <w:br/>
      </w:r>
      <w:r>
        <w:rPr>
          <w:b/>
        </w:rPr>
        <w:t>Dirección:</w:t>
      </w:r>
      <w:r>
        <w:t xml:space="preserve"> </w:t>
      </w:r>
      <w:r>
        <w:t>https://www.boe.es/buscar/act.php?id=BOE-A-1978-31229#a121</w:t>
      </w:r>
      <w:r>
        <w:br/>
      </w:r>
      <w:r>
        <w:rPr>
          <w:b/>
        </w:rPr>
        <w:t>Tal como está en la fuente:</w:t>
      </w:r>
      <w:r>
        <w:t xml:space="preserve"> Los daños causados por error judicial, así como los que sean consecuencia del funcionamiento anormal de la Administración de Justicia, darán derecho a una indemnización a cargo del Estado, conforme a la ley.</w:t>
      </w:r>
      <w:r>
        <w:t>.</w:t>
      </w:r>
    </w:p>
    <w:p>
      <w:pPr>
        <w:spacing w:after="60"/>
        <w:ind w:left="510" w:hanging="397"/>
      </w:pPr>
      <w:r>
        <w:rPr>
          <w:b w:val="0"/>
        </w:rPr>
        <w:t xml:space="preserve">4. </w:t>
      </w:r>
      <w:r>
        <w:rPr>
          <w:b/>
        </w:rPr>
        <w:t>El propio Tribunal Constitucional.</w:t>
      </w:r>
      <w:r>
        <w:t xml:space="preserve"> «El Consejo de Ministros fijará el importe de las indemnizaciones que proceda abonar cuando el Tribunal Constitucional haya declarado, a instancia de parte interesada, la existencia de un funcionamiento anormal en la tramitación de los recursos de amparo o de las cuestiones de inconstitucionalidad»</w:t>
      </w:r>
      <w:r>
        <w:t xml:space="preserve"> (Ley 40/2015, art. 32.8)</w:t>
      </w:r>
      <w:r>
        <w:br/>
      </w:r>
      <w:r>
        <w:rPr>
          <w:b/>
        </w:rPr>
        <w:t>leída en su fuente · Ley 40/2015, art. 32.8</w:t>
      </w:r>
      <w:r>
        <w:br/>
      </w:r>
      <w:r>
        <w:rPr>
          <w:b/>
        </w:rPr>
        <w:t>Archivo leído:</w:t>
      </w:r>
      <w:r>
        <w:t xml:space="preserve"> l40.html (ant\c1\l40.html) · contraste del archivo de pasajes: ✔</w:t>
      </w:r>
      <w:r>
        <w:br/>
      </w:r>
      <w:r>
        <w:rPr>
          <w:b/>
        </w:rPr>
        <w:t>Lugar:</w:t>
      </w:r>
      <w:r>
        <w:t xml:space="preserve"> BOE, texto consolidado (ant/c1/l40.html) · art. 32.8</w:t>
      </w:r>
      <w:r>
        <w:br/>
      </w:r>
      <w:r>
        <w:rPr>
          <w:b/>
        </w:rPr>
        <w:t>Tal como está en la fuente:</w:t>
      </w:r>
      <w:r>
        <w:t xml:space="preserve"> El Consejo de Ministros fijará el importe de las indemnizaciones que proceda abonar cuando el Tribunal Constitucional haya declarado, a instancia de parte interesada, la existencia de un funcionamiento anormal en la tramitación de los recursos de amparo o de las cuestiones de inconstitucionalidad. El procedimiento [...] se tramitará por el Ministerio de Justicia, con audiencia al Consejo de Estado.</w:t>
      </w:r>
      <w:r>
        <w:t>.</w:t>
      </w:r>
    </w:p>
    <w:p>
      <w:pPr>
        <w:spacing w:after="60"/>
        <w:ind w:left="510" w:hanging="397"/>
      </w:pPr>
      <w:r>
        <w:rPr>
          <w:b w:val="0"/>
        </w:rPr>
        <w:t xml:space="preserve">5. </w:t>
      </w:r>
      <w:r>
        <w:rPr>
          <w:b/>
        </w:rPr>
        <w:t>Los productos digitales defectuosos.</w:t>
      </w:r>
      <w:r>
        <w:t xml:space="preserve"> La Directiva (UE) 2024/2853, de 23 de octubre de 2024, sustituye a la de 1985 con efectos desde el 9 de diciembre de 2026</w:t>
      </w:r>
      <w:r>
        <w:t xml:space="preserve"> (Directiva (UE) 2024/2853, art. 21)</w:t>
      </w:r>
      <w:r>
        <w:t>.</w:t>
      </w:r>
    </w:p>
    <w:p>
      <w:r>
        <w:t>[31.00-3.1; 31.00-4.1 a 4.4; 31.00-5.1 a 5.6]</w:t>
      </w:r>
    </w:p>
    <w:p>
      <w:r>
        <w:rPr>
          <w:b/>
        </w:rPr>
        <w:t>Y el legislador.</w:t>
      </w:r>
      <w:r>
        <w:t xml:space="preserve"> La ley prevé también indemnizar los daños causados por una ley: por una ley válida que causa un daño que no hay deber de soportar, por una ley después declarada inconstitucional y por una norma contraria al Derecho de la Unión</w:t>
      </w:r>
      <w:r>
        <w:t xml:space="preserve"> (Ley 40/2015, art. 32.3)</w:t>
      </w:r>
      <w:r>
        <w:t xml:space="preserve">. </w:t>
      </w:r>
      <w:r>
        <w:t>[31.00-6.1]</w:t>
      </w:r>
    </w:p>
    <w:p>
      <w:r>
        <w:rPr>
          <w:b/>
        </w:rPr>
        <w:t>Conclusión, lo que arrojan los datos:</w:t>
      </w:r>
      <w:r>
        <w:t xml:space="preserve"> el principio de compensar el daño injusto alcanza en la ley española a todos los niveles del poder, hasta el Tribunal Constitucional y el legislador. Y en este frente concreto la ley pide más al Estado que a los particulares: responder sin que nadie pruebe su culpa. No todas las asimetrías documentadas en esta obra juegan contra el ciudadano, y esta es la prueba. </w:t>
      </w:r>
      <w:r>
        <w:t>[31.00-7.1 y 7.2]</w:t>
      </w:r>
    </w:p>
    <w:p>
      <w:r>
        <w:rPr>
          <w:b/>
        </w:rPr>
        <w:t>El camino estrecho.</w:t>
      </w:r>
      <w:r>
        <w:t xml:space="preserve"> El derecho existe con letra clara, pero cuanto más arriba se aplica, más estrecho es el camino real para ejercerlo: la reclamación por el funcionamiento anormal de la justicia no es automática. El Supremo lo dijo así: «El simple incumplimiento de los plazos procesales meramente aceleratorios constituye una irregularidad procesal que no comporta, pues, por sí misma, una anormalidad funcional que genere responsabilidad»</w:t>
      </w:r>
      <w:r>
        <w:t xml:space="preserve"> (STS de 21 de junio de 1996, FJ 4)</w:t>
      </w:r>
      <w:r>
        <w:br/>
      </w:r>
      <w:r>
        <w:rPr>
          <w:b/>
        </w:rPr>
        <w:t>leída en su fuente · STS de 21 de junio de 1996, FJ 4</w:t>
      </w:r>
      <w:r>
        <w:br/>
      </w:r>
      <w:r>
        <w:rPr>
          <w:b/>
        </w:rPr>
        <w:t>Archivo leído:</w:t>
      </w:r>
      <w:r>
        <w:t xml:space="preserve"> CENDOJ_STS_21-06-1996_rec_5157-1993_ROJ_STS_3781-1996_funcionamiento_anormal.pdf; CENDOJ_STS_27-10-2014_rec_6482-2011_ROJ_STS_4326-2014_dilaciones_indebidas.pdf (c9c\CENDOJ_STS_21-06-1996_rec_5157-1993_ROJ_STS_3781-1996_funcionamiento_anormal.pdf; c9c\CENDOJ_STS_27-10-2014_rec_6482-2011_ROJ_STS_4326-2014_dilaciones_indebidas.pdf) · contraste del archivo de pasajes: ✔</w:t>
      </w:r>
      <w:r>
        <w:br/>
      </w:r>
      <w:r>
        <w:rPr>
          <w:b/>
        </w:rPr>
        <w:t>Lugar:</w:t>
      </w:r>
      <w:r>
        <w:t xml:space="preserve"> STS 21-VI-1996, FJ 4</w:t>
      </w:r>
      <w:r>
        <w:br/>
      </w:r>
      <w:r>
        <w:rPr>
          <w:b/>
        </w:rPr>
        <w:t>Dirección:</w:t>
      </w:r>
      <w:r>
        <w:t xml:space="preserve"> </w:t>
      </w:r>
      <w:r>
        <w:t>https://www.poderjudicial.es/search/TS/openDocument/401ca7fcbe3f67d1/20030912</w:t>
      </w:r>
      <w:r>
        <w:t xml:space="preserve"> (ECLI:ES:TS:1996:3781) ; </w:t>
      </w:r>
      <w:r>
        <w:t>https://www.poderjudicial.es/search/TS/openDocument/8046c9cfad272400/20141110</w:t>
      </w:r>
      <w:r>
        <w:t xml:space="preserve"> (ECLI:ES:TS:2014:4326)</w:t>
      </w:r>
      <w:r>
        <w:br/>
      </w:r>
      <w:r>
        <w:rPr>
          <w:b/>
        </w:rPr>
        <w:t>Tal como está en la fuente:</w:t>
      </w:r>
      <w:r>
        <w:t xml:space="preserve"> El simple incumplimiento de los plazos procesales meramente aceleratorios constituye una irregularidad procesal que no comporta, pues, por sí misma, una anormalidad funcional que genere responsabilidad.</w:t>
      </w:r>
      <w:r>
        <w:t>; hace falta una tardanza que, vista la complejidad del caso, sea impropia de un Estado que «propugna como uno de sus valores superiores la justicia»</w:t>
      </w:r>
      <w:r>
        <w:t xml:space="preserve"> (ídem)</w:t>
      </w:r>
      <w:r>
        <w:br/>
      </w:r>
      <w:r>
        <w:rPr>
          <w:b/>
        </w:rPr>
        <w:t>leída en su fuente · ídem</w:t>
      </w:r>
      <w:r>
        <w:br/>
      </w:r>
      <w:r>
        <w:rPr>
          <w:b/>
        </w:rPr>
        <w:t>Archivo leído:</w:t>
      </w:r>
      <w:r>
        <w:t xml:space="preserve"> ídem (c9c\CENDOJ_STS_21-06-1996_rec_5157-1993_ROJ_STS_3781-1996_funcionamiento_anormal.pdf) · contraste del archivo de pasajes: ✔</w:t>
      </w:r>
      <w:r>
        <w:br/>
      </w:r>
      <w:r>
        <w:rPr>
          <w:b/>
        </w:rPr>
        <w:t>Lugar:</w:t>
      </w:r>
      <w:r>
        <w:t xml:space="preserve"> STS 21-VI-1996, FJ 4</w:t>
      </w:r>
      <w:r>
        <w:br/>
      </w:r>
      <w:r>
        <w:rPr>
          <w:b/>
        </w:rPr>
        <w:t>Tal como está en la fuente:</w:t>
      </w:r>
      <w:r>
        <w:t xml:space="preserve"> Sí constituye anormalidad, en cambio, una tardanza, tomando en cuenta la duración del proceso en sus distintas fases, que sea reconocida por la conciencia jurídica y social como impropia de un Estado que propugna como uno de sus valores superiores la justicia y reconoce el derecho a una tutela judicial eficaz.</w:t>
      </w:r>
      <w:r>
        <w:t xml:space="preserve">. Un análisis académico lo resume en el título de su artículo: «un sistema notoriamente insatisfactorio» (fuente secundaria: Alonso-Cuevillas, 2016). Pagar impuestos no da derecho a que el Estado resuelva cada problema al instante; lo que da es derecho a reclamar cuando su justicia falla de forma objetivamente anormal, aunque cobrarlo sea largo. </w:t>
      </w:r>
      <w:r>
        <w:t>[20.00-9.2 a 9.4; 07: las palabras del Supremo]</w:t>
      </w:r>
    </w:p>
    <w:p>
      <w:pPr>
        <w:pStyle w:val="Heading2"/>
      </w:pPr>
      <w:r>
        <w:t>10.7 El deslinde</w:t>
      </w:r>
    </w:p>
    <w:p>
      <w:pPr>
        <w:pBdr>
          <w:left w:val="single" w:sz="24" w:space="6" w:color="E2DED6"/>
        </w:pBdr>
        <w:shd w:val="clear" w:color="auto" w:fill="F1EEE8"/>
        <w:spacing w:before="80" w:after="160"/>
        <w:ind w:left="142" w:right="142"/>
      </w:pPr>
      <w:r>
        <w:rPr>
          <w:b/>
        </w:rPr>
        <w:t>La idea: cuando el límite entre lo que corresponde al Estado y lo que corresponde a la persona ya no se ve, se pide que se vuelva a marcar, con las dos partes presentes. No es una acusación ni una demanda de derribo: es una figura del Código Civil.</w:t>
      </w:r>
    </w:p>
    <w:p>
      <w:pPr>
        <w:pStyle w:val="Heading3"/>
      </w:pPr>
      <w:r>
        <w:t>La figura</w:t>
      </w:r>
    </w:p>
    <w:p>
      <w:r>
        <w:t>«Todo propietario tiene derecho a deslindar su propiedad, con citación de los dueños de los predios colindantes»</w:t>
      </w:r>
      <w:r>
        <w:t xml:space="preserve"> (Código Civil, art. 384)</w:t>
      </w:r>
      <w:r>
        <w:br/>
      </w:r>
      <w:r>
        <w:rPr>
          <w:b/>
        </w:rPr>
        <w:t>leída en su fuente · Código Civil, art. 384</w:t>
      </w:r>
      <w:r>
        <w:br/>
      </w:r>
      <w:r>
        <w:rPr>
          <w:b/>
        </w:rPr>
        <w:t>Archivo leído:</w:t>
      </w:r>
      <w:r>
        <w:t xml:space="preserve"> …Codigo_Civil_consolidado.html (ant\c1\cc.html) · contraste del archivo de pasajes: ✔</w:t>
      </w:r>
      <w:r>
        <w:br/>
      </w:r>
      <w:r>
        <w:rPr>
          <w:b/>
        </w:rPr>
        <w:t>Lugar:</w:t>
      </w:r>
      <w:r>
        <w:t xml:space="preserve"> Art. 384</w:t>
      </w:r>
      <w:r>
        <w:br/>
      </w:r>
      <w:r>
        <w:rPr>
          <w:b/>
        </w:rPr>
        <w:t>Dirección:</w:t>
      </w:r>
      <w:r>
        <w:t xml:space="preserve"> </w:t>
      </w:r>
      <w:r>
        <w:t>https://www.boe.es/buscar/act.php?id=BOE-A-1889-4763#art384</w:t>
      </w:r>
      <w:r>
        <w:br/>
      </w:r>
      <w:r>
        <w:rPr>
          <w:b/>
        </w:rPr>
        <w:t>Tal como está en la fuente:</w:t>
      </w:r>
      <w:r>
        <w:t xml:space="preserve"> Todo propietario tiene derecho a deslindar su propiedad, con citación de los dueños de los predios colindantes. / La misma facultad corresponderá a los que tengan derechos reales.</w:t>
      </w:r>
      <w:r>
        <w:t>. No acusa a nadie de haber movido el mojón: pide que se vuelva a marcar, con las dos partes presentes. Con dos matices que el mismo Código impone: quien vio construir en su terreno «a su vista, ciencia y paciencia, sin oponerse» pierde el derecho a exigir la demolición</w:t>
      </w:r>
      <w:r>
        <w:t xml:space="preserve"> (Código Civil, art. 364)</w:t>
      </w:r>
      <w:r>
        <w:t>, pero esa tolerancia no le quita la propiedad: «los actos meramente tolerados […] no afectan a la posesión»</w:t>
      </w:r>
      <w:r>
        <w:t xml:space="preserve"> (ídem, art. 444)</w:t>
      </w:r>
      <w:r>
        <w:br/>
      </w:r>
      <w:r>
        <w:rPr>
          <w:b/>
        </w:rPr>
        <w:t>leída en su fuente · ídem, art. 444</w:t>
      </w:r>
      <w:r>
        <w:br/>
      </w:r>
      <w:r>
        <w:rPr>
          <w:b/>
        </w:rPr>
        <w:t>Archivo leído:</w:t>
      </w:r>
      <w:r>
        <w:t xml:space="preserve"> cc.html (ant\c1\cc.html) · contraste del archivo de pasajes: ✔</w:t>
      </w:r>
      <w:r>
        <w:br/>
      </w:r>
      <w:r>
        <w:rPr>
          <w:b/>
        </w:rPr>
        <w:t>Lugar:</w:t>
      </w:r>
      <w:r>
        <w:t xml:space="preserve"> ídem, art. 444</w:t>
      </w:r>
      <w:r>
        <w:br/>
      </w:r>
      <w:r>
        <w:rPr>
          <w:b/>
        </w:rPr>
        <w:t>Tal como está en la fuente:</w:t>
      </w:r>
      <w:r>
        <w:t xml:space="preserve"> los actos meramente tolerados […] no afectan a la posesión</w:t>
      </w:r>
      <w:r>
        <w:t xml:space="preserve">. Queda lo único que queda cuando hubo tolerancia por ambas partes: marcar otra vez el límite y compensar lo tomado de más. </w:t>
      </w:r>
      <w:r>
        <w:t>[20.00-31.1; 33.00-2.1; 32.00-17.2; glosario 8.8]</w:t>
      </w:r>
    </w:p>
    <w:p>
      <w:pPr>
        <w:pStyle w:val="Heading3"/>
      </w:pPr>
      <w:r>
        <w:t>Por qué esta y no otra</w:t>
      </w:r>
    </w:p>
    <w:p>
      <w:r>
        <w:rPr>
          <w:b/>
        </w:rPr>
        <w:t>Pedir el título.</w:t>
      </w:r>
      <w:r>
        <w:t xml:space="preserve"> El escrito de petición (</w:t>
      </w:r>
      <w:r>
        <w:t>10.4</w:t>
      </w:r>
      <w:r>
        <w:t>) no pide que nadie renuncie a su jurisdicción ni reclama un contrato que no existe: pide que se enseñe el título. Es lo que el propio Derecho de la Unión exige a la Unión: «la Unión actúa dentro de los límites de las competencias que le atribuyen los Estados miembros […]. Toda competencia no atribuida a la Unión en los Tratados corresponde a los Estados miembros»</w:t>
      </w:r>
      <w:r>
        <w:t xml:space="preserve"> (Tratado de la Unión Europea, art. 5.2)</w:t>
      </w:r>
      <w:r>
        <w:br/>
      </w:r>
      <w:r>
        <w:rPr>
          <w:b/>
        </w:rPr>
        <w:t>leída en su fuente · Tratado de la Unión Europea, art. 5.2</w:t>
      </w:r>
      <w:r>
        <w:br/>
      </w:r>
      <w:r>
        <w:rPr>
          <w:b/>
        </w:rPr>
        <w:t>Archivo leído:</w:t>
      </w:r>
      <w:r>
        <w:t xml:space="preserve"> tue_version_consolidada_2016.html (c10\tue_version_consolidada_2016.html) · contraste del archivo de pasajes: ✔</w:t>
      </w:r>
      <w:r>
        <w:br/>
      </w:r>
      <w:r>
        <w:rPr>
          <w:b/>
        </w:rPr>
        <w:t>Lugar:</w:t>
      </w:r>
      <w:r>
        <w:t xml:space="preserve"> (paso 2 bis) Tratado de la Unión Europea, art. 5.2, literal</w:t>
      </w:r>
      <w:r>
        <w:br/>
      </w:r>
      <w:r>
        <w:rPr>
          <w:b/>
        </w:rPr>
        <w:t>Tal como está en la fuente:</w:t>
      </w:r>
      <w:r>
        <w:t xml:space="preserve"> la Unión actúa dentro de los límites de las competencias que le atribuyen los Estados miembros en los Tratados [...]. Toda competencia no atribuida a la Unión en los Tratados corresponde a los Estados miembros</w:t>
      </w:r>
      <w:r>
        <w:br/>
      </w:r>
      <w:r>
        <w:rPr>
          <w:b/>
        </w:rPr>
        <w:t>Traducción guardada:</w:t>
      </w:r>
      <w:r>
        <w:t xml:space="preserve"> c10/tue_version_consolidada_2016.html, entero</w:t>
      </w:r>
      <w:r>
        <w:t xml:space="preserve">. </w:t>
      </w:r>
      <w:r>
        <w:t>[32.00-17.1; 20.00-31.1]</w:t>
      </w:r>
    </w:p>
    <w:p>
      <w:r>
        <w:rPr>
          <w:b/>
        </w:rPr>
        <w:t>Conclusión, lo que arrojan los datos:</w:t>
      </w:r>
      <w:r>
        <w:t xml:space="preserve"> cuando el Estado español se sienta abajo, frente a la Unión, la regla escrita es que la competencia no se presume: se atribuye. Cuando se sienta arriba, frente al ciudadano, sus actos «se presumirán válidos»</w:t>
      </w:r>
      <w:r>
        <w:t xml:space="preserve"> (Ley 39/2015, art. 39)</w:t>
      </w:r>
      <w:r>
        <w:t xml:space="preserve"> (</w:t>
      </w:r>
      <w:r>
        <w:t>5.2</w:t>
      </w:r>
      <w:r>
        <w:t xml:space="preserve">), y es el ciudadano quien tiene que recurrir para que se le enseñe el título. La misma persona jurídica sostiene dos doctrinas sobre el poder prestado, según la silla en que se siente. No hace falta llamarlo de ningún modo: basta ponerlo en dos columnas. </w:t>
      </w:r>
      <w:r>
        <w:t>[20.00-31.1]</w:t>
      </w:r>
    </w:p>
    <w:p>
      <w:r>
        <w:rPr>
          <w:b/>
        </w:rPr>
        <w:t>Lo que no prueba.</w:t>
      </w:r>
      <w:r>
        <w:t xml:space="preserve"> Esto prueba que el principio es convergente; no prueba que el Estado esté sometido a él frente al ciudadano por su ley escrita. Frente a la Unión lo está, por escrito; frente al ciudadano, las vías son más estrechas (</w:t>
      </w:r>
      <w:r>
        <w:t>10.4</w:t>
      </w:r>
      <w:r>
        <w:t xml:space="preserve">). Por eso lo que se pide es un deslinde, no una condena. </w:t>
      </w:r>
      <w:r>
        <w:t>[20.00-31.1]</w:t>
      </w:r>
    </w:p>
    <w:p>
      <w:pPr>
        <w:pStyle w:val="Heading3"/>
      </w:pPr>
      <w:r>
        <w:t>La medida: el exceso que contamina el acto entero</w:t>
      </w:r>
    </w:p>
    <w:p>
      <w:r>
        <w:t xml:space="preserve">El criterio no es que el derecho castigue sobrepasar, que sería obvio, sino algo más raro: sitios donde el poder era legítimo, se ejerció más allá de su medida, y el exceso contamina el acto entero, no solo la parte sobrante. </w:t>
      </w:r>
      <w:r>
        <w:t>[20.00-31.1]</w:t>
      </w:r>
    </w:p>
    <w:p>
      <w:r>
        <w:rPr>
          <w:b/>
        </w:rPr>
        <w:t>Hechos.</w:t>
      </w:r>
    </w:p>
    <w:p>
      <w:pPr>
        <w:pStyle w:val="ListBullet"/>
      </w:pPr>
      <w:r>
        <w:rPr>
          <w:b/>
        </w:rPr>
        <w:t>El abuso del derecho.</w:t>
      </w:r>
      <w:r>
        <w:t xml:space="preserve"> «1. Los derechos deberán ejercitarse conforme a las exigencias de la buena fe. 2. La Ley no ampara el abuso del derecho o el ejercicio antisocial del mismo. Todo acto u omisión que […] sobrepase manifiestamente los límites normales del ejercicio de un derecho, con daño para tercero, dará lugar a la correspondiente indemnización y a la adopción de las medidas judiciales o administrativas que impidan la persistencia en el abuso»</w:t>
      </w:r>
      <w:r>
        <w:t xml:space="preserve"> (Código Civil, art. 7)</w:t>
      </w:r>
      <w:r>
        <w:br/>
      </w:r>
      <w:r>
        <w:rPr>
          <w:b/>
        </w:rPr>
        <w:t>leída en su fuente · Código Civil, art. 7</w:t>
      </w:r>
      <w:r>
        <w:br/>
      </w:r>
      <w:r>
        <w:rPr>
          <w:b/>
        </w:rPr>
        <w:t>Archivo leído:</w:t>
      </w:r>
      <w:r>
        <w:t xml:space="preserve"> cc.html (ant\c1\cc.html) · contraste del archivo de pasajes: ✔</w:t>
      </w:r>
      <w:r>
        <w:br/>
      </w:r>
      <w:r>
        <w:rPr>
          <w:b/>
        </w:rPr>
        <w:t>Lugar:</w:t>
      </w:r>
      <w:r>
        <w:t xml:space="preserve"> (paso 2 bis) regla: parecido medio con Código Civil, art. 7.2 | texto de la fuente</w:t>
      </w:r>
      <w:r>
        <w:br/>
      </w:r>
      <w:r>
        <w:rPr>
          <w:b/>
        </w:rPr>
        <w:t>Tal como está en la fuente:</w:t>
      </w:r>
      <w:r>
        <w:t xml:space="preserve"> 2. La Ley no ampara el abuso del derecho o el ejercicio antisocial del mismo. Todo acto u omisión que por la intención de su autor, por su objeto o por las circunstancias en que se realice sobrepase manifiestamente los límites normales del ejercicio de un derecho, con daño para tercero, dará lugar a la correspondiente indemnización y a la adopción de las medidas judiciales o administrativas que im</w:t>
      </w:r>
      <w:r>
        <w:t>. Define el mojón movido, cubre la omisión, ordena reparar y ordena el cese. Con su cautela: la doctrina lo tiene por un remedio extraordinario, para casos notorios.</w:t>
      </w:r>
    </w:p>
    <w:p>
      <w:pPr>
        <w:pStyle w:val="ListBullet"/>
      </w:pPr>
      <w:r>
        <w:rPr>
          <w:b/>
        </w:rPr>
        <w:t>El fraude de ley:</w:t>
      </w:r>
      <w:r>
        <w:t xml:space="preserve"> los actos realizados «al amparo del texto de una norma» que persiguen un resultado prohibido no impiden aplicar la norma que se quiso eludir</w:t>
      </w:r>
      <w:r>
        <w:t xml:space="preserve"> (Código Civil, art. 6.4)</w:t>
      </w:r>
      <w:r>
        <w:t>.</w:t>
      </w:r>
    </w:p>
    <w:p>
      <w:pPr>
        <w:pStyle w:val="ListBullet"/>
      </w:pPr>
      <w:r>
        <w:rPr>
          <w:b/>
        </w:rPr>
        <w:t>Una sola vara para los tres poderes.</w:t>
      </w:r>
      <w:r>
        <w:t xml:space="preserve"> El Tribunal Constitucional aplica el mismo juicio de proporcionalidad, idoneidad, necesidad y proporción en sentido estricto, a la Administración</w:t>
      </w:r>
      <w:r>
        <w:t xml:space="preserve"> (STC 66/1995)</w:t>
      </w:r>
      <w:r>
        <w:t>, al legislador</w:t>
      </w:r>
      <w:r>
        <w:t xml:space="preserve"> (STC 55/1996)</w:t>
      </w:r>
      <w:r>
        <w:t xml:space="preserve"> y a los jueces</w:t>
      </w:r>
      <w:r>
        <w:t xml:space="preserve"> (STC 207/1996)</w:t>
      </w:r>
      <w:r>
        <w:t>.</w:t>
      </w:r>
    </w:p>
    <w:p>
      <w:pPr>
        <w:pStyle w:val="ListBullet"/>
      </w:pPr>
      <w:r>
        <w:rPr>
          <w:b/>
        </w:rPr>
        <w:t>La piedra que la ley no puede mover:</w:t>
      </w:r>
      <w:r>
        <w:t xml:space="preserve"> el «contenido esencial» de los derechos</w:t>
      </w:r>
      <w:r>
        <w:t xml:space="preserve"> (Constitución, art. 53.1; STC 11/1981)</w:t>
      </w:r>
      <w:r>
        <w:t>, y la «interdicción de la arbitrariedad de los poderes públicos»</w:t>
      </w:r>
      <w:r>
        <w:t xml:space="preserve"> (Constitución, art. 9.3)</w:t>
      </w:r>
      <w:r>
        <w:br/>
      </w:r>
      <w:r>
        <w:rPr>
          <w:b/>
        </w:rPr>
        <w:t>leída en su fuente · Constitución, art. 9.3</w:t>
      </w:r>
      <w:r>
        <w:br/>
      </w:r>
      <w:r>
        <w:rPr>
          <w:b/>
        </w:rPr>
        <w:t>Archivo leído:</w:t>
      </w:r>
      <w:r>
        <w:t xml:space="preserve"> ce.html (ant\c1\ce.html) · contraste del archivo de pasajes: ✔</w:t>
      </w:r>
      <w:r>
        <w:br/>
      </w:r>
      <w:r>
        <w:rPr>
          <w:b/>
        </w:rPr>
        <w:t>Lugar:</w:t>
      </w:r>
      <w:r>
        <w:t xml:space="preserve"> Constitución, art. 9.3</w:t>
      </w:r>
      <w:r>
        <w:br/>
      </w:r>
      <w:r>
        <w:rPr>
          <w:b/>
        </w:rPr>
        <w:t>Tal como está en la fuente:</w:t>
      </w:r>
      <w:r>
        <w:t xml:space="preserve"> interdicción de la arbitrariedad de los poderes públicos</w:t>
      </w:r>
      <w:r>
        <w:t>.</w:t>
      </w:r>
    </w:p>
    <w:p>
      <w:pPr>
        <w:pStyle w:val="ListBullet"/>
      </w:pPr>
      <w:r>
        <w:rPr>
          <w:b/>
        </w:rPr>
        <w:t>Cuatro condiciones a la vez.</w:t>
      </w:r>
      <w:r>
        <w:t xml:space="preserve"> La Carta de la Unión exige que toda limitación de un derecho «deberá ser establecida por la ley» y «respetar el contenido esencial» de ese derecho, y que, «dentro del respeto del principio de proporcionalidad», solo se introduzca cuando sea necesaria y responda «efectivamente a objetivos de interés general reconocidos por la Unión»</w:t>
      </w:r>
      <w:r>
        <w:t xml:space="preserve"> (Carta de los Derechos Fundamentales de la UE, art. 52.1)</w:t>
      </w:r>
      <w:r>
        <w:br/>
      </w:r>
      <w:r>
        <w:rPr>
          <w:b/>
        </w:rPr>
        <w:t>leída en su fuente · Carta de los Derechos Fundamentales de la UE, art. 52.1</w:t>
      </w:r>
      <w:r>
        <w:br/>
      </w:r>
      <w:r>
        <w:rPr>
          <w:b/>
        </w:rPr>
        <w:t>Archivo leído:</w:t>
      </w:r>
      <w:r>
        <w:t xml:space="preserve"> DOUE-Z-2007-70004_Carta_Derechos_Fundamentales_UE_2007.html (c9d\DOUE-Z-2007-70004_Carta_Derechos_Fundamentales_UE_2007.html) · contraste del archivo de pasajes: ✔</w:t>
      </w:r>
      <w:r>
        <w:br/>
      </w:r>
      <w:r>
        <w:rPr>
          <w:b/>
        </w:rPr>
        <w:t>Lugar:</w:t>
      </w:r>
      <w:r>
        <w:t xml:space="preserve"> (paso 2 bis) regla: parecido alto con Carta de los Derechos Fundamentales de l, art. 52.1 | texto de la fuente</w:t>
      </w:r>
      <w:r>
        <w:br/>
      </w:r>
      <w:r>
        <w:rPr>
          <w:b/>
        </w:rPr>
        <w:t>Tal como está en la fuente:</w:t>
      </w:r>
      <w:r>
        <w:t xml:space="preserve"> 1. Cualquier limitación del ejercicio de los derechos y libertades reconocidos por la presente Carta deberá ser establecida por la ley y respetar el contenido esencial de dichos derechos y libertades. Dentro del respeto del principio de proporcionalidad, sólo podrán introducirse limitaciones cuando sean necesarias y respondan efectivamente a objetivos de interés general reconocidos por la Unión o</w:t>
      </w:r>
      <w:r>
        <w:t xml:space="preserve">. No son alternativas: se cumplen las cuatro o la limitación no vale. La presunción de inocencia, también en lo administrativo, ya se vio en </w:t>
      </w:r>
      <w:r>
        <w:t>5.2</w:t>
      </w:r>
      <w:r>
        <w:t xml:space="preserve"> y </w:t>
      </w:r>
      <w:r>
        <w:t>7.5</w:t>
      </w:r>
      <w:r>
        <w:t xml:space="preserve">, n.º 3. </w:t>
      </w:r>
      <w:r>
        <w:t>[20.00-7.1; 07: las palabras de la Carta]</w:t>
      </w:r>
    </w:p>
    <w:p>
      <w:pPr>
        <w:pStyle w:val="ListBullet"/>
      </w:pPr>
      <w:r>
        <w:rPr>
          <w:b/>
        </w:rPr>
        <w:t>El techo dentro de la excepción:</w:t>
      </w:r>
      <w:r>
        <w:t xml:space="preserve"> la legítima defensa exige «necesidad racional del medio empleado»</w:t>
      </w:r>
      <w:r>
        <w:t xml:space="preserve"> (Código Penal, art. 20.4)</w:t>
      </w:r>
      <w:r>
        <w:br/>
      </w:r>
      <w:r>
        <w:rPr>
          <w:b/>
        </w:rPr>
        <w:t>leída en su fuente · Código Penal, art. 20.4</w:t>
      </w:r>
      <w:r>
        <w:br/>
      </w:r>
      <w:r>
        <w:rPr>
          <w:b/>
        </w:rPr>
        <w:t>Archivo leído:</w:t>
      </w:r>
      <w:r>
        <w:t xml:space="preserve"> cp.html (c2\cp.html) · contraste del archivo de pasajes: ✔</w:t>
      </w:r>
      <w:r>
        <w:br/>
      </w:r>
      <w:r>
        <w:rPr>
          <w:b/>
        </w:rPr>
        <w:t>Lugar:</w:t>
      </w:r>
      <w:r>
        <w:t xml:space="preserve"> Código Penal, art. 20.4</w:t>
      </w:r>
      <w:r>
        <w:br/>
      </w:r>
      <w:r>
        <w:rPr>
          <w:b/>
        </w:rPr>
        <w:t>Tal como está en la fuente:</w:t>
      </w:r>
      <w:r>
        <w:t xml:space="preserve"> necesidad racional del medio empleado</w:t>
      </w:r>
      <w:r>
        <w:t>, y el estado de necesidad, «que el mal causado no sea mayor que el que se trate de evitar»</w:t>
      </w:r>
      <w:r>
        <w:t xml:space="preserve"> (ídem, art. 20.5)</w:t>
      </w:r>
      <w:r>
        <w:br/>
      </w:r>
      <w:r>
        <w:rPr>
          <w:b/>
        </w:rPr>
        <w:t>leída en su fuente · ídem, art. 20.5</w:t>
      </w:r>
      <w:r>
        <w:br/>
      </w:r>
      <w:r>
        <w:rPr>
          <w:b/>
        </w:rPr>
        <w:t>Archivo leído:</w:t>
      </w:r>
      <w:r>
        <w:t xml:space="preserve"> cp.html (c2\cp.html) · contraste del archivo de pasajes: ✔</w:t>
      </w:r>
      <w:r>
        <w:br/>
      </w:r>
      <w:r>
        <w:rPr>
          <w:b/>
        </w:rPr>
        <w:t>Lugar:</w:t>
      </w:r>
      <w:r>
        <w:t xml:space="preserve"> ídem, art. 20.5</w:t>
      </w:r>
      <w:r>
        <w:br/>
      </w:r>
      <w:r>
        <w:rPr>
          <w:b/>
        </w:rPr>
        <w:t>Tal como está en la fuente:</w:t>
      </w:r>
      <w:r>
        <w:t xml:space="preserve"> que el mal causado no sea mayor que el que se trate de evitar</w:t>
      </w:r>
      <w:r>
        <w:t>.</w:t>
      </w:r>
    </w:p>
    <w:p>
      <w:pPr>
        <w:pStyle w:val="ListBullet"/>
      </w:pPr>
      <w:r>
        <w:rPr>
          <w:b/>
        </w:rPr>
        <w:t>La tradición:</w:t>
      </w:r>
      <w:r>
        <w:t xml:space="preserve"> «Maldito el que redujere el término de su prójimo. Y dirá todo el pueblo: Amén»</w:t>
      </w:r>
      <w:r>
        <w:t xml:space="preserve"> (Dt 27:17)</w:t>
      </w:r>
      <w:r>
        <w:br/>
      </w:r>
      <w:r>
        <w:rPr>
          <w:b/>
        </w:rPr>
        <w:t>leída en su fuente · Dt 27:17</w:t>
      </w:r>
      <w:r>
        <w:br/>
      </w:r>
      <w:r>
        <w:rPr>
          <w:b/>
        </w:rPr>
        <w:t>Archivo leído:</w:t>
      </w:r>
      <w:r>
        <w:t xml:space="preserve"> spaRV1909_texto_corrido.txt (biblia_rv1909\spaRV1909_texto_corrido.txt) · contraste del archivo de pasajes: ✔</w:t>
      </w:r>
      <w:r>
        <w:br/>
      </w:r>
      <w:r>
        <w:rPr>
          <w:b/>
        </w:rPr>
        <w:t>Lugar:</w:t>
      </w:r>
      <w:r>
        <w:t xml:space="preserve"> (paso 2 bis) MENOR (versículo con otras palabras que la RVA): la obra cita la Reina-Valera de 1960 (</w:t>
      </w:r>
      <w:r>
        <w:br/>
      </w:r>
      <w:r>
        <w:rPr>
          <w:b/>
        </w:rPr>
        <w:t>Tal como está en la fuente:</w:t>
      </w:r>
      <w:r>
        <w:t xml:space="preserve"> Maldito el que redujere el término de su prójimo. Y dirá todo el pueblo: Amén.</w:t>
      </w:r>
      <w:r>
        <w:t>, entre las maldiciones del monte Ebal, junto a la de quien deshonra a sus padres y la de quien pervierte el derecho del extranjero, del huérfano y de la viuda. Mover el límite se juzga junto al abandono del más débil.</w:t>
      </w:r>
    </w:p>
    <w:p>
      <w:r>
        <w:t>[20.00-31.1 y 31.2; 07: el art. 7.2 con su texto entero y Dt 27:17 en la RVA]</w:t>
      </w:r>
    </w:p>
    <w:p>
      <w:r>
        <w:rPr>
          <w:b/>
        </w:rPr>
        <w:t>Los contraejemplos, dichos.</w:t>
      </w:r>
      <w:r>
        <w:t xml:space="preserve"> Sin ellos esto sería una selección y no un patrón:</w:t>
      </w:r>
    </w:p>
    <w:p>
      <w:pPr>
        <w:pStyle w:val="ListBullet"/>
      </w:pPr>
      <w:r>
        <w:rPr>
          <w:b/>
        </w:rPr>
        <w:t>La accesión invertida.</w:t>
      </w:r>
      <w:r>
        <w:t xml:space="preserve"> Quien construye de buena fe invadiendo en parte el suelo ajeno puede acabar quedándose con lo invadido si lo construido vale mucho más: una doctrina que el Supremo arranca en su sentencia de 31 de mayo de 1949</w:t>
      </w:r>
      <w:r>
        <w:t xml:space="preserve"> (STS de 22 de marzo de 1996)</w:t>
      </w:r>
      <w:r>
        <w:t>. El título se lo da su propio tamaño.</w:t>
      </w:r>
    </w:p>
    <w:p>
      <w:pPr>
        <w:pStyle w:val="ListBullet"/>
      </w:pPr>
      <w:r>
        <w:rPr>
          <w:b/>
        </w:rPr>
        <w:t>El poder, avalado sin matices.</w:t>
      </w:r>
      <w:r>
        <w:t xml:space="preserve"> El Supremo desestimó a unos propietarios expropiados en favor de un monopolio de distribución eléctrica: «el sistema de valoración se estructura sobre el bien expropiado, no sobre la identidad del beneficiario ni la finalidad de la expropiación»</w:t>
      </w:r>
      <w:r>
        <w:t xml:space="preserve"> (STS de 7 de julio de 2026, recurso de casación 1823/2024)</w:t>
      </w:r>
      <w:r>
        <w:br/>
      </w:r>
      <w:r>
        <w:rPr>
          <w:b/>
        </w:rPr>
        <w:t>pasaje guardado · STS de 7 de julio de 2026, recurso de casación 1823/2024</w:t>
      </w:r>
      <w:r>
        <w:br/>
      </w:r>
      <w:r>
        <w:rPr>
          <w:b/>
        </w:rPr>
        <w:t>Archivo leído:</w:t>
      </w:r>
      <w:r>
        <w:t xml:space="preserve"> — (c10\sts_3107_2026_res858.pdf) · contraste del archivo de pasajes: parcial</w:t>
      </w:r>
      <w:r>
        <w:br/>
      </w:r>
      <w:r>
        <w:rPr>
          <w:b/>
        </w:rPr>
        <w:t>Lugar:</w:t>
      </w:r>
      <w:r>
        <w:t xml:space="preserve"> Según la fuente secundaria, la STS dice</w:t>
      </w:r>
      <w:r>
        <w:br/>
      </w:r>
      <w:r>
        <w:rPr>
          <w:b/>
        </w:rPr>
        <w:t>Dirección:</w:t>
      </w:r>
      <w:r>
        <w:t xml:space="preserve"> </w:t>
      </w:r>
      <w:r>
        <w:t>https://delajusticia.com/2026/07/24/hace-falta-un-robin-hood-para-que-se-reforme-la-ley-de-expropiacion-forzosa-de-1954/</w:t>
      </w:r>
      <w:r>
        <w:br/>
      </w:r>
      <w:r>
        <w:rPr>
          <w:b/>
        </w:rPr>
        <w:t>Tal como está en la fuente:</w:t>
      </w:r>
      <w:r>
        <w:t xml:space="preserve"> el sistema de valoración se estructura sobre el bien expropiado, no sobre la identidad del beneficiario ni la finalidad de la expropiación</w:t>
      </w:r>
      <w:r>
        <w:t>.</w:t>
      </w:r>
    </w:p>
    <w:p>
      <w:r>
        <w:t xml:space="preserve">Un patrón con sus excepciones reconocidas es un patrón; sin ellas sería propaganda. </w:t>
      </w:r>
      <w:r>
        <w:t>[20.00-31.1; 07: la STS de 1908 no tiene fuente oficial en línea]</w:t>
      </w:r>
    </w:p>
    <w:p>
      <w:pPr>
        <w:pStyle w:val="Heading3"/>
      </w:pPr>
      <w:r>
        <w:t>La medida del tiempo: la justicia tardía</w:t>
      </w:r>
    </w:p>
    <w:p>
      <w:r>
        <w:rPr>
          <w:b/>
        </w:rPr>
        <w:t>Hechos.</w:t>
      </w:r>
      <w:r>
        <w:t xml:space="preserve"> Varias normas, sin copiarse, coinciden en lo mismo: un derecho que no puede ejercerse en un tiempo razonable deja de ser el derecho que promete ser.</w:t>
      </w:r>
    </w:p>
    <w:p>
      <w:pPr>
        <w:pStyle w:val="ListBullet"/>
      </w:pPr>
      <w:r>
        <w:t>La Declaración Universal pide igualdad ante la ley, un recurso efectivo y un tribunal en igualdad de condiciones</w:t>
      </w:r>
      <w:r>
        <w:t xml:space="preserve"> (Declaración Universal, arts. 7, 8 y 10)</w:t>
      </w:r>
      <w:r>
        <w:t>; la Carta de la Unión, la propiedad, la igualdad y la tutela judicial efectiva</w:t>
      </w:r>
      <w:r>
        <w:t xml:space="preserve"> (Carta de los Derechos Fundamentales, arts. 17, 20 y 47)</w:t>
      </w:r>
      <w:r>
        <w:t>; y el Convenio Europeo, el juicio en un plazo razonable y la propiedad</w:t>
      </w:r>
      <w:r>
        <w:t xml:space="preserve"> (Convenio Europeo de Derechos Humanos, art. 6.1, y Protocolo n.º 1, art. 1)</w:t>
      </w:r>
      <w:r>
        <w:t>.</w:t>
      </w:r>
    </w:p>
    <w:p>
      <w:pPr>
        <w:pStyle w:val="ListBullet"/>
      </w:pPr>
      <w:r>
        <w:t>El Tribunal Europeo de Derechos Humanos condenó a Italia porque sus autoridades tardaron demasiado en ejecutar el desalojo de unos ocupantes ilegales</w:t>
      </w:r>
      <w:r>
        <w:t xml:space="preserve"> (STEDH Casa di Cura Valle Fiorita c. Italia, 13-12-2018)</w:t>
      </w:r>
      <w:r>
        <w:t>, y a Grecia, por no actuar durante más de tres años frente a la ocupación de un hotel</w:t>
      </w:r>
      <w:r>
        <w:t xml:space="preserve"> (STEDH Papachela y Amazon c. Grecia, 3-12-2020)</w:t>
      </w:r>
      <w:r>
        <w:t>. El TEDH no ampara la ocupación: condena la tardanza en devolver la propiedad a su dueño. Lo que no se ha encontrado es una condena a España por este motivo.</w:t>
      </w:r>
    </w:p>
    <w:p>
      <w:pPr>
        <w:pStyle w:val="ListBullet"/>
      </w:pPr>
      <w:r>
        <w:t>El Constitucional ha declarado que la simple demora en señalar un juicio puede vulnerar el derecho a un proceso sin dilaciones indebidas</w:t>
      </w:r>
      <w:r>
        <w:t xml:space="preserve"> (STC 125/2022, de 10 de octubre)</w:t>
      </w:r>
      <w:r>
        <w:t>, con una doctrina que viene de lejos: «los Jueces y Tribunales deben cumplir su función jurisdiccional de garantizar la libertad, la justicia y la seguridad con la rapidez que permita la duración normal de los procesos, evitando dilaciones indebidas que quebranten la efectividad de la tutela» (STC 35/1994, que la toma de la 223/1988). Con su matiz: ese derecho no se identifica con el mero incumplimiento de los plazos procesales</w:t>
      </w:r>
      <w:r>
        <w:t xml:space="preserve"> (STC 10/1991)</w:t>
      </w:r>
      <w:r>
        <w:t>; la demora tiene que ser injustificada.</w:t>
      </w:r>
    </w:p>
    <w:p>
      <w:pPr>
        <w:pStyle w:val="ListBullet"/>
      </w:pPr>
      <w:r>
        <w:t>El Código Civil: el poseedor de mala fe abona los frutos percibidos y los que el poseedor legítimo hubiera podido percibir</w:t>
      </w:r>
      <w:r>
        <w:t xml:space="preserve"> (Código Civil, art. 455)</w:t>
      </w:r>
      <w:r>
        <w:t>, responde del deterioro</w:t>
      </w:r>
      <w:r>
        <w:t xml:space="preserve"> (ídem, art. 457)</w:t>
      </w:r>
      <w:r>
        <w:t xml:space="preserve"> y no cobra las mejoras de lujo</w:t>
      </w:r>
      <w:r>
        <w:t xml:space="preserve"> (ídem, art. 454)</w:t>
      </w:r>
      <w:r>
        <w:t>.</w:t>
      </w:r>
    </w:p>
    <w:p>
      <w:r>
        <w:t>[33.00-7.1 y 7.2; 33.00-5.1; 07: la STC de 2022 es la 125/2022]</w:t>
      </w:r>
    </w:p>
    <w:p>
      <w:r>
        <w:rPr>
          <w:b/>
        </w:rPr>
        <w:t>La ocupación, con su cifra.</w:t>
      </w:r>
      <w:r>
        <w:t xml:space="preserve"> El Ministerio del Interior contabilizó 16.426 delitos de usurpación y allanamiento de morada en 2024, un 7,4 % más que el año anterior y la tercera cifra más alta de la serie</w:t>
      </w:r>
      <w:r>
        <w:t xml:space="preserve"> (Ministerio del Interior, balance de criminalidad de 2024)</w:t>
      </w:r>
      <w:r>
        <w:t>. No es el fenómeno completo: quien deja de pagar la renta y no se marcha es un asunto civil y no entra en esa estadística. Una fuente privada lo confirma desde otro lado: Idealista detectó 23.010 viviendas puestas a la venta reconociendo una ocupación en el tercer trimestre de 2025; en la ciudad de Girona, casi el 9 % de su oferta</w:t>
      </w:r>
      <w:r>
        <w:t xml:space="preserve"> (Idealista, análisis de sus anuncios, tercer trimestre de 2025)</w:t>
      </w:r>
      <w:r>
        <w:t>. El CGPJ mide aparte los juicios verbales para recuperar una vivienda ocupada, una vía civil que solo pueden usar la persona física propietaria o poseedora legítima, las entidades sin ánimo de lucro y las entidades públicas de vivienda social</w:t>
      </w:r>
      <w:r>
        <w:t xml:space="preserve"> (Ley de Enjuiciamiento Civil, art. 250.1.4.º)</w:t>
      </w:r>
      <w:r>
        <w:t>; los delitos van por la vía penal. Cada categoría mide su trozo; nadie mide el total. Y desde el 3 de abril de 2025, la usurpación y el allanamiento van por juicio rápido, en el que el juicio oral se señala «dentro de los quince días siguientes»</w:t>
      </w:r>
      <w:r>
        <w:t xml:space="preserve"> (Ley de Enjuiciamiento Criminal, art. 800.3, tras la Ley Orgánica 1/2025)</w:t>
      </w:r>
      <w:r>
        <w:br/>
      </w:r>
      <w:r>
        <w:rPr>
          <w:b/>
        </w:rPr>
        <w:t>leída en su fuente · Ley de Enjuiciamiento Criminal, art. 800.3, tras la Ley Orgánica 1/2025</w:t>
      </w:r>
      <w:r>
        <w:br/>
      </w:r>
      <w:r>
        <w:rPr>
          <w:b/>
        </w:rPr>
        <w:t>Archivo leído:</w:t>
      </w:r>
      <w:r>
        <w:t xml:space="preserve"> c6 (ant\c1\ce.html) · contraste del archivo de pasajes: ✔</w:t>
      </w:r>
      <w:r>
        <w:br/>
      </w:r>
      <w:r>
        <w:rPr>
          <w:b/>
        </w:rPr>
        <w:t>Lugar:</w:t>
      </w:r>
      <w:r>
        <w:t xml:space="preserve"> Art. 167.3: referéndum</w:t>
      </w:r>
      <w:r>
        <w:br/>
      </w:r>
      <w:r>
        <w:rPr>
          <w:b/>
        </w:rPr>
        <w:t>Tal como está en la fuente:</w:t>
      </w:r>
      <w:r>
        <w:t xml:space="preserve"> cuando así lo soliciten, dentro de los quince días siguientes a su aprobación, una décima parte de los miembros de cualquiera de las Cámaras</w:t>
      </w:r>
      <w:r>
        <w:t xml:space="preserve">. </w:t>
      </w:r>
      <w:r>
        <w:t>[33.00-4.1, 4.2 y 4.4; 07: los quince días son para señalar el juicio, no para resolver]</w:t>
      </w:r>
    </w:p>
    <w:p>
      <w:r>
        <w:rPr>
          <w:b/>
        </w:rPr>
        <w:t>Conclusión, lo que arrojan los datos:</w:t>
      </w:r>
      <w:r>
        <w:t xml:space="preserve"> no hay cifras falsificadas, sino una definición legal estrecha que deja fuera una parte del problema: nadie tiene la cifra total, porque nadie la mide de forma unificada. Es una laguna de medición, no un ocultamiento probado. Y el fallo práctico está en el primer contacto, como en Torrejón de Ardoz (</w:t>
      </w:r>
      <w:r>
        <w:t>7.7</w:t>
      </w:r>
      <w:r>
        <w:t xml:space="preserve">, n.º 1). </w:t>
      </w:r>
      <w:r>
        <w:t>[33.00-4.1; 33.00-6.1]</w:t>
      </w:r>
    </w:p>
    <w:p>
      <w:r>
        <w:rPr>
          <w:b/>
        </w:rPr>
        <w:t>La tensión, dicha sin elegir bando.</w:t>
      </w:r>
      <w:r>
        <w:t xml:space="preserve"> Proteger a quien es vulnerable no vulnera la igualdad: la Constitución obliga a los poderes públicos a que la libertad y la igualdad sean «reales y efectivas»</w:t>
      </w:r>
      <w:r>
        <w:t xml:space="preserve"> (Constitución, art. 9.2)</w:t>
      </w:r>
      <w:r>
        <w:t>, y la protección frente a los desahucios de hogares vulnerables se ha prorrogado hasta el 31 de diciembre de 2026</w:t>
      </w:r>
      <w:r>
        <w:t xml:space="preserve"> (Real Decreto-ley 16/2025)</w:t>
      </w:r>
      <w:r>
        <w:t>. El problema real es otro: la buena fe se presume por igual en quien la merece y en quien no (</w:t>
      </w:r>
      <w:r>
        <w:t>2.5</w:t>
      </w:r>
      <w:r>
        <w:t xml:space="preserve">), con la carga de probar la mala fe siempre sobre el propietario, y no hay un mecanismo que le compense por el tiempo perdido mientras el proceso avanza. No es que la ley trate al ocupante mejor que al propietario: la letra dice lo contrario. Es que la justicia tardía, para quien la espera, se parece demasiado a la injusticia. </w:t>
      </w:r>
      <w:r>
        <w:t>[33.00-7.1]</w:t>
      </w:r>
    </w:p>
    <w:p>
      <w:pPr>
        <w:pStyle w:val="Heading3"/>
      </w:pPr>
      <w:r>
        <w:t>Lo que el sistema ya corrige, y lo que tarda</w:t>
      </w:r>
    </w:p>
    <w:p>
      <w:r>
        <w:rPr>
          <w:b/>
        </w:rPr>
        <w:t>Hechos.</w:t>
      </w:r>
      <w:r>
        <w:t xml:space="preserve"> El propio sistema, desde dentro, reconoce y corrige sus excesos cuando el procedimiento se activa: el Constitucional declaró inconstitucional parte de lo decidido en el estado de alarma de 2020</w:t>
      </w:r>
      <w:r>
        <w:t xml:space="preserve"> (STC 148/2021)</w:t>
      </w:r>
      <w:r>
        <w:t xml:space="preserve"> (</w:t>
      </w:r>
      <w:r>
        <w:t>7.2</w:t>
      </w:r>
      <w:r>
        <w:t>, n.º 9). Y la Unión obliga: el Tribunal de Justicia declaró en 2024 que las medidas españolas contra el abuso de la temporalidad en el empleo público no se ajustan al Derecho de la Unión</w:t>
      </w:r>
      <w:r>
        <w:t xml:space="preserve"> (STJUE de 22 de febrero de 2024, asuntos C-59/22, C-110/22 y C-159/22)</w:t>
      </w:r>
      <w:r>
        <w:t>, y en 2026 lo repitió: llamar «indefinido no fijo» al trabajador no elimina por sí solo el abuso</w:t>
      </w:r>
      <w:r>
        <w:t xml:space="preserve"> (STJUE de 14 de abril de 2026, asunto C-418/24)</w:t>
      </w:r>
      <w:r>
        <w:t>. Una segunda sentencia, dos años después, porque la primera corrección no bastó. Y la vivienda: la Constitución reconoce el derecho «a disfrutar de una vivienda digna y adecuada» como principio rector, no como un derecho que se pueda exigir directamente ante un juez</w:t>
      </w:r>
      <w:r>
        <w:t xml:space="preserve"> (Constitución, arts. 47 y 53.3)</w:t>
      </w:r>
      <w:r>
        <w:t xml:space="preserve">. </w:t>
      </w:r>
      <w:r>
        <w:t>[33.00-1.1; 33.00-8.1]</w:t>
      </w:r>
    </w:p>
    <w:p>
      <w:pPr>
        <w:pStyle w:val="Heading3"/>
      </w:pPr>
      <w:r>
        <w:t>La petición de deslinde</w:t>
      </w:r>
    </w:p>
    <w:p>
      <w:r>
        <w:t xml:space="preserve">La petición es la forma pacífica del deslinde. Su texto: «Se hace constar […] que organismos internacionales de derechos humanos han señalado en más de una ocasión que ciertas actuaciones del Estado español no se ajustaban plenamente a los estándares que el propio Estado suscribió. Se solicita, en los términos del derecho de petición […], que se explique y motive esa distancia allí donde exista, y que se corrija donde proceda. Esta solicitud no cuestiona la legitimidad del sistema en su conjunto, ni invoca ningún precedente de ruptura». Y termina como todos los escritos de la obra: con la buena fe declarada, la disposición a rectificar y «Por sus frutos los conoceréis. Y corregir lo que se debe corregir también es un buen fruto». </w:t>
      </w:r>
      <w:r>
        <w:t>[33.00-3.1 y 3.2]</w:t>
      </w:r>
    </w:p>
    <w:p>
      <w:r>
        <w:rPr>
          <w:b/>
        </w:rPr>
        <w:t>Por qué no lleva ejemplos de derrumbes.</w:t>
      </w:r>
      <w:r>
        <w:t xml:space="preserve"> Una versión anterior ponía, antes de la petición, la caída del Muro de Berlín y la de Roma. Se corrigió: un ejemplo de derrocamiento justo antes de una petición pacífica la convierte, por su sola posición, en una amenaza velada. En su lugar, los pueblos que corrigieron el poder sin destruir la forma que lo sostenía (</w:t>
      </w:r>
      <w:r>
        <w:t>7.5</w:t>
      </w:r>
      <w:r>
        <w:t xml:space="preserve"> y </w:t>
      </w:r>
      <w:r>
        <w:t>9.2</w:t>
      </w:r>
      <w:r>
        <w:t xml:space="preserve">). Ninguno espera al colapso: todos actúan con el poder todavía en pie, pidiendo que se corrija. </w:t>
      </w:r>
      <w:r>
        <w:t>[33.00-0.1; 33.00-2.1]</w:t>
      </w:r>
    </w:p>
    <w:p>
      <w:r>
        <w:rPr>
          <w:b/>
        </w:rPr>
        <w:t>Lo que es y lo que no es.</w:t>
      </w:r>
      <w:r>
        <w:t xml:space="preserve"> Es una plantilla de principios, no un escrito con nombres y fechas listo para presentar; su traslado a un caso real requiere adaptarla y, si el asunto lo merece, asistencia profesional. No sustituye ningún cauce jurídico: es un documento de naturaleza política y moral, no procesal. </w:t>
      </w:r>
      <w:r>
        <w:t>[33.00-10.1]</w:t>
      </w:r>
    </w:p>
    <w:p>
      <w:pPr>
        <w:pStyle w:val="Heading3"/>
      </w:pPr>
      <w:r>
        <w:t>La respuesta probable de la Administración</w:t>
      </w:r>
    </w:p>
    <w:p>
      <w:pPr>
        <w:spacing w:after="60"/>
        <w:ind w:left="510" w:hanging="397"/>
      </w:pPr>
      <w:r>
        <w:rPr>
          <w:b w:val="0"/>
        </w:rPr>
        <w:t xml:space="preserve">1. </w:t>
      </w:r>
      <w:r>
        <w:rPr>
          <w:b/>
        </w:rPr>
        <w:t>«La petición es genérica, y no va al órgano competente.»</w:t>
      </w:r>
      <w:r>
        <w:t xml:space="preserve"> Una petición dirigida al Estado en general puede inadmitirse por ser ajena a las atribuciones de quien la recibe</w:t>
      </w:r>
      <w:r>
        <w:t xml:space="preserve"> (Ley Orgánica 4/2001, art. 8)</w:t>
      </w:r>
      <w:r>
        <w:t xml:space="preserve">. </w:t>
      </w:r>
      <w:r>
        <w:rPr>
          <w:i/>
        </w:rPr>
        <w:t>La respuesta de la obra:</w:t>
      </w:r>
      <w:r>
        <w:t xml:space="preserve"> la obra lo acepta: la plantilla es de principios, y para presentarla hay que concretar un punto y dirigirlo a quien corresponde. Si se inadmite porque tiene otro procedimiento, la ley obliga a decir cuál y ante quién</w:t>
      </w:r>
      <w:r>
        <w:t xml:space="preserve"> (ídem, art. 9.1)</w:t>
      </w:r>
      <w:r>
        <w:t>. Por eso el pliego de cargos va institución por institución (</w:t>
      </w:r>
      <w:r>
        <w:t>11.3</w:t>
      </w:r>
      <w:r>
        <w:t xml:space="preserve">). </w:t>
      </w:r>
      <w:r>
        <w:t>[33.00-9.2 y 9.3]</w:t>
      </w:r>
    </w:p>
    <w:p>
      <w:pPr>
        <w:spacing w:after="60"/>
        <w:ind w:left="510" w:hanging="397"/>
      </w:pPr>
      <w:r>
        <w:rPr>
          <w:b w:val="0"/>
        </w:rPr>
        <w:t xml:space="preserve">2. </w:t>
      </w:r>
      <w:r>
        <w:rPr>
          <w:b/>
        </w:rPr>
        <w:t>«El sistema ya se corrige solo.»</w:t>
      </w:r>
      <w:r>
        <w:t xml:space="preserve"> El Constitucional anula lo que no se ajusta: no hace falta pedir lo que el sistema ya hace. </w:t>
      </w:r>
      <w:r>
        <w:rPr>
          <w:i/>
        </w:rPr>
        <w:t>La respuesta de la obra:</w:t>
      </w:r>
      <w:r>
        <w:t xml:space="preserve"> lo reconoce con esas mismas palabras: el sistema corrige sus excesos cuando el procedimiento se activa. Pero la corrección llega tarde o se queda a medias: el estado de alarma se juzgó cuando ya se había aplicado, y el Tribunal de Justicia tuvo que dictar una segunda sentencia sobre la temporalidad porque la primera corrección no funcionó. </w:t>
      </w:r>
      <w:r>
        <w:t>[33.00-9.4 y 9.5]</w:t>
      </w:r>
    </w:p>
    <w:p>
      <w:pPr>
        <w:spacing w:after="60"/>
        <w:ind w:left="510" w:hanging="397"/>
      </w:pPr>
      <w:r>
        <w:rPr>
          <w:b w:val="0"/>
        </w:rPr>
        <w:t xml:space="preserve">3. </w:t>
      </w:r>
      <w:r>
        <w:rPr>
          <w:b/>
        </w:rPr>
        <w:t>«Las recomendaciones internacionales no obligan.»</w:t>
      </w:r>
      <w:r>
        <w:t xml:space="preserve"> </w:t>
      </w:r>
      <w:r>
        <w:rPr>
          <w:i/>
        </w:rPr>
        <w:t>La respuesta de la obra:</w:t>
      </w:r>
      <w:r>
        <w:t xml:space="preserve"> la petición no pretende que obliguen: pide que se explique la distancia y que se corrija donde proceda. Las sentencias del Tribunal Europeo de Derechos Humanos y del Tribunal de Justicia de la Unión sí obligan. Y la Constitución manda interpretar los derechos conforme a los tratados ratificados por España</w:t>
      </w:r>
      <w:r>
        <w:t xml:space="preserve"> (Constitución, art. 10.2)</w:t>
      </w:r>
      <w:r>
        <w:t xml:space="preserve">. </w:t>
      </w:r>
      <w:r>
        <w:t>[33.00-9.6 y 9.7]</w:t>
      </w:r>
    </w:p>
    <w:p>
      <w:pPr>
        <w:spacing w:after="60"/>
        <w:ind w:left="510" w:hanging="397"/>
      </w:pPr>
      <w:r>
        <w:rPr>
          <w:b w:val="0"/>
        </w:rPr>
        <w:t xml:space="preserve">4. </w:t>
      </w:r>
      <w:r>
        <w:rPr>
          <w:b/>
        </w:rPr>
        <w:t>«La ocupación se mide, y hay una vía rápida.»</w:t>
      </w:r>
      <w:r>
        <w:t xml:space="preserve"> Interior publica los delitos de usurpación y allanamiento, y desde 2018 hay un juicio rápido para recuperar la vivienda. </w:t>
      </w:r>
      <w:r>
        <w:rPr>
          <w:i/>
        </w:rPr>
        <w:t>La respuesta de la obra:</w:t>
      </w:r>
      <w:r>
        <w:t xml:space="preserve"> la obra usa esas mismas cifras. Pero la definición legal deja fuera a quien deja de pagar y no se marcha, la vía de 2018 solo protege a algunos propietarios, y el fallo práctico está en el primer contacto. </w:t>
      </w:r>
      <w:r>
        <w:t>[33.00-9.8 y 9.9]</w:t>
      </w:r>
    </w:p>
    <w:p>
      <w:pPr>
        <w:spacing w:after="60"/>
        <w:ind w:left="510" w:hanging="397"/>
      </w:pPr>
      <w:r>
        <w:rPr>
          <w:b w:val="0"/>
        </w:rPr>
        <w:t xml:space="preserve">5. </w:t>
      </w:r>
      <w:r>
        <w:rPr>
          <w:b/>
        </w:rPr>
        <w:t>«La vivienda social es competencia de las comunidades autónomas.»</w:t>
      </w:r>
      <w:r>
        <w:t xml:space="preserve"> (Constitución, art. 148.1.3.ª)</w:t>
      </w:r>
      <w:r>
        <w:t xml:space="preserve"> </w:t>
      </w:r>
      <w:r>
        <w:rPr>
          <w:i/>
        </w:rPr>
        <w:t>La respuesta de la obra:</w:t>
      </w:r>
      <w:r>
        <w:t xml:space="preserve"> la Constitución encarga la vivienda a «los poderes públicos» en conjunto: el reparto de competencias no reparte la responsabilidad hasta hacerla desaparecer. Y el deslinde se pide con las dos partes presentes: cada Administración, por lo suyo. </w:t>
      </w:r>
      <w:r>
        <w:t>[33.00-9.10 y 9.11; sin las cifras de vivienda social, que no tienen fuente leída]</w:t>
      </w:r>
    </w:p>
    <w:p>
      <w:pPr>
        <w:pStyle w:val="Heading2"/>
      </w:pPr>
      <w:r>
        <w:t>10.8 El Registro de los frutos</w:t>
      </w:r>
    </w:p>
    <w:p>
      <w:pPr>
        <w:pBdr>
          <w:left w:val="single" w:sz="24" w:space="6" w:color="E2DED6"/>
        </w:pBdr>
        <w:shd w:val="clear" w:color="auto" w:fill="F1EEE8"/>
        <w:spacing w:before="80" w:after="160"/>
        <w:ind w:left="142" w:right="142"/>
      </w:pPr>
      <w:r>
        <w:rPr>
          <w:b/>
        </w:rPr>
        <w:t>La idea: el Registro de los frutos es el archivo público que la obra propone: cada ciudadano dejará constancia de sus escritos al Estado y de la respuesta o el silencio, y todo converge en un juicio popular de la verdad. Hoy es una propuesta, no un archivo en marcha.</w:t>
      </w:r>
    </w:p>
    <w:p>
      <w:r>
        <w:rPr>
          <w:b/>
        </w:rPr>
        <w:t>Hechos.</w:t>
      </w:r>
      <w:r>
        <w:t xml:space="preserve"> La propia Constitución reconoce que el pueblo participa en la justicia: «Los ciudadanos podrán ejercer la acción popular y participar en la Administración de Justicia mediante la institución del Jurado, en la forma y con respecto a aquellos procesos penales que la ley determine, así como en los Tribunales consuetudinarios y tradicionales»</w:t>
      </w:r>
      <w:r>
        <w:t xml:space="preserve"> (Constitución, art. 125)</w:t>
      </w:r>
      <w:r>
        <w:br/>
      </w:r>
      <w:r>
        <w:rPr>
          <w:b/>
        </w:rPr>
        <w:t>leída en su fuente · Constitución, art. 125</w:t>
      </w:r>
      <w:r>
        <w:br/>
      </w:r>
      <w:r>
        <w:rPr>
          <w:b/>
        </w:rPr>
        <w:t>Archivo leído:</w:t>
      </w:r>
      <w:r>
        <w:t xml:space="preserve"> ce.html (ant\c1\ce.html) · contraste del archivo de pasajes: ✔</w:t>
      </w:r>
      <w:r>
        <w:br/>
      </w:r>
      <w:r>
        <w:rPr>
          <w:b/>
        </w:rPr>
        <w:t>Lugar:</w:t>
      </w:r>
      <w:r>
        <w:t xml:space="preserve"> Constitución (BOE, texto consolidado) · art. 125</w:t>
      </w:r>
      <w:r>
        <w:br/>
      </w:r>
      <w:r>
        <w:rPr>
          <w:b/>
        </w:rPr>
        <w:t>Tal como está en la fuente:</w:t>
      </w:r>
      <w:r>
        <w:t xml:space="preserve"> Los ciudadanos podrán ejercer la acción popular y participar en la Administración de Justicia mediante la institución del Jurado, en la forma y con respecto a aquellos procesos penales que la ley determine, así como en los Tribunales consuetudinarios y tradicionales</w:t>
      </w:r>
      <w:r>
        <w:t>. La ley reconoce tribunales de la costumbre que siguen funcionando, como el Tribunal de las Aguas de la Vega Valenciana</w:t>
      </w:r>
      <w:r>
        <w:t xml:space="preserve"> (Ley Orgánica del Poder Judicial, art. 19)</w:t>
      </w:r>
      <w:r>
        <w:t xml:space="preserve"> (</w:t>
      </w:r>
      <w:r>
        <w:t>1.5</w:t>
      </w:r>
      <w:r>
        <w:t>). La petición puede ser colectiva, firmada por todos</w:t>
      </w:r>
      <w:r>
        <w:t xml:space="preserve"> (Ley Orgánica 4/2001, art. 4.2)</w:t>
      </w:r>
      <w:r>
        <w:t>, y los tribunales pueden juzgar un caso testigo y extender sus efectos a otros iguales</w:t>
      </w:r>
      <w:r>
        <w:t xml:space="preserve"> (Ley 29/1998, arts. 37.2, 110 y 111)</w:t>
      </w:r>
      <w:r>
        <w:t xml:space="preserve">. </w:t>
      </w:r>
      <w:r>
        <w:t>[00.00-10.1]</w:t>
      </w:r>
    </w:p>
    <w:p>
      <w:r>
        <w:rPr>
          <w:b/>
        </w:rPr>
        <w:t>Conclusión, lo que arrojan los datos:</w:t>
      </w:r>
      <w:r>
        <w:t xml:space="preserve"> dentro de la jurisdicción del Estado, con sus reglas y sus tribunales, el sistema juega con ventaja: el Constitucional admitió en 2025 59 de 9.089 recursos de amparo (</w:t>
      </w:r>
      <w:r>
        <w:t>5.1</w:t>
      </w:r>
      <w:r>
        <w:t xml:space="preserve">, n.º 19). Pero la ley ya reconoce otras puertas: el jurado, la costumbre, la petición colectiva y el caso testigo. </w:t>
      </w:r>
      <w:r>
        <w:t>[00.00-10.2]</w:t>
      </w:r>
    </w:p>
    <w:p>
      <w:r>
        <w:rPr>
          <w:b/>
        </w:rPr>
        <w:t>Lectura del autor (propuesta):</w:t>
      </w:r>
      <w:r>
        <w:t xml:space="preserve"> el plan tiene tres pasos, y los tres convergen en un juicio popular de la verdad:</w:t>
      </w:r>
    </w:p>
    <w:p>
      <w:pPr>
        <w:spacing w:after="60"/>
        <w:ind w:left="510" w:hanging="397"/>
      </w:pPr>
      <w:r>
        <w:rPr>
          <w:b w:val="0"/>
        </w:rPr>
        <w:t xml:space="preserve">1. </w:t>
      </w:r>
      <w:r>
        <w:rPr>
          <w:b/>
        </w:rPr>
        <w:t>El Registro de los frutos</w:t>
      </w:r>
      <w:r>
        <w:t>, archivo público. Cada ciudadano dejará constancia de sus escritos al Estado, con los modelos del botiquín (</w:t>
      </w:r>
      <w:r>
        <w:t>10.5</w:t>
      </w:r>
      <w:r>
        <w:t>), y de la respuesta o el silencio, con un código para que cualquiera lo compruebe. Sus datos personales solo se publicarán si lo autoriza.</w:t>
      </w:r>
    </w:p>
    <w:p>
      <w:pPr>
        <w:spacing w:after="60"/>
        <w:ind w:left="510" w:hanging="397"/>
      </w:pPr>
      <w:r>
        <w:rPr>
          <w:b w:val="0"/>
        </w:rPr>
        <w:t xml:space="preserve">2. </w:t>
      </w:r>
      <w:r>
        <w:rPr>
          <w:b/>
        </w:rPr>
        <w:t>El juicio popular de la verdad</w:t>
      </w:r>
      <w:r>
        <w:t xml:space="preserve">, un tribunal de opinión, sin carácter oficial y sin fuerza legal, que lo declara desde el principio. Un jurado elegido por sorteo, con todas las generaciones representadas, juzga al Estado acusación por acusación, institución por institución, y nunca a personas con nombre; cada voto se razona por escrito y es público, nadie juzga donde tiene interés, la institución puede recusar y a nadie se le examinan las ideas. Se explica en </w:t>
      </w:r>
      <w:r>
        <w:t>11.1</w:t>
      </w:r>
      <w:r>
        <w:t>.</w:t>
      </w:r>
    </w:p>
    <w:p>
      <w:pPr>
        <w:spacing w:after="60"/>
        <w:ind w:left="510" w:hanging="397"/>
      </w:pPr>
      <w:r>
        <w:rPr>
          <w:b w:val="0"/>
        </w:rPr>
        <w:t xml:space="preserve">3. </w:t>
      </w:r>
      <w:r>
        <w:rPr>
          <w:b/>
        </w:rPr>
        <w:t>Los fondos voluntarios</w:t>
      </w:r>
      <w:r>
        <w:t>, a través del Registro y de una asociación con cuentas públicas, para organizar el juicio y para una defensa preventiva que estudie cada caso con abogado y derecho real, sin prometer pagar multas ni embargos.</w:t>
      </w:r>
    </w:p>
    <w:p>
      <w:r>
        <w:t>[00.00-10.3 a 10.6; glosario 8.6]</w:t>
      </w:r>
    </w:p>
    <w:p>
      <w:r>
        <w:rPr>
          <w:b/>
        </w:rPr>
        <w:t>Lectura del autor:</w:t>
      </w:r>
      <w:r>
        <w:t xml:space="preserve"> no se busca vencer al Estado en su laberinto, sino exponer a la vista de todos si está alineado con las leyes superiores o con el padre de la mentira, e invitarle a metamorfosearse. La verdad no necesita su permiso para ser verdad. </w:t>
      </w:r>
      <w:r>
        <w:t>[00.00-10.7]</w:t>
      </w:r>
    </w:p>
    <w:p>
      <w:pPr>
        <w:pStyle w:val="Heading2"/>
      </w:pPr>
      <w:r>
        <w:t>10.9 La brújula</w:t>
      </w:r>
    </w:p>
    <w:p>
      <w:pPr>
        <w:pBdr>
          <w:left w:val="single" w:sz="24" w:space="6" w:color="E2DED6"/>
        </w:pBdr>
        <w:shd w:val="clear" w:color="auto" w:fill="F1EEE8"/>
        <w:spacing w:before="80" w:after="160"/>
        <w:ind w:left="142" w:right="142"/>
      </w:pPr>
      <w:r>
        <w:rPr>
          <w:b/>
        </w:rPr>
        <w:t>La idea: las puertas de este capítulo sirven para pedir al Estado; esta sirve para mirarse uno. Tres preguntas: cómo te hace sentir vivir en este árbol, cómo lo vive el otro y a qué das tu consentimiento. Lo que uno siente es una señal, no una prueba, y se lee junto a los frutos. La respuesta no es dato de la obra: es tuya.</w:t>
      </w:r>
    </w:p>
    <w:p>
      <w:r>
        <w:rPr>
          <w:b/>
        </w:rPr>
        <w:t>Por qué aquí.</w:t>
      </w:r>
      <w:r>
        <w:t xml:space="preserve"> Las puertas anteriores miran hacia fuera: compensar, pedir con constancia escrita, deslindar, dejar constancia. Pero la obra ha dicho desde el principio que la vara se aplica a los dos lados (</w:t>
      </w:r>
      <w:r>
        <w:t>0.5</w:t>
      </w:r>
      <w:r>
        <w:t>) y que las cosas se evalúan en público mientras las personas se miran en privado (</w:t>
      </w:r>
      <w:r>
        <w:t>anexo J</w:t>
      </w:r>
      <w:r>
        <w:t>). Esta última puerta es la de dentro: la brújula, que viene dada, porque la conciencia no se inventa, se recibe (</w:t>
      </w:r>
      <w:r>
        <w:t>2.4</w:t>
      </w:r>
      <w:r>
        <w:t>), y que el propio anexo deja anunciada para aquí (</w:t>
      </w:r>
      <w:r>
        <w:t>J.1</w:t>
      </w:r>
      <w:r>
        <w:t xml:space="preserve">). </w:t>
      </w:r>
      <w:r>
        <w:t>[04d, 2e; 2.4, «La brújula viene dada»; anexo J, «se explica al cerrar el capítulo 10»; 04o, punto 6; 04c, las preguntas de espejo]</w:t>
      </w:r>
    </w:p>
    <w:p>
      <w:r>
        <w:rPr>
          <w:b/>
        </w:rPr>
        <w:t>Los dos árboles.</w:t>
      </w:r>
      <w:r>
        <w:t xml:space="preserve"> El autor lo dibuja así, y el </w:t>
      </w:r>
      <w:r>
        <w:t>anexo J</w:t>
      </w:r>
      <w:r>
        <w:t xml:space="preserve"> lo desarrolla: de lo que se recibe, la ley de Dios y la ley natural, crece un árbol recto; de lo que se siembra, la costumbre y la ley escrita, crece otro, que se tuerce cuando se corta de lo recibido o se pone por encima. Los capítulos 5 a 9 han medido, con sus frutos, hacia cuál de los dos se inclina el Estado que tenemos (</w:t>
      </w:r>
      <w:r>
        <w:t>9.1</w:t>
      </w:r>
      <w:r>
        <w:t xml:space="preserve">). </w:t>
      </w:r>
      <w:r>
        <w:t>[04d, 2c y 2d; anexo J]</w:t>
      </w:r>
    </w:p>
    <w:p>
      <w:r>
        <w:rPr>
          <w:b/>
        </w:rPr>
        <w:t>Las tres preguntas.</w:t>
      </w:r>
      <w:r>
        <w:t xml:space="preserve"> Son del autor, y la obra las deja a quien lee:</w:t>
      </w:r>
    </w:p>
    <w:p>
      <w:pPr>
        <w:spacing w:after="60"/>
        <w:ind w:left="510" w:hanging="397"/>
      </w:pPr>
      <w:r>
        <w:rPr>
          <w:b w:val="0"/>
        </w:rPr>
        <w:t xml:space="preserve">1. </w:t>
      </w:r>
      <w:r>
        <w:rPr>
          <w:b/>
        </w:rPr>
        <w:t>¿Cómo te hace sentir vivir en este árbol?</w:t>
      </w:r>
      <w:r>
        <w:t xml:space="preserve"> Y, puesto al lado, ¿cómo te haría sentir vivir en el otro?</w:t>
      </w:r>
    </w:p>
    <w:p>
      <w:pPr>
        <w:spacing w:after="60"/>
        <w:ind w:left="510" w:hanging="397"/>
      </w:pPr>
      <w:r>
        <w:rPr>
          <w:b w:val="0"/>
        </w:rPr>
        <w:t xml:space="preserve">2. </w:t>
      </w:r>
      <w:r>
        <w:rPr>
          <w:b/>
        </w:rPr>
        <w:t>¿Cómo lo vive el otro?</w:t>
      </w:r>
      <w:r>
        <w:t xml:space="preserve"> El otro no es ni más ni menos que otro tú: la misma justicia que quieres para ti es la que se le debe (</w:t>
      </w:r>
      <w:r>
        <w:t>0.5</w:t>
      </w:r>
      <w:r>
        <w:t xml:space="preserve">, la reciprocidad; </w:t>
      </w:r>
      <w:r>
        <w:t>3.2</w:t>
      </w:r>
      <w:r>
        <w:t>). Es la pregunta que impide que la brújula se quede en el egoísmo.</w:t>
      </w:r>
    </w:p>
    <w:p>
      <w:pPr>
        <w:spacing w:after="60"/>
        <w:ind w:left="510" w:hanging="397"/>
      </w:pPr>
      <w:r>
        <w:rPr>
          <w:b w:val="0"/>
        </w:rPr>
        <w:t xml:space="preserve">3. </w:t>
      </w:r>
      <w:r>
        <w:rPr>
          <w:b/>
        </w:rPr>
        <w:t>¿A qué das tu consentimiento?</w:t>
      </w:r>
      <w:r>
        <w:t xml:space="preserve"> Qué quieres sentir tú, y a qué consientes para que la realidad en que vives sea fiel a eso. Es la pregunta de fondo: la presunción es consentimiento sin información (</w:t>
      </w:r>
      <w:r>
        <w:t>cargo 3</w:t>
      </w:r>
      <w:r>
        <w:t xml:space="preserve">; </w:t>
      </w:r>
      <w:r>
        <w:t>cargo 11</w:t>
      </w:r>
      <w:r>
        <w:t>), y la obra ha dado la información, con su fuente, para que el consentimiento pueda ser de verdad, como el del paciente al que el médico explica antes de tocar (</w:t>
      </w:r>
      <w:r>
        <w:t>10.3</w:t>
      </w:r>
      <w:r>
        <w:t>).</w:t>
      </w:r>
    </w:p>
    <w:p>
      <w:r>
        <w:t>[04d, 2e (Kiko, 8-oct: «esa es la brújula»); 04c (Kiko, 8-oct: el otro «no es ni más ni menos que otro»)]</w:t>
      </w:r>
    </w:p>
    <w:p>
      <w:r>
        <w:rPr>
          <w:b/>
        </w:rPr>
        <w:t>Cómo se lee la brújula.</w:t>
      </w:r>
      <w:r>
        <w:t xml:space="preserve"> La brújula se confirma con el corazón. Cada uno la llama según su nivel de endurecimiento y de desconexión: a quien el sistema ha endurecido, dicho en llano, le vale «el resentir»; y, más llano todavía, «cómo te hace sentir». Lo que uno siente es una señal, no una prueba: se puede estar acostumbrado, porque la repetición crea costumbre (</w:t>
      </w:r>
      <w:r>
        <w:t>4.4</w:t>
      </w:r>
      <w:r>
        <w:t xml:space="preserve">), o engañado. Por eso la brújula funciona con dos lecturas a la vez: lo que dicen los frutos, con su fuente, y lo que uno siente. Si no coinciden, esa diferencia ya es información. </w:t>
      </w:r>
      <w:r>
        <w:t>[Kiko, 9-oct, chat de 08: «la brújula se confirma con el corazón, traducido al lenguaje llano de los endurecidos por el sistema, se llama el resentir o, más llano, cómo te hace sentir… en función de tu nivel de endurecimiento y desconexión»; 04d, 2e, el matiz]</w:t>
      </w:r>
    </w:p>
    <w:p>
      <w:r>
        <w:rPr>
          <w:b/>
        </w:rPr>
        <w:t>Lectura del autor:</w:t>
      </w:r>
      <w:r>
        <w:t xml:space="preserve"> los distintos nombres de la brújula, el corazón, el resentir, cómo te hace sentir, son niveles de percepción, y señalan el daño colateral del sistema en cada uno. Uno se endurece como quien se pone una armadura: ante la incertidumbre de qué es verdad y qué es real, es una postura legítima de autodefensa. Ante el peligro extremo, el miedo deja pocas salidas, como en la naturaleza: plantar cara, huir o hacerse el muerto. El llamamiento del </w:t>
      </w:r>
      <w:r>
        <w:t>capítulo 11</w:t>
      </w:r>
      <w:r>
        <w:t xml:space="preserve"> habla a los tres, y sobre todo al tercero: llegará el día en que los justos resuciten (</w:t>
      </w:r>
      <w:r>
        <w:t>11.6</w:t>
      </w:r>
      <w:r>
        <w:t>). Y las preguntas de espejo que el autor se hace, y deja: ¿qué semilla estás cultivando y qué árbol estás creando (</w:t>
      </w:r>
      <w:r>
        <w:t>J.1</w:t>
      </w:r>
      <w:r>
        <w:t>)?, ¿qué has hecho con tu vida?, ¿eres feliz?, ¿estás orgulloso de ti?, ¿hacia dónde apunta, por repetición, lo que haces: hacia la verdad o hacia la mentira? Ahora que nadie te mira y ves tu reflejo interior, la pregunta que surge: ¿cuáles serán tus frutos? ¿Qué vas a hacer tú? Sirven para la autoobservación y el diálogo con uno mismo, en todos los rangos y en todas las situaciones; y valen igual para quien manda, porque el que corrige se mira primero (</w:t>
      </w:r>
      <w:r>
        <w:t>10.3</w:t>
      </w:r>
      <w:r>
        <w:t xml:space="preserve">). </w:t>
      </w:r>
      <w:r>
        <w:t>[Kiko, 9-oct, chat de 08: «son diferentes niveles de percepción que indican el nivel del daño colateral del sistema; uno solo se endurece como armadura ante la incertidumbre de qué es la verdad y qué es lo real, postura legítima de autodefensa; en la naturaleza solo existen algunas maniobras ante el peligro extremo, el miedo: una, lucha, enfréntate; otra, huye; otra, hazte el muerto; llamamiento a: y llegará el día que los justos resuciten»; Kiko, 10-oct, chat de 08.7: «¿Qué semilla estás cultivando y qué árbol estás creando?», y «SI» a ponerla aquí con remisión a J.1; 04c, las preguntas de espejo, con la fórmula de 4.4]</w:t>
      </w:r>
    </w:p>
    <w:p>
      <w:r>
        <w:rPr>
          <w:b/>
        </w:rPr>
        <w:t>Lo que la brújula no es.</w:t>
      </w:r>
      <w:r>
        <w:t xml:space="preserve"> No es un dato de la obra ni se mide: el dial mide cosas, nunca personas (</w:t>
      </w:r>
      <w:r>
        <w:t>anexo J</w:t>
      </w:r>
      <w:r>
        <w:t>), y el juicio juzga instituciones (</w:t>
      </w:r>
      <w:r>
        <w:t>capítulo 11</w:t>
      </w:r>
      <w:r>
        <w:t xml:space="preserve">). La respuesta es de cada uno, y nadie tiene que dársela a nadie. El </w:t>
      </w:r>
      <w:r>
        <w:t>capítulo 11</w:t>
      </w:r>
      <w:r>
        <w:t xml:space="preserve"> vuelve a ella en el llamamiento (</w:t>
      </w:r>
      <w:r>
        <w:t>11.6</w:t>
      </w:r>
      <w:r>
        <w:t>).</w:t>
      </w:r>
    </w:p>
    <w:p>
      <w:pPr>
        <w:pStyle w:val="Heading2"/>
      </w:pPr>
      <w:r>
        <w:t>Límite honesto de la prueba</w:t>
      </w:r>
    </w:p>
    <w:p>
      <w:pPr>
        <w:pStyle w:val="ListBullet"/>
      </w:pPr>
      <w:r>
        <w:rPr>
          <w:b/>
        </w:rPr>
        <w:t>Las propuestas son del autor.</w:t>
      </w:r>
      <w:r>
        <w:t xml:space="preserve"> Lo que va marcado como propuesta (el control con jubilados, el diezmo, los jurados por generaciones, el consejo con avales, la defensa en grupo, el Registro y el juicio popular) no está probado por los datos: es lo que el autor propone, y su cálculo, como el de la transición del diezmo, está pendiente.</w:t>
      </w:r>
    </w:p>
    <w:p>
      <w:pPr>
        <w:pStyle w:val="ListBullet"/>
      </w:pPr>
      <w:r>
        <w:rPr>
          <w:b/>
        </w:rPr>
        <w:t>Las vías legales son estrechas.</w:t>
      </w:r>
      <w:r>
        <w:t xml:space="preserve"> Los derechos a compensar existen con letra clara, pero el camino para ejercerlos es largo, y más cuanto más arriba se aplica.</w:t>
      </w:r>
    </w:p>
    <w:p>
      <w:pPr>
        <w:pStyle w:val="ListBullet"/>
      </w:pPr>
      <w:r>
        <w:rPr>
          <w:b/>
        </w:rPr>
        <w:t>El deslinde prueba una convergencia, no una obligación.</w:t>
      </w:r>
      <w:r>
        <w:t xml:space="preserve"> El Estado está sometido por escrito al principio de atribución frente a la Unión, no frente al ciudadano.</w:t>
      </w:r>
    </w:p>
    <w:p>
      <w:pPr>
        <w:pStyle w:val="ListBullet"/>
      </w:pPr>
      <w:r>
        <w:rPr>
          <w:b/>
        </w:rPr>
        <w:t>Lo que no se ha leído en su fuente no entra.</w:t>
      </w:r>
      <w:r>
        <w:t xml:space="preserve"> No entran la historia antigua de la compensación (las leyes hititas, la </w:t>
      </w:r>
      <w:r>
        <w:rPr>
          <w:i/>
        </w:rPr>
        <w:t>Lex Aquilia</w:t>
      </w:r>
      <w:r>
        <w:t>), los tribunales de opinión de la historia, varias frases de autores y de organismos, ni las cifras de vivienda social (libreta de flecos, 05).</w:t>
      </w:r>
    </w:p>
    <w:p>
      <w:pPr>
        <w:pStyle w:val="ListBullet"/>
      </w:pPr>
      <w:r>
        <w:rPr>
          <w:b/>
        </w:rPr>
        <w:t>Los modelos son orientativos.</w:t>
      </w:r>
      <w:r>
        <w:t xml:space="preserve"> No son asesoramiento para un caso concreto.</w:t>
      </w:r>
    </w:p>
    <w:p>
      <w:pPr>
        <w:pStyle w:val="ListBullet"/>
      </w:pPr>
      <w:r>
        <w:rPr>
          <w:b/>
        </w:rPr>
        <w:t>La brújula no es una prueba.</w:t>
      </w:r>
      <w:r>
        <w:t xml:space="preserve"> Lo que uno siente es una señal; la obra no la mide ni la registra.</w:t>
      </w:r>
    </w:p>
    <w:p>
      <w:r>
        <w:t>Cada concesión se discute, con su defensa y sus contrapuntos, en el juicio (</w:t>
      </w:r>
      <w:r>
        <w:t>capítulo 11</w:t>
      </w:r>
      <w:r>
        <w:t>).</w:t>
      </w:r>
    </w:p>
    <w:p>
      <w:pPr>
        <w:pStyle w:val="Heading2"/>
      </w:pPr>
      <w:r>
        <w:t>Dónde se oye la defensa del Estado</w:t>
      </w:r>
    </w:p>
    <w:p>
      <w:r>
        <w:t xml:space="preserve">Las objeciones a las propuestas y la respuesta probable de la Administración a sus escritos se han oído aquí, junto a cada puerta: en </w:t>
      </w:r>
      <w:r>
        <w:t>10.2</w:t>
      </w:r>
      <w:r>
        <w:t xml:space="preserve"> (el control por jubilados, el diezmo, la recuperación sin condena y el jurado), en </w:t>
      </w:r>
      <w:r>
        <w:t>10.3</w:t>
      </w:r>
      <w:r>
        <w:t xml:space="preserve"> (los avales, remitidos a 2.4), en </w:t>
      </w:r>
      <w:r>
        <w:t>10.4</w:t>
      </w:r>
      <w:r>
        <w:t xml:space="preserve"> (las cinco respuestas al escrito de petición) y en </w:t>
      </w:r>
      <w:r>
        <w:t>10.7</w:t>
      </w:r>
      <w:r>
        <w:t xml:space="preserve"> (las cinco a la petición de deslinde). Lo que el Estado defiende de sí mismo va al juicio: como cuestión previa (</w:t>
      </w:r>
      <w:r>
        <w:t>11.2</w:t>
      </w:r>
      <w:r>
        <w:t>), en su cargo (</w:t>
      </w:r>
      <w:r>
        <w:t>11.3</w:t>
      </w:r>
      <w:r>
        <w:t>) o frente al dictamen (</w:t>
      </w:r>
      <w:r>
        <w:t>11.4</w:t>
      </w:r>
      <w:r>
        <w:t>).</w:t>
      </w:r>
    </w:p>
    <w:p>
      <w:pPr>
        <w:pStyle w:val="Heading2"/>
      </w:pPr>
      <w:r>
        <w:t>Para recordar</w:t>
      </w:r>
    </w:p>
    <w:p>
      <w:pPr>
        <w:pStyle w:val="ListBullet"/>
      </w:pPr>
      <w:r>
        <w:t>Los textos que mandan obedecer ponen la condición en el mismo sitio: la autoridad es para el bien de quien obedece.</w:t>
      </w:r>
    </w:p>
    <w:p>
      <w:pPr>
        <w:pStyle w:val="ListBullet"/>
      </w:pPr>
      <w:r>
        <w:t>No se reclama un Estado nuevo: se invita al que hay a metamorfosearse.</w:t>
      </w:r>
    </w:p>
    <w:p>
      <w:pPr>
        <w:pStyle w:val="ListBullet"/>
      </w:pPr>
      <w:r>
        <w:t>Corregir sin vengarse: por acto y con fuente, nunca por colectivo; sin arrancar el trigo con la cizaña; y quien corrige, como el médico, necesita consentimiento, buscar el bien del corregido, la medida justa y un rumbo.</w:t>
      </w:r>
    </w:p>
    <w:p>
      <w:pPr>
        <w:pStyle w:val="ListBullet"/>
      </w:pPr>
      <w:r>
        <w:t>La pregunta: «¿Me puede explicar qué es lo que le legitima para solicitarme esto?». Por escrito, y conservando la copia sellada.</w:t>
      </w:r>
    </w:p>
    <w:p>
      <w:pPr>
        <w:pStyle w:val="ListBullet"/>
      </w:pPr>
      <w:r>
        <w:t>La ley ya obliga a compensar el daño injusto, cada vez más arriba; cuanto más arriba, más estrecho el camino.</w:t>
      </w:r>
    </w:p>
    <w:p>
      <w:pPr>
        <w:pStyle w:val="ListBullet"/>
      </w:pPr>
      <w:r>
        <w:t>El deslinde: volver a marcar el límite, con las dos partes presentes. No es una acusación.</w:t>
      </w:r>
    </w:p>
    <w:p>
      <w:pPr>
        <w:pStyle w:val="ListBullet"/>
      </w:pPr>
      <w:r>
        <w:t>Todo converge en el Registro de los frutos y en el juicio popular de la verdad.</w:t>
      </w:r>
    </w:p>
    <w:p>
      <w:pPr>
        <w:pStyle w:val="ListBullet"/>
      </w:pPr>
      <w:r>
        <w:t>La brújula: cómo te hace sentir vivir en este árbol, cómo lo vive el otro, a qué das tu consentimiento. Señal, no prueba; se lee junto a los frutos.</w:t>
      </w:r>
    </w:p>
    <w:p>
      <w:pPr>
        <w:pStyle w:val="ListBullet"/>
      </w:pPr>
      <w:r>
        <w:rPr>
          <w:b/>
        </w:rPr>
        <w:t>Lo siguiente:</w:t>
      </w:r>
      <w:r>
        <w:t xml:space="preserve"> la defensa del Estado, reunida y respondida cargo por cargo en el juicio popular de la verdad, y el llamamiento (</w:t>
      </w:r>
      <w:r>
        <w:t>capítulo 11</w:t>
      </w:r>
      <w:r>
        <w:t>).</w:t>
      </w:r>
    </w:p>
    <w:p>
      <w:r>
        <w:br w:type="page"/>
      </w:r>
    </w:p>
    <w:p>
      <w:pPr>
        <w:pStyle w:val="Heading1"/>
      </w:pPr>
      <w:r>
        <w:t>11 El juicio popular de la verdad</w:t>
      </w:r>
    </w:p>
    <w:p>
      <w:pPr>
        <w:spacing w:after="200"/>
      </w:pPr>
      <w:r>
        <w:rPr>
          <w:rFonts w:ascii="Segoe UI" w:hAnsi="Segoe UI" w:eastAsia="Segoe UI" w:cs="Segoe UI"/>
          <w:color w:val="6B665E"/>
          <w:sz w:val="17"/>
        </w:rPr>
        <w:t>Primera versión: 6 de octubre de 2026 · Última revisión: 12 de octubre de 2026 · Cambios anotados en el capítulo: 29 · Citas leídas en su fuente: 146</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(alcance de la cifra; orden de 08.30, fila 724 de 08/01): en 11.4, donde resume 8.9, «mayor que hace una década» pasa a «mayor que hace doce años», como dice ya el párrafo de datos de 8.9 (4,74 en 2014; 5,58 en 2026) (07/herramientas/aplicar_doce_anios_8_9.py). Ninguna otra palabra cambia. Cambio del 12-oct-2026, el cierre, dentro del paso 3 (alcance de la cifra; hallado por 10.36, orden de 08.29, fila 716 de 08/01): en 11.1, «once millones de pensionistas (8.6)» pasa a «once millones de pensiones (8.6)», porque 8.6 cuenta pensiones, no personas, y una persona puede cobrar más de una; así lo dice ya 5.5 (07/herramientas/aplicar_pensiones_11_1.py). Ninguna otra palabra cambia. Cambio del 12-oct-2026, el cierre, dentro del paso 3 (B13: Kiko, chat de 08.18, 06:3x, «si» a la forma «sin contacto documentado entre sí»; orden de 08.29, filas 709 y 710 de 08/01, tras la auditoría de 10.36): la frase en este capítulo con la forma de antes pasa a decir «sin contacto documentado» (07/herramientas/aplicar_contacto_documentado.py). Ninguna otra palabra cambia. Cambio del 12-oct-2026, el cierre (encargo de 08.29, punto 4, tras el paso 1): a las notas de abajo que daban Mc 10:45 por no leído se les añade, con fecha, que se leyó después en la Reina-Valera Antigua y dice lo mismo que Mt 20:28; lo escrito entonces no se borra. Ninguna palabra del texto cambia. Cambio del 12-oct-2026, los flecos del cierre (Kiko, chat de 08.28, 19:4x, a «¿sí a los seis flecos tal cual? Recomendación: sí a los seis», tal cual: «SI»; orden firme de 08.28): Mc 10:45 ya no se da por no leído: está en la Reina-Valera Antigua en local (10 FUENTES LEIDAS/biblia_rv1909: «Porque el Hijo del hombre tampoco vino para ser servido, mas para servir») y dice lo mismo que Mt 20:28, que es el que se cita (3.6). En la línea de trazabilidad de 11.6 y en «La lista de lo que no entra».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y ADELANTE de 08.26; borrador B22, construido por programa desde el índice verificado el_septimo_sello): en la cabecera, en una traza y en la lista de lo que no entra del límite honesto, el séptimo sello (Ap 8:1) ya no se da por no leído («su texto no está en local»): no entra aquí, y lo que dice el texto, leído en la Reina-Valera Antigua y en el griego, está en 3.7. Sin dato nuevo en este capítulo. Ninguna otra palabra cambia. Cambio del 12-oct-2026 (Kiko, chat de 08.19, 08:5x, pasado por 08.19 tal cual, a «¿entran así los tres textos, el de 0.2, el llamamiento y estas líneas de cierre?»: «si entran»; parlamento del hilo de la poda, 08/20, con la forma que Kiko decidió a las 08:0x): en 11.6, detrás de «A los ángeles», dos párrafos de lectura del autor (borrador B14 v2): quiénes son los ángeles de este llamamiento (la gente que colabora por el beneficio de la humanidad, los aprendices, las potestades celestiales como aliento y guía; la siega no es nuestra, Mt 13:39-41; nos toca separar el grano de la paja) y podar el árbol en todos los campos (el mismo método en cada ciencia y en lo económico, lo administrativo y lo judicial; se buscan métodos mejores; esto es solo el principio del llamamiento). Sin dato ni cita nueva. Ninguna otra palabra cambia. Cambio del 12-oct-2026 (Kiko, chat de 08.18, 06:3x, pasado por 08.18 tal cual, a «¿das el sí a los nueve cambios de 07.6?»: «si»; borrador B13, el barrido de los cuantificadores vagos en las frases con dato): en 11.2 («Las imágenes y las palabras») y en el cargo 26, «se reclama a la Administración, nunca al empleado» lleva su alcance, «por el daño de un servicio público» (Ley 40/2015, art. 36.1; la responsabilidad penal y la civil del delito van por la ley penal, art. 37.1, en 10.4); en 11.2 («La vara»), «civilizaciones que nunca se hablaron» pasa a «sin contacto documentado entre sí»; en el cargo 7, «la mayoría paga confiando en que la ley es válida» (sin dato) pasa a «quien pagó sin recurrir, confiando en que la ley era válida, no recupera lo pagado»; y en el cargo 14, «Toda tradición pone un límite a la deuda […] la deuda no se perdona nunca» pasa a «Las tradiciones ponen un límite a la deuda (Mesopotamia, Israel, Atenas y el islam) […] no hay remisión periódica, y la deuda del Estado se paga con deuda nueva». Ninguna otra palabra cambia. Cambio del 11-oct-2026 (Kiko, chat de 08.16, 22:1x, pasado por 08.16 tal cual: «Pues tendré que decirlo dentro de su contexto. 6 de cada 10 incumple con el ciudadano. Y no que invente, que está todos los datos ya recogidos.»): en 11.6, «lo que la Constitución promete al pueblo se incumple en el 62,1 % de sus artículos» pasa a «se incumple el 62,1 % de los artículos de la Constitución que afectan al ciudadano», la forma de 7.4: el 62,1 % es de los 66 artículos del bien común, no de los 169. Entró el 7-oct (c319eb9); la misma confusión se corrigió el 10-oct en otra frase de este capítulo. Ninguna otra palabra cambia. Cambio del 10-oct-2026 (Kiko, chat de 08.7, 23:2x, pasado por 08.7 tal cual: «SI», a quitar la coletilla «; la serie completa, en el anexo A» del Límite honesto del cargo 12; pregunta 8 de 08/11, las remisiones a los anexos): en el cargo 12, «La urgencia», el «Límite honesto» termina en «…hecho con datos del BOE.»; la remisión de «Dónde está probado», «en el anexo A (art. 86)», se queda. Ninguna otra palabra cambia. Cambio del 10-oct-2026 (Kiko, chat de 08.6, 22:2x, pasado por 08.6 tal cual: «si»; lo halló 09.1 al cotejar la portada de la web, debate 08/13): en el cargo de «No faltan recursos para todo por igual», «se incumple el 62,1 % de lo prometido» pasa a «se incumple el 62,1 % de los artículos que afectan al ciudadano (7.4)», la forma de 7: el 62,1 % es de los 66 artículos del bien común, no de todo lo prometido. Ninguna cifra cambia. Cambio del 9-oct-2026 (Kiko, chat de 07: «la frase que más invita a reflexionar es…»; tras proponerle armonizar la serie de preguntas, y su «en todos los sitios»): en 11.6, como última línea del llamamiento, después de «Quien tiene oídos para oír, oiga» y antes del límite honesto, la misma pregunta que cierra G.0 y 10.9. Cambio del 9-oct-2026 (Kiko, chat de 07, tras varios dictados; su redacción última): la pregunta pasa a «Ahora que nadie te mira y ves tu reflejo interior, la pregunta que surge: ¿cuáles serán tus frutos? ¿Qué vas a hacer tú?», en lugar de la primera versión. Cambio del 9-oct-2026 (Kiko, chat de 07, tras ver qué preguntas quedaban en el aire): en 11.6, a continuación de esa pregunta, la del legado, con sus palabras: «¿Qué vas a dejar para la gran tribu humana, para que viva en el mundo en que te gustaría vivir?». Solo va en 11.6. Cambio del 9-oct-2026 (Kiko: «a las tres que sí» y «se llama prueba documental»; fila A4 de 03b, la documentación para el juicio): en 11.1, un bloque nuevo, «La documentación del juicio», entre «Qué es» y «Las reglas del jurado»: la obra entera es la documentación que se aporta a este juicio, su prueba documental (Ley de Enjuiciamiento Civil, arts. 265.1.1.º, 265.2 y 289.3, y Constitución, art. 29.1, leídos en el BOE); la frase de Kiko, con «su sistema» donde dijo «el sistema de sus gobernantes», va como «Lectura del autor». «La idea» de 11.1 y el título del capítulo no cambian. Cambio del 9-oct-2026 (Kiko: «sí a P-11.6» en el chat de 07; propuesta de 08; fila 41, parte c, de 04p): al final del párrafo «Con tu misma vida, serías tú», en 11.6, una línea que remite a 8.10, donde se miden con datos la salud y la familia. La pregunta final sigue sin cifras. Cambio del 9-oct-2026 (Kiko: «Sí al B6 con las tres recomendaciones» y «sí al B6»; filas 37 y 38 de 04p; borrador B6 de la carpeta 07, escrito por la ventana que acompaña): en 11.1, «La idea» y un bloque nuevo, «Las reglas del jurado» (Ley Orgánica 5/1995 y Constitución, leídas en el BOE): voto razonado por escrito y público, nadie juzga donde tiene interés, la institución juzgada puede recusar con causa y sin causa como la ley, y ningún examen de ideas; una remisión a 5.4 en el cargo 3 y en 11.2 n.º 19 (la piedra que sostiene la obra); y el primer punto de «Para recordar». Cambio del 9-oct-2026 (Kiko: «Sí al B5, aplícalo»; fila 17 de 04p; borrador B5): en 11.6, «La idea» (el final), un párrafo nuevo con las improntas y la pregunta final «¿en serio este es el rumbo?», sin cifras (4.4 y 10.9), un párrafo de «Lectura del autor» con el matiz sobre el «Cristo» de Ef 5:14 (palabras de Kiko) y el último punto de «Para recordar». Cambio del 9-oct-2026 (cierre de los avisos de las patas del Arca, tras el informe del agente de fuentes; Kiko: «sigue con el agente y cierra lo pendiente»): en el cargo donde se oye la Gran Ley de la Paz iroquesa, «su texto escrito es del siglo XIX» pasa a «es reciente, de 1916» (Parker); el siglo XIX no lo sostenía ninguna fuente leída. Se quita Wikipedia como fuente (00b §6), se retiran las fechas que la página citada no sostenía y se apoya cada aviso en una fuente leída o lo dice. Cambio del 9-oct-2026 (Kiko: «Sí al B1, aplícalo en 06»; borrador B1 de la carpeta 07; filas 3, 4 y 36 de 04p y definición de «ley escrita»): en el cargo 3 («La soberanía del pueblo»), la pregunta pasa de una a dos: se añade la pregunta por el hecho de partida de la presunción de que el pueblo consintió (0.4). Cambio del 9-oct-2026 (Kiko: «sí a las tres» el 8-oct y «para todo lo demás, queda confirmado» el 9-oct; filas 6 a 11 de 04p, ajustes 1 a 6 de la línea del tiempo): en el cargo donde se oye la Gran Ley de la Paz iroquesa, un aviso corto: su fecha se discute y su texto escrito es del siglo XIX. Las fechas y los parecidos entre textos son de enciclopedia (fuente secundaria, nivel B); no se ha cambiado ninguna cita ni ningún texto original. Cambio del 8-oct-2026 (fase de reparación, sexta tanda): corregida una remisión que apuntaba a un apartado que no trata de lo que se remite: el Fuero Nuevo de Navarra, en el cargo 1, punto 4, remitía a 1.2 (La ley de Dios) y está en 1.1. Cambio del 8-oct-2026 (fase de reparación, auditoría de las citas): puesto el original inglés junto a la cita de Stigler (1971, p. 3), leído en Carrigan y Coglianese. Cambio del 8-oct-2026 (fase de reparación, auditoría de la fe de erratas): en 11.3, cargo 1, «ya no es ley» pasa a «ya no será ley» (Aquino, I-II q. 95 a. 2, «iam non erit lex»; erratas 21.00-16.24). Cambio del 8-oct-2026 (parlamento sobre los mitos; Kiko: «sí a las tres, con tus recomendaciones» y el añadido del método de medir): en 11.2, la cuestión previa n.º 23 (y su defensa y respuesta) y dos cargos dejan de hablar de «los mitos» y del «movimiento soberano»: hablan de «esas afirmaciones sin documento» y de «presunciones». No cambia ningún dato. ESTADO: APROBADO entero por Kiko el 7-oct-2026 (por partes; paso 3, desde el 6-oct por la noche). PARTE 2 (11.3, cargos 1 a 9) APROBADA por Kiko el 6-oct por la noche («si a las dos preguntas»); sus marcas, en 04 CAPITULOS/marcas/marcas del capitulo 11 - parte 2.txt. Parte 1 (la cabecera del capítulo, 11.0, 11.1 y 11.2) APROBADA por Kiko el 6-oct por la noche («si a las tres»: la parte, el orden de tandas, la errata de BOSCO y una sola última palabra al final de 11.2; la errata de Montevideo, con su «SI»); sus marcas, en 04 CAPITULOS/marcas/marcas del capitulo 11 - parte 1.txt. PARTE 3 (cargos 10 a 16) APROBADA por Kiko el 7-oct de madrugada («si a las tres»); sus marcas, en 04 CAPITULOS/marcas/marcas del capitulo 11 - parte 3.txt. PARTE 4 (cargos 17 a 23) APROBADA por Kiko el 7-oct («si apruebo la parte cuatro»); sus marcas, en 04 CAPITULOS/marcas/marcas del capitulo 11 - parte 4.txt. PARTE 5 (cargos 24 a 28) APROBADA por Kiko el 7-oct («si a las tres preguntas»); sus marcas, en 04 CAPITULOS/marcas/marcas del capitulo 11 - parte 5.txt. PARTE 6 (el cierre de 11.3, 11.4 a 11.6, el límite honesto y «Para recordar») APROBADA por Kiko el 7-oct («sí» a la parte y a «clama al cielo»; la dependencia, como cuarto clamor firmado por el autor); sus marcas, en 04 CAPITULOS/marcas/marcas del capitulo 11 - parte 6.txt. CAPÍTULO 11 COMPLETO Y APROBADO. Redactado solo con lo comprobado en los pasos 2 y 2 bis y en los capítulos 0 a 10 aprobados: al redactar no se ha descargado nada; lo que falta se apunta en la libreta 75 (7 bis). Sin agentes. Cambio aprobado por Kiko el 7-oct-2026 («si a las dos», después de aprobar el anexo F): en el cargo 1, el contrapunto 4 («La costumbre no es cosa del pasado»: Navarra, el xeer y el tikanga, con su remisión a 1.2 y F.7), que había quedado fuera por no estar leído (07.00-24.2), y su concesión en «Dónde aguanta» (el tikanga lo reconoce un tribunal del Estado). El Althing, no: hoy es un parlamento que escribe leyes, y que «sigue funcionando» no tiene fuente leída. Escrito en tres niveles y con remisiones enlazables.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Antes de redactar: comprobación estricta de cifras (libreta 76, lección 31): herramientas/separar_cifras.py y cifras_revisadas_11.py -&gt; herramientas/cifras_revisadas_11.tsv (375 cifras: 363 son el mismo dato ya verificado, 9 no entran y 3 van con la versión de la fe de erratas). Leído hoy en su original (en local; libreta 75, 7 bis n.º 9): - BOE: Constitución (preámbulo y arts. 1, 9, 10, 16, 18, 20, 22, 24, 53 y 136); Código Civil (art. 1); Ley de Enjuiciamiento Criminal (art. 739); Ley 39/2015 (art. 39.1). - Del registro de los pasos 2 y 2 bis (con su pasaje): Mill, Sobre la libertad, cap. I (Gutenberg; c9d, entradas 89 a 94); Agustín, Tratado 42 sobre el Evangelio de Juan, n.º 10 y 15 (augustinus.it, latín y traducción publicada; c9d, 103 a 105); Tomás de Aquino, Suma teológica II-II, q. 58, a. 7, ad 2 (corpusthomisticum; c9d, 100); Código Penal, art. 31 quinquies.1; Ley General Tributaria, art. 167.2; Ley 29/1998, art. 30; Ley 39/2015, art. 97.1; Constitución, arts. 9.2, 10.2, 47, 71.4 y 168. - Fuente secundaria (se marca): Hart, «contenido mínimo del derecho natural» (artículo de la UNAM, 2025; c9d, 99); Stigler (1971), en Carrigan y Coglianese (c9d, 98). Hallado al escribir: erratas de la Biblioteca que la edición lleva corregidas (07 FE DE ERRATAS): - 01.00-17.7: Aquino no distingue el bien común de «la mayoría numérica», sino del bien de una sola persona; va con sus palabras. - 03.00-34.3 y 26.00-8.7 (en los cargos): el salario real de la OCDE, con la serie actual (20.00-35.5). Y al redactar (libreta 75, 7 bis n.º 9), sin descargar nada: - 23.00-6.7: la frase «es la creencia la que constituye la legitimidad» no está así en Weber (6.3); va lo que sí dice. - 04.00-8.5: de Hobbes solo «ese dios mortal» tiene fuente leída (6.1); «an Artificiall Man», no. - 01.00-14.2: la frase de Mill sobre la tiranía social es condicional en el original («si dicta mandatos injustos»), y «la tiranía de la mayoría» la cita él como expresión ya corriente; así se dice. - ERRATA NUEVA, APROBADA por Kiko (6-oct, noche: «SI»): 04.00-8.9 dice que el Estado existe «por el control efectivo y el reconocimiento entre pares»; la Convención de Montevideo dice que su existencia «es independiente de su reconocimiento por los demás Estados» (art. 3; 6.2). Sobran solo esas palabras: «sin ningún título superior» se sostiene. La edición lleva el art. 3 entero (facsímil de la OEA, p. 3) y que la firmaron veinte Estados americanos, sin España: ni la firmó ni la ratificó, ni se adhirió después (OEA, estado de firmas, A-40, leído el 6-oct por pregunta de Kiko; c6). - ERRATA MENOR NUEVA, APROBADA por Kiko (6-oct): 09.00-7.3, los «siete años de litigio» de BOSCO; entre la resolución del Consejo de Transparencia (febrero de 2019) y la STS 1119/2025 pasaron «más de seis años» (8.5). - 04.00-8.11: Robbers Cave, con lo que dice 4.1 (el contacto no bastó; sí, las metas comunes), no «con más fuerza». No entra (sin fila en el registro o sin fuente leída): el Tribunal Russell y el Tribunal Permanente de los Pueblos (00.00-11.11; ya fuera en 10.8); la frase de Dworkin y los «triunfos» (01.00-14.3: solo fragmentos, sin su texto); que las corporaciones «no pudieran ser excomulgadas» (04.00-8.7); que la Casa del Rey no publique su plantilla (09.00-7.3; 20.00, §14, sin leer: anexo C); el presidente de la Reserva Federal y el del Bundesbank (25.00-11.9); la tradición mesoamericana descartada (05.00-12.9); que la revisión total del art. 168 «nunca se ha activado» (10.00-18.13); la sentencia «en suspenso desde 2022» (29.00-8.3). PARTE 2 (11.3, cargos 1 a 9), al redactar (libreta 75, 7 bis n.º 9): - Leído hoy en local: Ley Orgánica del Poder Judicial, art. 219.10.ª; Ley 40/2015, art. 23.2.a; Declaración Universal, art. 30; Constitución, arts. 6, 50 y 87.3, y que la palabra «ahorro» no aparece en ella. - Las citas bíblicas del pliego (37.00), en la Reina-Valera Antigua, como ya están en los capítulos 1 a 5 (las erratas menores del 07: Hch 5:29, Mt 22:21, 1 Sam 8:15, Mt 20:25-26, Is 10:1-2, Mt 23:23, Lc 11:46 y Jer 31:29-30). - Con su dato nuevo: la vivienda, 8,36 años en junio de 2026 (8.8), en lugar de los 7,7 de 2025; la pregunta del cargo 8, con las 894 normas de 2024 y las 396.115 páginas de lo vigente en lugar de las 259 normas. - Después de aprobada, a petición de Kiko (6-oct, noche), sin descargar nada: en el cargo 4, la aritmética del ahorro de 8.8 (25 años para la entrada, más de 80 para el precio entero: «ese dato no se puede perder»); en el cargo 8, las normas aprobadas en 2024 (894: 719 del Estado y 175 de las comunidades) y que no todo lo publicado es norma (128.071 de las 259.445 páginas del BOE son disposiciones), leído hoy en local en el informe de la CEOE (c5, pp. 2 y 5 a 7). - No entra (sin fila en el registro o sin leer): las 259 normas del Consejo de Ministros fuera de su Plan Anual Normativo; la reserva de 1983 a la Convención sobre la mujer; «autobloqueo» y que la revisión total «nunca se ha activado» en «cuarenta y ocho años»; los «quince días» de la Mesa del Congreso; el xeer, el Althing y el tikanga (al anexo F); la frase de Rousseau leída como justificación del Terror; las sanciones del Tribunal de Cuentas a los partidos desde 2012 y su graduación de 2015; los 105 millones de la Jefatura del Estado y la plantilla de la Casa del Rey (anexo C); «las tres reformas, sin referéndum»; «ninguno de los grandes casos de corrupción surgió de sus fiscalizaciones»; la abolición en la Península en 1837; los nueve códigos con sus páginas y la sentencia de las cláusulas suelo; los 40 decretos-leyes (van al cargo 12); el salario mediano y «casi cuatro veces». PARTE 3 (11.3, cargos 10 a 16), APROBADA por Kiko el 7-oct-2026 de madrugada («si a las tres»: la parte con los cambios de los cargos 4 y 8, la errata y las demás defensas del cargo 10 en el nivel completo; libreta 75, 7 bis n.º 9): - Leído hoy en local: Constitución, arts. 14, 33, 35.1, 86 y 139.1, disposición adicional primera, y que «prioridad absoluta» solo aparece en el art. 135.3; el informe de la CEOE (c5, p. 3: decretos-leyes y leyes de 2013 a 2024); la STC 61/2018 (c10: síntesis y fallo). - CORREGIDO (Kiko, 7-oct): el borrador recuperaba las dos defensas de la pieza retirada 06.00 («el trato igual» y «la desigualdad legítima»), porque el capítulo 3 las prometía en el cargo 10. Esa pieza se retiró por consenso, por no concluyente: sus defensas no se recuperan, y la promesa se quitó del capítulo 3. Los capítulos que prometen defensas en el cargo 10 son dos: el 2 y el 8. - ERRATA NUEVA, APROBADA (al registro con «(paso 3)» y al 07): 37.00-16.6, 00.1-4.6 y 00.2-12.15 dicen que el Constitucional anuló por no justificar la urgencia el decreto-ley de la amnistía fiscal de 2012; la STC 73/2017 lo anuló porque «uno de los deberes cuya afectación está vedada al decreto-ley es el deber de contribuir al sostenimiento de los gastos públicos». La anulación por falta de urgencia es la de la STC 61/2018 (y la STC 14/2020), ya en el 07. - No entra (sin fila en el registro o sin fuente leída): los 40 decretos-leyes frente a 74 leyes (sin fuente oficial; van las cifras de la CEOE); los tres decretos-leyes derogados entre 2024 y 2026; «en menos de dos semanas» (la obra tiene las fechas de las votaciones, no la de la propuesta); «las cuatro reformas, sin referéndum»; que «casi nadie» reclame los intereses de demora; que el Banco de España «dejó de publicar» su nota del rescate; el IBI; los doce años de la financiación autonómica caducada; el 68,0 % del organigrama; el plan sanitario vencido en 2023; el 1,5 % y el 2,4 % del PIB de la infancia; los tipos al 17 %; el salario mediano y «casi cuatro veces»; que el Director General del Tesoro «emite la deuda»; los 77.437 millones hasta 2018 (la serie año por año está en 8.6). - Las defensas de la Biblioteca que no caben en el texto del cargo 10 van una por una, con su respuesta, en el nivel completo («Las demás defensas de este cargo»); las que los capítulos 2 y 8 prometen aquí están en todos los niveles. PARTE 4 (11.3, cargos 17 a 23), APROBADA por Kiko el 7-oct-2026 («si apruebo la parte cuatro»; conversación nueva, sin agentes ni descargas; libreta 75, 7 bis n.º 9). Al aprobarla, revisado párrafo por párrafo que no se perdiera nada: entraron en el cargo 20 la cláusula de buena fe (10.4) y el argumento del pliego (presumir para funcionar es reconocer que no se podría probar cada acto); en el 22, las cotizaciones del propio personal y el sueldo de militares y policías, que no se separan (8.6); en el 19, las «seis décimas» de la Autoridad Fiscal (8.3). Y en el cargo 10, a petición de Kiko, fuera «vuelven a la gente» (la tabla de 8.6 dice a qué va el gasto, no lo que se devuelve), con los cuatro euros de intereses por cada euro invertido (7.2, n.º 4): - Leído hoy en local: Ley 39/2015, arts. 47.1 y 53.2.b; Ley 40/2015, art. 3.1.e; Ley General Tributaria, art. 224.1; Ley 19/2013, arts. 2.1.f y 12; STC 76/1990, FJ 8 (la presunción de inocencia «rige sin excepciones en el ordenamiento sancionador»; las actas no tienen «una veracidad absoluta e indiscutible»). - Las promesas de otros capítulos, en todos los niveles: el capítulo 8, en el cargo 17 (la moneda sin respaldo y el banco central) y en el 22 (las omisiones: BOSCO, la franquicia y la gasolina); el capítulo 2, en el cargo 20 (no hay persona jurídica en mayúsculas ni fideicomiso secreto). Del capítulo 6 (cabecera), Espinosa va al cargo 22, traducido de su latín; Kant, no (sin fila). - Las demás defensas del cargo 19, una por una, en el nivel completo, como en el cargo 10. - Hallado al redactar: 22.00-13.11 dice que entre la presunción del agente y la del ciudadano «la del ciudadano debería prevalecer»; el Constitucional dijo que conviven, porque las actas admiten prueba en contra (STC 76/1990, FJ 8): así se dice. 20.00-35.15 da otra razón para la anulación de la Zona de Bajas Emisiones; va la de 7.5 («patente insuficiencia del informe de impacto económico»). 20.00-35.21 habla de «dos tributos» de la gasolina; va lo que dice 8.5. El 6,6 % de Clases Pasivas salía «cubierto» por coincidencia con otro dato del capítulo 9 (lección 31): rehecho a mano con las cifras de 8.6 (740.431 de 11.287.848 pensiones). - Repuesto el 7-oct (Kiko: «cuando acabes lo incorporas ya donde corresponda»), con lo leído al escribir el anexo B: en el cargo 19, el salario de 2025 y el 4,3 % de agosto de 2026 (B.5). La pieza decía «entre 0,7 y 0,9 puntos» por encima de la inflación; con el coste salarial medio de 2025 (+3,2 %) y la inflación media (2,7 %) son unas cinco décimas. - No entra (sin fila en el registro o sin fuente leída): la lectura de que quien recibe primero el dinero nuevo gasta a precios antiguos; las leyes 31/2022 y el Real Decreto-ley 4/2024 por su nombre, y que «algunas comunidades autónomas han actualizado su escala»; la década perdida de Japón; Kant y la publicidad como prueba de justicia; que el Banco de España «dejó de publicar» su nota del rescate; la plantilla de la Casa del Rey y los 105 millones de la Jefatura del Estado (anexo C); los 990,8 millones de publicidad institucional de 2019 a 2024, «la cifra más alta en casi dos décadas» y la comparación con el Reino Unido y Francia. PARTE 5 (11.3, cargos 24 a 28, los cinco nuevos), APROBADA por Kiko el 7-oct-2026 («si a las tres preguntas»: la parte, su «¿quién da la cara?» en el cargo 26 y Ex 23:8 entero en el cargo 24, también en el capítulo 3; conversación nueva, sin agentes ni descargas; libreta 75, 7 bis n.º 9). El pliego no tiene sección para estos cargos: la vara se toma de los capítulos aprobados (3.2, 5.2, 6.5 y 11.1), con la Reina-Valera Antigua: - Leído hoy en local: Constitución, arts. 9.3, 14, 31.1, 117.1, 124.4 y 133; Ley Orgánica del Tribunal Constitucional, art. 50.3 («especificarán el requisito incumplido»); Ex 23:8 entero en la Reina-Valera Antigua (c3), «y pervierte las palabras justas», para la vara del cargo 24 (Kiko: que hable de la verdad y la justicia). - Hallado: la fila del registro de 00.1-4.30 y 18.00-7.9 atribuye ese art. 50.3 a la Constitución; es de la Ley Orgánica del Tribunal Constitucional (libreta 76, lección 27). No es errata de la Biblioteca, que lo cita detrás del art. 50.1.b de esa ley. - Las promesas de otros capítulos, en todos los niveles: el 5, en los cargos 24 (el amparo) y 25 (las cotizaciones y la presión fiscal); el 6, en el 24 (el Tribunal de Cuentas); el 7, en el 24 (el freno que funcionó) y en el 27 (la ocupación y las visitas); el 2, en el 26 (las vías reales para reclamar); y el 8, en el 28 (la reconversión). - La lectura de Kiko «¿quién da la cara?» (libreta 75, 7 bis n.º 9), en el cargo 26, con los hechos de 11.2, n.º 17. - Con su fila, aunque no estaban en los capítulos: el 57,8 % de las inadmisiones de amparo por falta de especial trascendencia (Memoria 2025) y la «ninguna novedad» del GRECO de 2024 (c7b); las citas de la Ley 39/2015 (arts. 67.1 y 91.3) y de la Ley Orgánica del Poder Judicial (art. 293.1); el Convenio de Estambul (art. 48.1) y su instrumento de ratificación (c9d). - Sin erratas nuevas para el 07. - No entra (sin fila en el registro o sin fuente leída): la «mediación europea» y el «acuerdo amplio» de la renovación del Consejo General del Poder Judicial en 2024; la reforma fracasada en febrero de 2025; los cuatro magistrados del Constitucional con el mandato caducado desde diciembre de 2025 (en la investigación final de flecos del 7-oct se leyó que el mandato se cumplió el 10-III-2026: ficha del art. 159, anexo A); «ninguno de los grandes casos de corrupción»; los 40 decretos-leyes frente a 74 leyes; la tarifa plana de los autónomos; la gestoría de 700 a 1.500 euros; las 259 normas; «parte exentos de impuestos»; que las Clases Pasivas respondan a carreras largas; que no se haya localizado ninguna estadística de lo que la Administración repite contra su personal (va como pregunta y como límite honesto); «considerablemente cercenado» y «muy difícil su aplicación en la práctica»; que la directiva europea incluya los programas y la inteligencia artificial; «parte de la doctrina la critica»; que la entrada en la Comunidad Europea exigiera la reconversión; los criterios de entrada en el euro; los 1,5 billones de pesetas, los 83.000 empleos y los 430 días de Sagunto; y las «fianzas» del mito (no están ancladas en la edición). PARTE 6 (el cierre de 11.3, 11.4 a 11.6, el límite honesto, dónde se oye la defensa y «Para recordar»), APROBADA por Kiko el 7-oct (conversación nueva, sin agentes ni descargas; libreta 75, 7 bis n.º 9): - Leído hoy en local: Constitución, arts. 1.1, 50 y 87.3 (c5); Ex 3:7 (c10) y Stg 5:4 (ant/canon) en la Reina-Valera Antigua; Mt 13:9 en la Reina-Valera Antigua (c9g); Platón, República VII, 515c, en la traducción de Jowett (c9h); Catecismo, n.º 1867 (ant/canon: cinco clamores; la obra usa los tres que tocan al Estado); la nota de la Asociación de Directoras y Gerentes de Servicios Sociales de 10-4-2026 (c8c: la lista de espera sube en 13.389 personas). - DECIDIDO por Kiko (7-oct), tras parlamentar los pros y los contras: la dependencia entra en 11.6 como cuarto clamor, firmado como lectura del autor («quien no puede valerse por sí mismo es hoy la viuda y el huérfano del texto»), con el dato del derecho reconocido y no recibido (14.710), la lista que sube (Kiko: «ya de por sí es un hecho que clama al cielo»), el límite («murieron esperando», no «por esperar»), lo que no encaja (las muertes bajan) y la fuente, que no es una estadística oficial. No se usa «la sangre de Abel», el primer clamor del Catecismo: sería insinuar un homicidio sin prueba. Y «clama al cielo», no «lesa humanidad» (libreta 75, 7 ter n.º 2). - 11.4: las catorce defensas de la clasificación, trece aquí (la lectura de conjunto, 18.00-7.12, y la conclusión de conjunto, 34.00-13.12, son la misma y se responden una vez), con el orden de un cargo: presunción, vara, dónde está probado, pregunta, defensas, conclusión, límite honesto (remite al del capítulo 9), última palabra y respuesta. Las promesas de los capítulos 7 («El Estado cumple la mayoría» y «la lectura de conjunto»), 8 («la conclusión de conjunto» y el «salto») y 9 (las catorce), en todos los niveles. Para la pasada final (paso 4): los capítulos 7 y 8 dicen «en el veredicto (11.4)»; con el glosario 7.1, 11.4 es la defensa frente al dictamen (HECHO el 7-oct). - 11.5: las 24 preguntas del catálogo (00.1), por destinatario; las once que repiten la pregunta de un cargo, solo nombradas. El capítulo 5 dice «Las veinticinco preguntas, ordenadas por destinatario, están en 11.5»: son 24 (las 25 maniobras de 5.1 no tienen una pregunta cada una); al aprobarse, el 5 dirá «Las preguntas, ordenadas por destinatario, están en 11.5». - 11.6: el llamamiento breve y la invitación a los ángeles que el capítulo 2 remite aquí; «esto clama al cielo», con el texto del glosario 9.3, y el «último aviso», una sola vez en toda la obra; sin «lesa humanidad» (8.1; libreta 75, 7 ter n.º 2). Los tres clamores del Catecismo (0.3), con hechos ya probados: el cobro blindado (7.6), la infancia (7.5) y la jornada y el mínimo exento (8.3; 5.1, n.º 5); y la dependencia (8.5, n.º 7), como cuarto clamor del autor (arriba). - El cierre de 11.3: 37.00-37.1 con veintiocho cargos, y la lectura de Kiko sobre la presunción y el honor (libreta 75, 7 ter n.º 1), sin lo que falta leer en su original. La 7 ter n.º 3 (la documentación para el juicio) y la n.º 4 (la piedra que sostiene la obra), al parlamento final. - Hallado: Mt 11:15 va en 7.5 y 8.6 con las palabras de la Reina-Valera de 1960 («para oír»); la Reina-Valera Antigua dice «para oir» (c9g). Corregido al aprobarse, como el «veinticinco» del capítulo 5. La cita de Mc 10:45 de 00.00-13.1 va con Mt 20:28, que tiene esas palabras y ya está leído (3.6); Mc 10:45 no se ha leído (12-oct-2026: leído después en la Reina-Valera Antigua; dice lo mismo). - No entra (sin fila en el registro o sin fuente leída): que la revisión total «nunca se ha activado», el «autobloqueo», «las cuatro reformas, sin referéndum» y «en menos de dos semanas» (17.00-244.1 y 244.2; 18.00-7.11); la reserva de 1983 a la Convención sobre la mujer (17.00-244.3); el «récord» de reclamaciones de 2025; «cuando los sociólogos esperaban lo contrario»; la «red de conflictos de interés» de Islandia; los cargos históricos del Pilar 10 (al anexo D); el séptimo sello (Ap 8:1: aquí no entra; lo que dice el texto, leído en la Reina-Valera Antigua y en el griego, está en 3.7); Mc 10:45 (leído después, el 12-oct-2026: dice lo mismo que Mt 20:28); que las tradiciones convergen en el honor, y la historia de los títulos de nobleza; la etimología de «ángel» (sin fila); las remisiones a libretas internas (00.00-12.5 y 13.4). Remisiones (hacia atrás): el orden de las leyes (1.2); la convergencia y sus contrapesos (1.4); el juez en su propia causa (1.7); la persona ficta (2.1); Kant (2.4); los mitos (2.6); las tradiciones (capítulo 3); el mal sin cuerpo y su límite honesto (capítulo 4; 4.1, Robbers Cave; 4.4, la fórmula); la presunción (0.4 y capítulo 5; 5.1, n.º 7 y 19; la misma vara, 5.2); Hobbes (6.1); Montevideo y Hutt River (6.2); Weber y Cádiz (6.3); la Ley Fundamental alemana (6.5); la auditoría (7.1, 7.2, 7.4, 7.5 y 7.7); el patrón sin intención (8.1); las citas sobre el dinero (8.2); la dependencia, BOSCO y los aforados (8.5); la ilusión del declive (8.9); las puertas, el Registro y el juicio en breve (0.2, 10.2, 10.4 y 10.8). Conceptos que ancla: el juicio popular de la verdad, entero (11.1); el pliego de cargos y el cargo (11.1); la última palabra (11.1); las cuestiones previas (11.2); la defensa frente al dictamen (11.4); las preguntas para el juicio, las preguntas para el relevo y el relevo (11.5); el llamamiento, lo que clama al cielo y el último aviso (11.6). Cambio del 7-oct-2026 (investigación final de flecos; Kiko, «sí»): el art. 159 sigue incumpliéndose, pero sin declaración formal externa (ni los mandatos cumplidos ni el Auto 177/2022 cumplen la definición de 7.1), y el recuento baja de 24 a 23 (en el bien común 14 y en el organigrama 9). Anotado en el registro, en el 07 y en las libretas. Cambio del 8-oct-2026 (Kiko, «sí, hazlo así»): los arts. 7 y 110 pasan de INCUMPLE a PENDIENTE; el recuento es 93 / 70 / 6, el organigrama del poder incumple en el 28,2 % y el freno actúa en el 25,64 % de sus casos (10 de 39). Cambia en 7.1, 7.4, el capítulo 5, el 10, el 11, G y A. Cambio del 8-oct-2026 (aviso PASO 4.8; Kiko, «Si lo paso a PENDIENTE», con «falta de datos disponibles al público, auditables»): el art. 111 pasa de INCUMPLE a PENDIENTE; el recuento es 93 / 69 / 7, el organigrama del poder incumple en el 27,2 % (28 de 103) y el freno actúa en el 26,32 % de sus casos (10 de 38). Cambia en 7.1, 7.4, el capítulo 5, el 10, el 11, G y A. Cambio del 8-oct-2026 (aplicación de la investigación final de flecos, 05e; Kiko: «todo lo rescatado con fuente se aplica a la obra»): cargo 2 (la reserva de 1983 a la Convención sobre la mujer), cargo 1 (la Ley 60/2003 de Arbitraje), cargo 6 (el salario mediano y «casi cuatro veces»; los 105 millones de la Jefatura del Estado y la plantilla civil de la Casa), cargo 8 (la Comisión de Modernización del Lenguaje Jurídico), cargo 12 (al menos siete decretos-leyes derogados, no tres), cargo 22 (la plantilla de la Casa se publica), cargo 25 (la cuota reducida del autónomo, sin los 80 euros salvo en Cuenca, Soria y Teruel) y cargo 26 (la STS 291/2022: el mandato es de 2015).</w:t>
      </w:r>
    </w:p>
    <w:p>
      <w:pPr>
        <w:pBdr>
          <w:left w:val="single" w:sz="24" w:space="6" w:color="E2DED6"/>
        </w:pBdr>
        <w:shd w:val="clear" w:color="auto" w:fill="F1EEE8"/>
        <w:spacing w:before="80" w:after="160"/>
        <w:ind w:left="142" w:right="142"/>
      </w:pPr>
      <w:r>
        <w:rPr>
          <w:b/>
        </w:rPr>
        <w:t>En pocas palabras:</w:t>
      </w:r>
    </w:p>
    <w:p>
      <w:pPr>
        <w:pStyle w:val="ListBullet"/>
      </w:pPr>
      <w:r>
        <w:t>El juicio popular de la verdad es un tribunal de opinión: no tiene carácter oficial ni fuerza legal, y lo dice desde el principio. Juzga al Estado institución por institución, nunca a personas.</w:t>
      </w:r>
    </w:p>
    <w:p>
      <w:pPr>
        <w:pStyle w:val="ListBullet"/>
      </w:pPr>
      <w:r>
        <w:t>Antes de los cargos se oyen las objeciones del Estado al método y al propio juicio: las cuestiones previas. Cada una, en su mejor forma, se responde una sola vez.</w:t>
      </w:r>
    </w:p>
    <w:p>
      <w:pPr>
        <w:pStyle w:val="ListBullet"/>
      </w:pPr>
      <w:r>
        <w:t>Después, los cargos. Cada uno es una presunción que el Estado da por cierta; se mide con la ley de Dios, las tradiciones y su propia ley, se oye su defensa en su propia jerga y se le responde, primero con su propia ley.</w:t>
      </w:r>
    </w:p>
    <w:p>
      <w:pPr>
        <w:pStyle w:val="ListBullet"/>
      </w:pPr>
      <w:r>
        <w:t>Cada cargo se cierra con la última palabra: la que la ley concede a todo acusado.</w:t>
      </w:r>
    </w:p>
    <w:p>
      <w:pPr>
        <w:pStyle w:val="ListBullet"/>
      </w:pPr>
      <w:r>
        <w:t>Frente al dictamen de la obra, el Estado tiene trece objeciones. La obra concede lo que es cierto, y lo que queda en pie es la misma vara.</w:t>
      </w:r>
    </w:p>
    <w:p>
      <w:pPr>
        <w:pStyle w:val="ListBullet"/>
      </w:pPr>
      <w:r>
        <w:t>El juicio termina con las preguntas, que cualquiera puede enviar ya, y con un llamamiento: no a acusar, sino a comprobar, a rectificar y a dejar constancia.</w:t>
      </w:r>
    </w:p>
    <w:p>
      <w:pPr>
        <w:pStyle w:val="Heading2"/>
      </w:pPr>
      <w:r>
        <w:t>11.0 Propósito</w:t>
      </w:r>
    </w:p>
    <w:p>
      <w:r>
        <w:t>Los capítulos 7, 8 y 9 midieron y dictaminaron, y el 10 abrió las puertas. En cada uno quedó lo que la obra concede, con el rótulo «Límite honesto de la prueba», y una línea que remitía aquí: la defensa del Estado se oye en el juicio. Este capítulo reúne esas defensas y les responde, una sola vez cada una.</w:t>
      </w:r>
    </w:p>
    <w:p>
      <w:r>
        <w:rPr>
          <w:b/>
        </w:rPr>
        <w:t>Cómo se lee.</w:t>
      </w:r>
      <w:r>
        <w:t xml:space="preserve"> Primero, qué es el juicio y cómo se hace (</w:t>
      </w:r>
      <w:r>
        <w:t>11.1</w:t>
      </w:r>
      <w:r>
        <w:t>). Después, las objeciones al método y al propio juicio, que se resuelven antes de entrar en los cargos (</w:t>
      </w:r>
      <w:r>
        <w:t>11.2</w:t>
      </w:r>
      <w:r>
        <w:t>). Luego, los cargos, uno por uno (</w:t>
      </w:r>
      <w:r>
        <w:t>11.3</w:t>
      </w:r>
      <w:r>
        <w:t>); la defensa frente al dictamen (</w:t>
      </w:r>
      <w:r>
        <w:t>11.4</w:t>
      </w:r>
      <w:r>
        <w:t>); las preguntas para el juicio y el relevo (</w:t>
      </w:r>
      <w:r>
        <w:t>11.5</w:t>
      </w:r>
      <w:r>
        <w:t>); y el llamamiento (</w:t>
      </w:r>
      <w:r>
        <w:t>11.6</w:t>
      </w:r>
      <w:r>
        <w:t>).</w:t>
      </w:r>
    </w:p>
    <w:p>
      <w:r>
        <w:rPr>
          <w:b/>
        </w:rPr>
        <w:t>Lo que este capítulo no hace.</w:t>
      </w:r>
      <w:r>
        <w:t xml:space="preserve"> No juzga a personas ni a colectivos, sino instituciones y diseños legales. No dicta sentencia con fuerza de ley ni exime de ninguna obligación vigente</w:t>
      </w:r>
      <w:r>
        <w:t xml:space="preserve"> (Constitución, art. 9.1)</w:t>
      </w:r>
      <w:r>
        <w:t>. Y la defensa del Estado que aquí se escribe es la mejor que la obra ha sabido construir, no una caricatura: en palabras del autor, «una tortilla necesita sus dos caras».</w:t>
      </w:r>
    </w:p>
    <w:p>
      <w:r>
        <w:t>Este capítulo dice:</w:t>
      </w:r>
    </w:p>
    <w:p>
      <w:pPr>
        <w:pStyle w:val="ListBullet"/>
      </w:pPr>
      <w:r>
        <w:rPr>
          <w:b/>
        </w:rPr>
        <w:t>11.1</w:t>
      </w:r>
      <w:r>
        <w:t xml:space="preserve"> qué es el juicio y cómo se hace;</w:t>
      </w:r>
    </w:p>
    <w:p>
      <w:pPr>
        <w:pStyle w:val="ListBullet"/>
      </w:pPr>
      <w:r>
        <w:rPr>
          <w:b/>
        </w:rPr>
        <w:t>11.2</w:t>
      </w:r>
      <w:r>
        <w:t xml:space="preserve"> las cuestiones previas;</w:t>
      </w:r>
    </w:p>
    <w:p>
      <w:pPr>
        <w:pStyle w:val="ListBullet"/>
      </w:pPr>
      <w:r>
        <w:rPr>
          <w:b/>
        </w:rPr>
        <w:t>11.3</w:t>
      </w:r>
      <w:r>
        <w:t xml:space="preserve"> los cargos;</w:t>
      </w:r>
    </w:p>
    <w:p>
      <w:pPr>
        <w:pStyle w:val="ListBullet"/>
      </w:pPr>
      <w:r>
        <w:rPr>
          <w:b/>
        </w:rPr>
        <w:t>11.4</w:t>
      </w:r>
      <w:r>
        <w:t xml:space="preserve"> la defensa frente al dictamen;</w:t>
      </w:r>
    </w:p>
    <w:p>
      <w:pPr>
        <w:pStyle w:val="ListBullet"/>
      </w:pPr>
      <w:r>
        <w:rPr>
          <w:b/>
        </w:rPr>
        <w:t>11.5</w:t>
      </w:r>
      <w:r>
        <w:t xml:space="preserve"> las preguntas para el juicio y el relevo;</w:t>
      </w:r>
    </w:p>
    <w:p>
      <w:pPr>
        <w:pStyle w:val="ListBullet"/>
      </w:pPr>
      <w:r>
        <w:rPr>
          <w:b/>
        </w:rPr>
        <w:t>11.6</w:t>
      </w:r>
      <w:r>
        <w:t xml:space="preserve"> y el llamamiento.</w:t>
      </w:r>
    </w:p>
    <w:p>
      <w:pPr>
        <w:pStyle w:val="Heading2"/>
      </w:pPr>
      <w:r>
        <w:t>11.1 Qué es y cómo se hace</w:t>
      </w:r>
    </w:p>
    <w:p>
      <w:pPr>
        <w:pBdr>
          <w:left w:val="single" w:sz="24" w:space="6" w:color="E2DED6"/>
        </w:pBdr>
        <w:shd w:val="clear" w:color="auto" w:fill="F1EEE8"/>
        <w:spacing w:before="80" w:after="160"/>
        <w:ind w:left="142" w:right="142"/>
      </w:pPr>
      <w:r>
        <w:rPr>
          <w:b/>
        </w:rPr>
        <w:t>La idea: el juicio popular de la verdad es un tribunal de opinión que juzga al Estado cargo por cargo, con sus reglas a la vista: cada cargo con su prueba, la defensa del Estado en su propia jerga, la respuesta de la obra y la última palabra para la institución. El jurado se elige por sorteo y su imparcialidad se mide por los frutos: voto razonado por escrito y público, exclusión por conflicto de interés caso a caso, recusación también por la institución juzgada y ningún examen de ideas.</w:t>
      </w:r>
    </w:p>
    <w:p>
      <w:r>
        <w:rPr>
          <w:b/>
        </w:rPr>
        <w:t>Qué es.</w:t>
      </w:r>
      <w:r>
        <w:t xml:space="preserve"> Un tribunal de opinión, sin carácter oficial y sin fuerza legal, que lo declara desde el principio. Un jurado elegido por sorteo, con todas las generaciones representadas, juzga al Estado acusación por acusación, institución por institución, y nunca a personas con nombre. Se invita a medios independientes, elegidos por su pluralidad y su transparencia, y se envía constancia a las instituciones nacionales e internacionales para que respondan. Es una propuesta del autor, como el Registro de los frutos del que se alimenta (</w:t>
      </w:r>
      <w:r>
        <w:t>10.8</w:t>
      </w:r>
      <w:r>
        <w:t xml:space="preserve">). Lo que ya existe está en este capítulo: los cargos, sus defensas y las preguntas, por escrito. </w:t>
      </w:r>
      <w:r>
        <w:t>[00.00-10.5; 37.00-0.0.2; glosario 8.10]</w:t>
      </w:r>
    </w:p>
    <w:p>
      <w:r>
        <w:rPr>
          <w:b/>
        </w:rPr>
        <w:t>La documentación del juicio.</w:t>
      </w:r>
      <w:r>
        <w:t xml:space="preserve"> Todo juicio se apoya en documentos, y a lo que se aporta con ellos la ley lo llama «la prueba documental»</w:t>
      </w:r>
      <w:r>
        <w:t xml:space="preserve"> (Ley de Enjuiciamiento Civil, art. 289.3)</w:t>
      </w:r>
      <w:r>
        <w:t>. Y pide que a toda demanda o contestación «habrán de acompañarse» «los documentos en que las partes funden su derecho a la tutela judicial que pretenden»</w:t>
      </w:r>
      <w:r>
        <w:t xml:space="preserve"> (Ley de Enjuiciamiento Civil, art. 265.1.1.º)</w:t>
      </w:r>
      <w:r>
        <w:br/>
      </w:r>
      <w:r>
        <w:rPr>
          <w:b/>
        </w:rPr>
        <w:t>leída en su fuente · Ley de Enjuiciamiento Civil, art. 265.1.1.º</w:t>
      </w:r>
      <w:r>
        <w:br/>
      </w:r>
      <w:r>
        <w:rPr>
          <w:b/>
        </w:rPr>
        <w:t>Archivo leído:</w:t>
      </w:r>
      <w:r>
        <w:t xml:space="preserve"> lec_ley1_2000.html (c5\lec_ley1_2000.html) · contraste del archivo de pasajes: ✔</w:t>
      </w:r>
      <w:r>
        <w:br/>
      </w:r>
      <w:r>
        <w:rPr>
          <w:b/>
        </w:rPr>
        <w:t>Lugar:</w:t>
      </w:r>
      <w:r>
        <w:t xml:space="preserve"> Ley de Enjuiciamiento Civil, art. 265.1.1.º</w:t>
      </w:r>
      <w:r>
        <w:br/>
      </w:r>
      <w:r>
        <w:rPr>
          <w:b/>
        </w:rPr>
        <w:t>Tal como está en la fuente:</w:t>
      </w:r>
      <w:r>
        <w:t xml:space="preserve"> los documentos en que las partes funden su derecho a la tutela judicial que pretenden</w:t>
      </w:r>
      <w:r>
        <w:t>. Lo que consta en un archivo del que se pueden obtener copias no se señala sin más: la parte «deberá acompañarlo a la demanda, sin que pueda limitarse a efectuar la designación»</w:t>
      </w:r>
      <w:r>
        <w:t xml:space="preserve"> (Ley de Enjuiciamiento Civil, art. 265.2)</w:t>
      </w:r>
      <w:r>
        <w:br/>
      </w:r>
      <w:r>
        <w:rPr>
          <w:b/>
        </w:rPr>
        <w:t>leída en su fuente · Ley de Enjuiciamiento Civil, art. 265.2</w:t>
      </w:r>
      <w:r>
        <w:br/>
      </w:r>
      <w:r>
        <w:rPr>
          <w:b/>
        </w:rPr>
        <w:t>Archivo leído:</w:t>
      </w:r>
      <w:r>
        <w:t xml:space="preserve"> lec_ley1_2000.html (c5\lec_ley1_2000.html) · contraste del archivo de pasajes: ✔</w:t>
      </w:r>
      <w:r>
        <w:br/>
      </w:r>
      <w:r>
        <w:rPr>
          <w:b/>
        </w:rPr>
        <w:t>Lugar:</w:t>
      </w:r>
      <w:r>
        <w:t xml:space="preserve"> Ley de Enjuiciamiento Civil, art. 265.2</w:t>
      </w:r>
      <w:r>
        <w:br/>
      </w:r>
      <w:r>
        <w:rPr>
          <w:b/>
        </w:rPr>
        <w:t>Tal como está en la fuente:</w:t>
      </w:r>
      <w:r>
        <w:t xml:space="preserve"> deberá acompañarlo a la demanda, sin que pueda limitarse a efectuar la designación</w:t>
      </w:r>
      <w:r>
        <w:t>. Esta ley regula los procesos civiles y no rige este juicio: de ella se toma la forma, no la fuerza.</w:t>
      </w:r>
    </w:p>
    <w:p>
      <w:r>
        <w:t>La documentación de este juicio es la obra entera, y es su prueba documental. Cada afirmación lleva su fuente (</w:t>
      </w:r>
      <w:r>
        <w:t>0.2</w:t>
      </w:r>
      <w:r>
        <w:t>), y lo que está en un texto público no solo se señala: se acompaña, con su pasaje literal en el nivel «La prueba» (</w:t>
      </w:r>
      <w:r>
        <w:t>0.3</w:t>
      </w:r>
      <w:r>
        <w:t>). No es una documentación nueva ni de una persona: son las tradiciones que la humanidad guardó (</w:t>
      </w:r>
      <w:r>
        <w:t>capítulo 3</w:t>
      </w:r>
      <w:r>
        <w:t>), las leyes del propio Estado (</w:t>
      </w:r>
      <w:r>
        <w:t>capítulo 7</w:t>
      </w:r>
      <w:r>
        <w:t>) y los datos de sus propios organismos (</w:t>
      </w:r>
      <w:r>
        <w:t>capítulo 8</w:t>
      </w:r>
      <w:r>
        <w:t>). El autor no aporta opinión, aporta orden, y su lectura va aparte y marcada. El jurado y la institución juzgada tienen delante los mismos documentos, y cada cargo trae la mejor defensa del Estado (</w:t>
      </w:r>
      <w:r>
        <w:t>11.3</w:t>
      </w:r>
      <w:r>
        <w:t xml:space="preserve">). Quien quiera hacerla llegar por escrito a quien corresponde, tiene las puertas del </w:t>
      </w:r>
      <w:r>
        <w:t>capítulo 10</w:t>
      </w:r>
      <w:r>
        <w:t xml:space="preserve"> (</w:t>
      </w:r>
      <w:r>
        <w:t>10.4</w:t>
      </w:r>
      <w:r>
        <w:t>), y la Constitución reconoce que la petición sea «individual y colectiva, por escrito»</w:t>
      </w:r>
      <w:r>
        <w:t xml:space="preserve"> (Constitución, art. 29.1)</w:t>
      </w:r>
      <w:r>
        <w:br/>
      </w:r>
      <w:r>
        <w:rPr>
          <w:b/>
        </w:rPr>
        <w:t>leída en su fuente · Constitución, art. 29.1</w:t>
      </w:r>
      <w:r>
        <w:br/>
      </w:r>
      <w:r>
        <w:rPr>
          <w:b/>
        </w:rPr>
        <w:t>Archivo leído:</w:t>
      </w:r>
      <w:r>
        <w:t xml:space="preserve"> ce.html (ant\c1\ce.html) · contraste del archivo de pasajes: ✔</w:t>
      </w:r>
      <w:r>
        <w:br/>
      </w:r>
      <w:r>
        <w:rPr>
          <w:b/>
        </w:rPr>
        <w:t>Lugar:</w:t>
      </w:r>
      <w:r>
        <w:t xml:space="preserve"> Constitución (BOE, texto consolidado) · art. 29</w:t>
      </w:r>
      <w:r>
        <w:br/>
      </w:r>
      <w:r>
        <w:rPr>
          <w:b/>
        </w:rPr>
        <w:t>Tal como está en la fuente:</w:t>
      </w:r>
      <w:r>
        <w:t xml:space="preserve"> Todos los españoles tendrán el derecho de petición individual y colectiva, por escrito, en la forma y con los efectos que determine la ley.</w:t>
      </w:r>
      <w:r>
        <w:t>.</w:t>
      </w:r>
    </w:p>
    <w:p>
      <w:r>
        <w:rPr>
          <w:b/>
        </w:rPr>
        <w:t>Lectura del autor:</w:t>
      </w:r>
      <w:r>
        <w:t xml:space="preserve"> «La documentación para el juicio, aportada por la humanidad, para el Estado y su sistema»: eso es esta obra, su prueba documental. No sale del sistema ni lo desobedece (</w:t>
      </w:r>
      <w:r>
        <w:t>5.4</w:t>
      </w:r>
      <w:r>
        <w:t>): le presenta la prueba, a la vista de todos, para que la vea el jurado y la vea el Estado.</w:t>
      </w:r>
    </w:p>
    <w:p>
      <w:r>
        <w:t>[palabras de Kiko, 6-oct-2026 (libreta 75, 7 ter n.º 3); 03b, A4; Ley de Enjuiciamiento Civil, Constitución, leídas en el texto consolidado del BOE, en local (c5)]</w:t>
      </w:r>
    </w:p>
    <w:p>
      <w:r>
        <w:rPr>
          <w:b/>
        </w:rPr>
        <w:t>Las reglas del jurado.</w:t>
      </w:r>
      <w:r>
        <w:t xml:space="preserve"> Un jurado es creíble si es imparcial, y la imparcialidad no se declara: se mide por los frutos y se asegura con reglas escritas. Son cuatro. Tres ya las tiene el jurado de la propia ley, que es la misma vara (</w:t>
      </w:r>
      <w:r>
        <w:t>5.2</w:t>
      </w:r>
      <w:r>
        <w:t xml:space="preserve">); la cuarta la pide la Constitución para todos. </w:t>
      </w:r>
      <w:r>
        <w:t>[palabras de Kiko, 7-oct-2026 («sí para las dos»); 04p, fila 37; 03b, A2]</w:t>
      </w:r>
    </w:p>
    <w:p>
      <w:r>
        <w:rPr>
          <w:b/>
        </w:rPr>
        <w:t>1. Cada voto se razona por escrito y es público.</w:t>
      </w:r>
      <w:r>
        <w:t xml:space="preserve"> Cada jurado dice por qué vota lo que vota, y lo escrito se publica con el veredicto en el Registro de los frutos (</w:t>
      </w:r>
      <w:r>
        <w:t>10.8</w:t>
      </w:r>
      <w:r>
        <w:t>). Así la imparcialidad se mide por sus frutos: por lo que cada voto dice, no por quién lo da (</w:t>
      </w:r>
      <w:r>
        <w:t>0.5</w:t>
      </w:r>
      <w:r>
        <w:t>). La ley ya lo pide a su jurado: el acta del veredicto «contendrá una sucinta explicación de las razones por las que han declarado o rechazado declarar determinados hechos como probados»</w:t>
      </w:r>
      <w:r>
        <w:t xml:space="preserve"> (Ley Orgánica 5/1995, art. 61.1.d)</w:t>
      </w:r>
      <w:r>
        <w:br/>
      </w:r>
      <w:r>
        <w:rPr>
          <w:b/>
        </w:rPr>
        <w:t>leída en su fuente · Ley Orgánica 5/1995, art. 61.1.d</w:t>
      </w:r>
      <w:r>
        <w:br/>
      </w:r>
      <w:r>
        <w:rPr>
          <w:b/>
        </w:rPr>
        <w:t>Archivo leído:</w:t>
      </w:r>
      <w:r>
        <w:t xml:space="preserve"> BOE-A-1995-12095_LO_5-1995_Jurado_consolidado.html (c9f\boe_codigos_electronicos\038_Codigo_Penal_y_legislacion_complementaria.pdf; c9d\BOE-A-1995-12095_LO_5-1995_Jurado_consolidado.html) · contraste del archivo de pasajes: ✔</w:t>
      </w:r>
      <w:r>
        <w:br/>
      </w:r>
      <w:r>
        <w:rPr>
          <w:b/>
        </w:rPr>
        <w:t>Lugar:</w:t>
      </w:r>
      <w:r>
        <w:t xml:space="preserve"> Ley Orgánica 5/1995, art. 61.1.d</w:t>
      </w:r>
      <w:r>
        <w:br/>
      </w:r>
      <w:r>
        <w:rPr>
          <w:b/>
        </w:rPr>
        <w:t>Tal como está en la fuente:</w:t>
      </w:r>
      <w:r>
        <w:t xml:space="preserve"> contendrá una sucinta explicación de las razones por las que han declarado o rechazado declarar determinados hechos como probados</w:t>
      </w:r>
      <w:r>
        <w:t>; y a todo juez: «Las sentencias serán siempre motivadas y se pronunciarán en audiencia pública»</w:t>
      </w:r>
      <w:r>
        <w:t xml:space="preserve"> (Constitución, art. 120.3)</w:t>
      </w:r>
      <w:r>
        <w:br/>
      </w:r>
      <w:r>
        <w:rPr>
          <w:b/>
        </w:rPr>
        <w:t>leída en su fuente · Constitución, art. 120.3</w:t>
      </w:r>
      <w:r>
        <w:br/>
      </w:r>
      <w:r>
        <w:rPr>
          <w:b/>
        </w:rPr>
        <w:t>Archivo leído:</w:t>
      </w:r>
      <w:r>
        <w:t xml:space="preserve"> ce.html (ant\c1\ce.html) · contraste del archivo de pasajes: ✔</w:t>
      </w:r>
      <w:r>
        <w:br/>
      </w:r>
      <w:r>
        <w:rPr>
          <w:b/>
        </w:rPr>
        <w:t>Lugar:</w:t>
      </w:r>
      <w:r>
        <w:t xml:space="preserve"> Constitución, art. 120.3</w:t>
      </w:r>
      <w:r>
        <w:br/>
      </w:r>
      <w:r>
        <w:rPr>
          <w:b/>
        </w:rPr>
        <w:t>Tal como está en la fuente:</w:t>
      </w:r>
      <w:r>
        <w:t xml:space="preserve"> Las sentencias serán siempre motivadas y se pronunciarán en audiencia pública</w:t>
      </w:r>
      <w:r>
        <w:t>. La diferencia es una, y se dice: la ley guarda en secreto la deliberación de su jurado y razona el veredicto como cuerpo; la obra, que no juzga a personas ni impone penas, hace lo contrario y publica cada voto, porque lo que se juzga son cosas y la prueba es pública.</w:t>
      </w:r>
    </w:p>
    <w:p>
      <w:r>
        <w:rPr>
          <w:b/>
        </w:rPr>
        <w:t>2. Nadie juzga donde tiene interés.</w:t>
      </w:r>
      <w:r>
        <w:t xml:space="preserve"> Queda excluido, caso a caso, quien tenga interés directo o indirecto en el cargo que se juzga, o con la institución juzgada una relación de las que obligan a un juez a apartarse. Es lo que la ley prohíbe a su jurado: formar parte del tribunal quien «Tenga interés, directo o indirecto, en la causa»</w:t>
      </w:r>
      <w:r>
        <w:t xml:space="preserve"> (Ley Orgánica 5/1995, art. 11.5)</w:t>
      </w:r>
      <w:r>
        <w:br/>
      </w:r>
      <w:r>
        <w:rPr>
          <w:b/>
        </w:rPr>
        <w:t>leída en su fuente · Ley Orgánica 5/1995, art. 11.5</w:t>
      </w:r>
      <w:r>
        <w:br/>
      </w:r>
      <w:r>
        <w:rPr>
          <w:b/>
        </w:rPr>
        <w:t>Archivo leído:</w:t>
      </w:r>
      <w:r>
        <w:t xml:space="preserve"> BOE-A-1995-12095_LO_5-1995_Jurado_consolidado.html (c9d\BOE-A-1995-12095_LO_5-1995_Jurado_consolidado.html) · contraste del archivo de pasajes: ✔</w:t>
      </w:r>
      <w:r>
        <w:br/>
      </w:r>
      <w:r>
        <w:rPr>
          <w:b/>
        </w:rPr>
        <w:t>Lugar:</w:t>
      </w:r>
      <w:r>
        <w:t xml:space="preserve"> Ley Orgánica 5/1995, art. 11.5</w:t>
      </w:r>
      <w:r>
        <w:br/>
      </w:r>
      <w:r>
        <w:rPr>
          <w:b/>
        </w:rPr>
        <w:t>Tal como está en la fuente:</w:t>
      </w:r>
      <w:r>
        <w:t xml:space="preserve"> Tenga interés, directo o indirecto, en la causa</w:t>
      </w:r>
      <w:r>
        <w:t>, o quien mantenga con una parte las relaciones que obligan a abstenerse a jueces y magistrados</w:t>
      </w:r>
      <w:r>
        <w:t xml:space="preserve"> (Ley Orgánica 5/1995, art. 11.2)</w:t>
      </w:r>
      <w:r>
        <w:t>. Caso a caso: se mira el cargo y la persona, nunca el colectivo (</w:t>
      </w:r>
      <w:r>
        <w:t>10.3</w:t>
      </w:r>
      <w:r>
        <w:t>). Cobrar del Estado, como más de tres millones de empleados públicos y once millones de pensiones (</w:t>
      </w:r>
      <w:r>
        <w:t>8.6</w:t>
      </w:r>
      <w:r>
        <w:t>), no es conflicto: es ser el pueblo.</w:t>
      </w:r>
    </w:p>
    <w:p>
      <w:r>
        <w:rPr>
          <w:b/>
        </w:rPr>
        <w:t>3. La institución juzgada también puede recusar.</w:t>
      </w:r>
      <w:r>
        <w:t xml:space="preserve"> Como cualquier parte ante el jurado de la ley: «las partes podrán recusar a aquellos en quienes afirmen concurre causa de incapacidad, incompatibilidad o prohibición»</w:t>
      </w:r>
      <w:r>
        <w:t xml:space="preserve"> (Ley Orgánica 5/1995, art. 38.3)</w:t>
      </w:r>
      <w:r>
        <w:br/>
      </w:r>
      <w:r>
        <w:rPr>
          <w:b/>
        </w:rPr>
        <w:t>leída en su fuente · Ley Orgánica 5/1995, art. 38.3</w:t>
      </w:r>
      <w:r>
        <w:br/>
      </w:r>
      <w:r>
        <w:rPr>
          <w:b/>
        </w:rPr>
        <w:t>Archivo leído:</w:t>
      </w:r>
      <w:r>
        <w:t xml:space="preserve"> BOE-A-1995-12095_LO_5-1995_Jurado_consolidado.html (c9d\BOE-A-1995-12095_LO_5-1995_Jurado_consolidado.html) · contraste del archivo de pasajes: ✔</w:t>
      </w:r>
      <w:r>
        <w:br/>
      </w:r>
      <w:r>
        <w:rPr>
          <w:b/>
        </w:rPr>
        <w:t>Lugar:</w:t>
      </w:r>
      <w:r>
        <w:t xml:space="preserve"> Ley Orgánica 5/1995, art. 38.3</w:t>
      </w:r>
      <w:r>
        <w:br/>
      </w:r>
      <w:r>
        <w:rPr>
          <w:b/>
        </w:rPr>
        <w:t>Tal como está en la fuente:</w:t>
      </w:r>
      <w:r>
        <w:t xml:space="preserve"> las partes podrán recusar a aquellos en quienes afirmen concurre causa de incapacidad, incompatibilidad o prohibición</w:t>
      </w:r>
      <w:r>
        <w:t>, y además hasta cuatro «sin alegación de motivo determinado»</w:t>
      </w:r>
      <w:r>
        <w:t xml:space="preserve"> (Ley Orgánica 5/1995, art. 40.3)</w:t>
      </w:r>
      <w:r>
        <w:br/>
      </w:r>
      <w:r>
        <w:rPr>
          <w:b/>
        </w:rPr>
        <w:t>leída en su fuente · Ley Orgánica 5/1995, art. 40.3</w:t>
      </w:r>
      <w:r>
        <w:br/>
      </w:r>
      <w:r>
        <w:rPr>
          <w:b/>
        </w:rPr>
        <w:t>Archivo leído:</w:t>
      </w:r>
      <w:r>
        <w:t xml:space="preserve"> BOE-A-1995-12095_LO_5-1995_Jurado_consolidado.html (c9d\BOE-A-1995-12095_LO_5-1995_Jurado_consolidado.html) · contraste del archivo de pasajes: ✔</w:t>
      </w:r>
      <w:r>
        <w:br/>
      </w:r>
      <w:r>
        <w:rPr>
          <w:b/>
        </w:rPr>
        <w:t>Lugar:</w:t>
      </w:r>
      <w:r>
        <w:t xml:space="preserve"> Ley Orgánica 5/1995, art. 40.3</w:t>
      </w:r>
      <w:r>
        <w:br/>
      </w:r>
      <w:r>
        <w:rPr>
          <w:b/>
        </w:rPr>
        <w:t>Tal como está en la fuente:</w:t>
      </w:r>
      <w:r>
        <w:t xml:space="preserve"> sin alegación de motivo determinado</w:t>
      </w:r>
      <w:r>
        <w:t>. La obra da a la institución lo que la ley da a todo acusado: recusar con causa, oída la persona, y recusar sin causa hasta ese mismo número. Las dos quedan registradas, con su motivo cuando lo haya.</w:t>
      </w:r>
    </w:p>
    <w:p>
      <w:r>
        <w:rPr>
          <w:b/>
        </w:rPr>
        <w:t>4. Ningún examen de ideas.</w:t>
      </w:r>
      <w:r>
        <w:t xml:space="preserve"> A ningún jurado se le pregunta qué piensa, qué cree ni a quién vota, y no se le somete a examen psicológico ni de ideas. Lo prohíbe la Constitución para todos: «Nadie podrá ser obligado a declarar sobre su ideología, religión o creencias»</w:t>
      </w:r>
      <w:r>
        <w:t xml:space="preserve"> (Constitución, art. 16.2)</w:t>
      </w:r>
      <w:r>
        <w:br/>
      </w:r>
      <w:r>
        <w:rPr>
          <w:b/>
        </w:rPr>
        <w:t>leída en su fuente · Constitución, art. 16.2</w:t>
      </w:r>
      <w:r>
        <w:br/>
      </w:r>
      <w:r>
        <w:rPr>
          <w:b/>
        </w:rPr>
        <w:t>Archivo leído:</w:t>
      </w:r>
      <w:r>
        <w:t xml:space="preserve"> ce.html (ant\c1\ce.html) · contraste del archivo de pasajes: ✔</w:t>
      </w:r>
      <w:r>
        <w:br/>
      </w:r>
      <w:r>
        <w:rPr>
          <w:b/>
        </w:rPr>
        <w:t>Lugar:</w:t>
      </w:r>
      <w:r>
        <w:t xml:space="preserve"> (paso 2 bis) regla: parecido alto con Constitución Española, art. 16 | texto de la fuente</w:t>
      </w:r>
      <w:r>
        <w:br/>
      </w:r>
      <w:r>
        <w:rPr>
          <w:b/>
        </w:rPr>
        <w:t>Tal como está en la fuente:</w:t>
      </w:r>
      <w:r>
        <w:t xml:space="preserve"> Artículo 16 1. Se garantiza la libertad ideológica, religiosa y de culto de los individuos y las comunidades sin más limitación, en sus manifestaciones, que la necesaria para el mantenimiento del orden público protegido por la ley. 2. Nadie podrá ser obligado a declarar sobre su ideología, religión o creencias. 3. Ninguna confesión tendrá carácter estatal. Los poderes públicos tendrán en cuenta la</w:t>
      </w:r>
      <w:r>
        <w:t>. La ley pide a su jurado cinco requisitos, y ninguno es de ideas</w:t>
      </w:r>
      <w:r>
        <w:t xml:space="preserve"> (Ley Orgánica 5/1995, art. 8)</w:t>
      </w:r>
      <w:r>
        <w:t>; {completo} son ser español mayor de edad, estar en el pleno ejercicio de los derechos políticos, saber leer y escribir, ser vecino de la provincia y «Contar con la aptitud suficiente para el desempeño de la función de jurado»</w:t>
      </w:r>
      <w:r>
        <w:t xml:space="preserve"> (Ley Orgánica 5/1995, art. 8.5)</w:t>
      </w:r>
      <w:r>
        <w:br/>
      </w:r>
      <w:r>
        <w:rPr>
          <w:b/>
        </w:rPr>
        <w:t>leída en su fuente · Ley Orgánica 5/1995, art. 8.5</w:t>
      </w:r>
      <w:r>
        <w:br/>
      </w:r>
      <w:r>
        <w:rPr>
          <w:b/>
        </w:rPr>
        <w:t>Archivo leído:</w:t>
      </w:r>
      <w:r>
        <w:t xml:space="preserve"> BOE-A-1995-12095_LO_5-1995_Jurado_consolidado.html (c9d\BOE-A-1995-12095_LO_5-1995_Jurado_consolidado.html) · contraste del archivo de pasajes: ✔</w:t>
      </w:r>
      <w:r>
        <w:br/>
      </w:r>
      <w:r>
        <w:rPr>
          <w:b/>
        </w:rPr>
        <w:t>Lugar:</w:t>
      </w:r>
      <w:r>
        <w:t xml:space="preserve"> (paso 2 bis) regla: parecido medio con Ley Orgánica 5/1995, del Jurado, art. 8; art. 13 | texto de la fuente</w:t>
      </w:r>
      <w:r>
        <w:br/>
      </w:r>
      <w:r>
        <w:rPr>
          <w:b/>
        </w:rPr>
        <w:t>Tal como está en la fuente:</w:t>
      </w:r>
      <w:r>
        <w:t xml:space="preserve"> Artículo 8. Requisitos para ser jurado. Son requisitos para ser jurado: 1. Ser español mayor de edad. 2. Encontrarse en el pleno ejercicio de sus derechos políticos. 3. Saber leer y escribir. 4. Ser vecino, al tiempo de la designación, de cualquiera de los municipios de la provincia en que el delito se hubiere cometido. 5. Contar con la aptitud suficiente para el desempeño de la función de jurado.</w:t>
      </w:r>
      <w:r>
        <w:t>. Lo que se le pide es lo que jura el jurado de la ley: «desempeñar bien y fielmente la función del jurado, con imparcialidad, sin odio ni afecto»</w:t>
      </w:r>
      <w:r>
        <w:t xml:space="preserve"> (Ley Orgánica 5/1995, art. 41.1)</w:t>
      </w:r>
      <w:r>
        <w:br/>
      </w:r>
      <w:r>
        <w:rPr>
          <w:b/>
        </w:rPr>
        <w:t>leída en su fuente · Ley Orgánica 5/1995, art. 41.1</w:t>
      </w:r>
      <w:r>
        <w:br/>
      </w:r>
      <w:r>
        <w:rPr>
          <w:b/>
        </w:rPr>
        <w:t>Archivo leído:</w:t>
      </w:r>
      <w:r>
        <w:t xml:space="preserve"> BOE-A-1995-12095_LO_5-1995_Jurado_consolidado.html (c9d\BOE-A-1995-12095_LO_5-1995_Jurado_consolidado.html) · contraste del archivo de pasajes: ✔</w:t>
      </w:r>
      <w:r>
        <w:br/>
      </w:r>
      <w:r>
        <w:rPr>
          <w:b/>
        </w:rPr>
        <w:t>Lugar:</w:t>
      </w:r>
      <w:r>
        <w:t xml:space="preserve"> Ley Orgánica 5/1995, art. 41.1</w:t>
      </w:r>
      <w:r>
        <w:br/>
      </w:r>
      <w:r>
        <w:rPr>
          <w:b/>
        </w:rPr>
        <w:t>Tal como está en la fuente:</w:t>
      </w:r>
      <w:r>
        <w:t xml:space="preserve"> desempeñar bien y fielmente la función del jurado, con imparcialidad, sin odio ni afecto</w:t>
      </w:r>
      <w:r>
        <w:t>. Aquí la obra se aparta de la ley en un punto, y lo dice: la ley deja a las partes hacer preguntas al jurado nombrado</w:t>
      </w:r>
      <w:r>
        <w:t xml:space="preserve"> (Ley Orgánica 5/1995, art. 40.3)</w:t>
      </w:r>
      <w:r>
        <w:t>; la obra no pregunta por ideas, solo por el conflicto de interés (regla 2). La imparcialidad se comprueba después, en el voto razonado (regla 1): se evalúan frutos, no personas (</w:t>
      </w:r>
      <w:r>
        <w:t>anexo J</w:t>
      </w:r>
      <w:r>
        <w:t>).</w:t>
      </w:r>
    </w:p>
    <w:p>
      <w:r>
        <w:rPr>
          <w:b/>
        </w:rPr>
        <w:t>Conclusión, lo que arrojan los datos:</w:t>
      </w:r>
      <w:r>
        <w:t xml:space="preserve"> tres de las cuatro reglas están ya en la ley del propio Estado para su jurado: el veredicto razonado, la exclusión por interés y la recusación. La cuarta, no preguntar por las ideas, la pide la Constitución para todos. La obra no inventa un jurado: toma las reglas del que ya existe y las lleva a un tribunal de opinión, con dos diferencias dichas (el voto público y ninguna pregunta de ideas).</w:t>
      </w:r>
    </w:p>
    <w:p>
      <w:r>
        <w:rPr>
          <w:b/>
        </w:rPr>
        <w:t>Lectura del autor:</w:t>
      </w:r>
      <w:r>
        <w:t xml:space="preserve"> la imparcialidad no es un título que se tenga: es un fruto que se enseña. Por eso no se examina a nadie por dentro, y se lee a cada uno por lo que escribe. «Por sus frutos los conoceréis» (Mt 7:16).</w:t>
      </w:r>
    </w:p>
    <w:p>
      <w:r>
        <w:t>[04p, fila 37; 03b, A2; la Ley del Jurado y la Constitución leídas en el texto consolidado del BOE, en local (c9d, c5); Mt 7:16, ya en 0.5]</w:t>
      </w:r>
    </w:p>
    <w:p>
      <w:r>
        <w:rPr>
          <w:b/>
        </w:rPr>
        <w:t>Las dos caras.</w:t>
      </w:r>
      <w:r>
        <w:t xml:space="preserve"> Cada cargo expone la mejor defensa que podría dar el Estado, escrita antes de que la dé él, y los contrapuntos de la obra: «un juicio que solo oye a la acusación no convence a nadie; uno que expone la mejor defensa y la mide con la misma vara, sí». Cada institución será invitada por escrito a responder a cada cargo, con su pregunta, en el plazo que la ley da para contestar a una petición: tres meses como máximo (</w:t>
      </w:r>
      <w:r>
        <w:t>10.4</w:t>
      </w:r>
      <w:r>
        <w:t>). Cualquier ciudadano puede enviar ya esas preguntas con los modelos del botiquín (</w:t>
      </w:r>
      <w:r>
        <w:t>10.5</w:t>
      </w:r>
      <w:r>
        <w:t xml:space="preserve">). Las respuestas y los silencios irán al Registro y se leerán ante el jurado antes del veredicto, junto a la mejor defensa que este capítulo ya expone. El jurado dará su veredicto con la vara de la obra: si la institución sirve al orden natural y a Dios, o a otros intereses. </w:t>
      </w:r>
      <w:r>
        <w:t>[37.00-0.0.3 y 36.1]</w:t>
      </w:r>
    </w:p>
    <w:p>
      <w:r>
        <w:rPr>
          <w:b/>
        </w:rPr>
        <w:t>El pliego de cargos.</w:t>
      </w:r>
      <w:r>
        <w:t xml:space="preserve"> Cada acusación es un cargo, y la lista entera, el pliego de cargos. Cada cargo es una presunción: algo que el Estado da por cierto sin probarlo, como las que se vieron en el </w:t>
      </w:r>
      <w:r>
        <w:t>capítulo 5</w:t>
      </w:r>
      <w:r>
        <w:t xml:space="preserve">. El pliego tiene veintiocho: los veintitrés que la obra formuló primero y cinco más, del 24 al 28, para hechos probados que aquellos no recogían: la separación de poderes, la carga, la responsabilidad, el diseño legal que enfrenta a la gente y la economía real. </w:t>
      </w:r>
      <w:r>
        <w:t>[glosario 8.11; 37.00; clasificación de las defensas, aprobada el 5-oct]</w:t>
      </w:r>
    </w:p>
    <w:p>
      <w:r>
        <w:rPr>
          <w:b/>
        </w:rPr>
        <w:t>Cómo es cada cargo.</w:t>
      </w:r>
      <w:r>
        <w:t xml:space="preserve"> Todos siguen el mismo orden, para que se puedan comparar:</w:t>
      </w:r>
    </w:p>
    <w:p>
      <w:pPr>
        <w:spacing w:after="60"/>
        <w:ind w:left="510" w:hanging="397"/>
      </w:pPr>
      <w:r>
        <w:rPr>
          <w:b w:val="0"/>
        </w:rPr>
        <w:t xml:space="preserve">1. </w:t>
      </w:r>
      <w:r>
        <w:rPr>
          <w:b/>
        </w:rPr>
        <w:t>La presunción</w:t>
      </w:r>
      <w:r>
        <w:t>, con las palabras con que el Estado la sostiene.</w:t>
      </w:r>
    </w:p>
    <w:p>
      <w:pPr>
        <w:spacing w:after="60"/>
        <w:ind w:left="510" w:hanging="397"/>
      </w:pPr>
      <w:r>
        <w:rPr>
          <w:b w:val="0"/>
        </w:rPr>
        <w:t xml:space="preserve">2. </w:t>
      </w:r>
      <w:r>
        <w:rPr>
          <w:b/>
        </w:rPr>
        <w:t>La vara:</w:t>
      </w:r>
      <w:r>
        <w:t xml:space="preserve"> lo que dicen la ley de Dios, las tradiciones y su propia ley, o el dato, por el orden de las leyes (</w:t>
      </w:r>
      <w:r>
        <w:t>1.2</w:t>
      </w:r>
      <w:r>
        <w:t>).</w:t>
      </w:r>
    </w:p>
    <w:p>
      <w:pPr>
        <w:spacing w:after="60"/>
        <w:ind w:left="510" w:hanging="397"/>
      </w:pPr>
      <w:r>
        <w:rPr>
          <w:b w:val="0"/>
        </w:rPr>
        <w:t xml:space="preserve">3. </w:t>
      </w:r>
      <w:r>
        <w:rPr>
          <w:b/>
        </w:rPr>
        <w:t>Dónde está probado:</w:t>
      </w:r>
      <w:r>
        <w:t xml:space="preserve"> el apartado de la obra donde está la prueba, con su fuente. Aquí no se repite: se remite.</w:t>
      </w:r>
    </w:p>
    <w:p>
      <w:pPr>
        <w:spacing w:after="60"/>
        <w:ind w:left="510" w:hanging="397"/>
      </w:pPr>
      <w:r>
        <w:rPr>
          <w:b w:val="0"/>
        </w:rPr>
        <w:t xml:space="preserve">4. </w:t>
      </w:r>
      <w:r>
        <w:rPr>
          <w:b/>
        </w:rPr>
        <w:t>La pregunta</w:t>
      </w:r>
      <w:r>
        <w:t xml:space="preserve"> a la institución.</w:t>
      </w:r>
    </w:p>
    <w:p>
      <w:pPr>
        <w:spacing w:after="60"/>
        <w:ind w:left="510" w:hanging="397"/>
      </w:pPr>
      <w:r>
        <w:rPr>
          <w:b w:val="0"/>
        </w:rPr>
        <w:t xml:space="preserve">5. </w:t>
      </w:r>
      <w:r>
        <w:rPr>
          <w:b/>
        </w:rPr>
        <w:t>La defensa del Estado</w:t>
      </w:r>
      <w:r>
        <w:t>, en su propia jerga: sus leyes, su doctrina y sus sentencias.</w:t>
      </w:r>
    </w:p>
    <w:p>
      <w:pPr>
        <w:spacing w:after="60"/>
        <w:ind w:left="510" w:hanging="397"/>
      </w:pPr>
      <w:r>
        <w:rPr>
          <w:b w:val="0"/>
        </w:rPr>
        <w:t xml:space="preserve">6. </w:t>
      </w:r>
      <w:r>
        <w:rPr>
          <w:b/>
        </w:rPr>
        <w:t>Los contrapuntos de la obra:</w:t>
      </w:r>
      <w:r>
        <w:t xml:space="preserve"> primero con la propia ley del Estado, que es la misma vara (</w:t>
      </w:r>
      <w:r>
        <w:t>5.2</w:t>
      </w:r>
      <w:r>
        <w:t>), y después con las leyes superiores. Y se dice también dónde la defensa aguanta: eso hace creíble lo que sí cae.</w:t>
      </w:r>
    </w:p>
    <w:p>
      <w:pPr>
        <w:spacing w:after="60"/>
        <w:ind w:left="510" w:hanging="397"/>
      </w:pPr>
      <w:r>
        <w:rPr>
          <w:b w:val="0"/>
        </w:rPr>
        <w:t xml:space="preserve">7. </w:t>
      </w:r>
      <w:r>
        <w:rPr>
          <w:b/>
        </w:rPr>
        <w:t>El límite honesto:</w:t>
      </w:r>
      <w:r>
        <w:t xml:space="preserve"> lo que la obra no puede probar.</w:t>
      </w:r>
    </w:p>
    <w:p>
      <w:pPr>
        <w:spacing w:after="60"/>
        <w:ind w:left="510" w:hanging="397"/>
      </w:pPr>
      <w:r>
        <w:rPr>
          <w:b w:val="0"/>
        </w:rPr>
        <w:t xml:space="preserve">8. </w:t>
      </w:r>
      <w:r>
        <w:rPr>
          <w:b/>
        </w:rPr>
        <w:t>La última palabra.</w:t>
      </w:r>
    </w:p>
    <w:p>
      <w:pPr>
        <w:spacing w:after="60"/>
        <w:ind w:left="510" w:hanging="397"/>
      </w:pPr>
      <w:r>
        <w:rPr>
          <w:b w:val="0"/>
        </w:rPr>
        <w:t xml:space="preserve">9. </w:t>
      </w:r>
      <w:r>
        <w:rPr>
          <w:b/>
        </w:rPr>
        <w:t>La respuesta de la institución:</w:t>
      </w:r>
      <w:r>
        <w:t xml:space="preserve"> el sitio queda abierto hasta que conteste. Si calla, su silencio también queda registrado.</w:t>
      </w:r>
    </w:p>
    <w:p>
      <w:r>
        <w:t>[glosario 8.13; índice aprobado, 11.3; libro de estilo §3]</w:t>
      </w:r>
    </w:p>
    <w:p>
      <w:r>
        <w:rPr>
          <w:b/>
        </w:rPr>
        <w:t>La última palabra.</w:t>
      </w:r>
      <w:r>
        <w:t xml:space="preserve"> Cada cargo se cierra igual:</w:t>
      </w:r>
    </w:p>
    <w:p>
      <w:pPr>
        <w:pBdr>
          <w:left w:val="single" w:sz="18" w:space="8" w:color="E2DED6"/>
        </w:pBdr>
        <w:ind w:left="567" w:right="340"/>
      </w:pPr>
      <w:r>
        <w:rPr>
          <w:i/>
          <w:color w:val="6B665E"/>
        </w:rPr>
        <w:t>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t>Es la última palabra que la propia ley concede a todo acusado: «Terminadas la acusación y la defensa, el Presidente preguntará a los procesados si tienen algo que manifestar al Tribunal. Al que contestare afirmativamente le será concedida la palabra»</w:t>
      </w:r>
      <w:r>
        <w:t xml:space="preserve"> (Ley de Enjuiciamiento Criminal, art. 739)</w:t>
      </w:r>
      <w:r>
        <w:br/>
      </w:r>
      <w:r>
        <w:rPr>
          <w:b/>
        </w:rPr>
        <w:t>leída en su fuente · Ley de Enjuiciamiento Criminal, art. 739</w:t>
      </w:r>
      <w:r>
        <w:br/>
      </w:r>
      <w:r>
        <w:rPr>
          <w:b/>
        </w:rPr>
        <w:t>Original donde está:</w:t>
      </w:r>
      <w:r>
        <w:t xml:space="preserve"> 038_Codigo_Penal_y_legislacion_complementaria.pdf</w:t>
      </w:r>
      <w:r>
        <w:br/>
      </w:r>
      <w:r>
        <w:t>El pasaje literal no está en el archivo de pasajes con este comienzo; la auditoría lo halló en ese original.</w:t>
      </w:r>
      <w:r>
        <w:t>. Y es la que pide la Escritura, que no juzga sin oír primero: «¿Juzga nuestra ley á hombre, si primero no oyere de él […]?»</w:t>
      </w:r>
      <w:r>
        <w:t xml:space="preserve"> (Jn 7:51)</w:t>
      </w:r>
      <w:r>
        <w:br/>
      </w:r>
      <w:r>
        <w:rPr>
          <w:b/>
        </w:rPr>
        <w:t>leída en su fuente · Jn 7:51</w:t>
      </w:r>
      <w:r>
        <w:br/>
      </w:r>
      <w:r>
        <w:rPr>
          <w:b/>
        </w:rPr>
        <w:t>Archivo leído:</w:t>
      </w:r>
      <w:r>
        <w:t xml:space="preserve"> jn751.html (ant\canon\jn751.html) · contraste del archivo de pasajes: ✔</w:t>
      </w:r>
      <w:r>
        <w:br/>
      </w:r>
      <w:r>
        <w:rPr>
          <w:b/>
        </w:rPr>
        <w:t>Lugar:</w:t>
      </w:r>
      <w:r>
        <w:t xml:space="preserve"> Jn 7:51</w:t>
      </w:r>
      <w:r>
        <w:br/>
      </w:r>
      <w:r>
        <w:rPr>
          <w:b/>
        </w:rPr>
        <w:t>Tal como está en la fuente:</w:t>
      </w:r>
      <w:r>
        <w:t xml:space="preserve"> ¿Juzga nuestra ley á hombre, si primero no oyere de él […]?</w:t>
      </w:r>
      <w:r>
        <w:t>; «El primero en su propia causa parece justo; Y su adversario viene, y le sondea»</w:t>
      </w:r>
      <w:r>
        <w:t xml:space="preserve"> (Pr 18:17)</w:t>
      </w:r>
      <w:r>
        <w:br/>
      </w:r>
      <w:r>
        <w:rPr>
          <w:b/>
        </w:rPr>
        <w:t>leída en su fuente · Pr 18:17</w:t>
      </w:r>
      <w:r>
        <w:br/>
      </w:r>
      <w:r>
        <w:rPr>
          <w:b/>
        </w:rPr>
        <w:t>Original donde está:</w:t>
      </w:r>
      <w:r>
        <w:t xml:space="preserve"> spaRV1909_vpl.txt</w:t>
      </w:r>
      <w:r>
        <w:br/>
      </w:r>
      <w:r>
        <w:t>El pasaje literal no está en el archivo de pasajes con este comienzo; la auditoría lo halló en ese original.</w:t>
      </w:r>
      <w:r>
        <w:t>. Dice «en verdad», y no «en tu verdad», porque en esta obra la verdad es lo comprobado con fuente (</w:t>
      </w:r>
      <w:r>
        <w:t>0.4</w:t>
      </w:r>
      <w:r>
        <w:t>). Y habla de tú porque es la voz del juicio; en los escritos a la Administración, la obra usa el usted (</w:t>
      </w:r>
      <w:r>
        <w:t>10.4</w:t>
      </w:r>
      <w:r>
        <w:t xml:space="preserve">). </w:t>
      </w:r>
      <w:r>
        <w:t>[glosario 8.13; LECrim leída en su texto consolidado]</w:t>
      </w:r>
    </w:p>
    <w:p>
      <w:pPr>
        <w:pStyle w:val="Heading2"/>
      </w:pPr>
      <w:r>
        <w:t>11.2 Las cuestiones previas</w:t>
      </w:r>
    </w:p>
    <w:p>
      <w:pPr>
        <w:pBdr>
          <w:left w:val="single" w:sz="24" w:space="6" w:color="E2DED6"/>
        </w:pBdr>
        <w:shd w:val="clear" w:color="auto" w:fill="F1EEE8"/>
        <w:spacing w:before="80" w:after="160"/>
        <w:ind w:left="142" w:right="142"/>
      </w:pPr>
      <w:r>
        <w:rPr>
          <w:b/>
        </w:rPr>
        <w:t>La idea: antes de los cargos, el Estado puede objetar al método y al propio juicio. Son veintiocho objeciones; cada una se oye en su mejor forma, se responde una vez y se dice dónde aguanta.</w:t>
      </w:r>
    </w:p>
    <w:p>
      <w:r>
        <w:t xml:space="preserve">Las objeciones vienen de todos los capítulos. Algunas se repetían en varias piezas con otras palabras; aquí se oyen una sola vez. Las que la obra concede tienen su concesión en su capítulo, como límite honesto, y aquí se remite a él. Van en cuatro grupos: la vara, las pruebas, las palabras y la obediencia. </w:t>
      </w:r>
      <w:r>
        <w:t>[clasificación de las defensas, aprobada: 11.2]</w:t>
      </w:r>
    </w:p>
    <w:p>
      <w:pPr>
        <w:pStyle w:val="Heading3"/>
      </w:pPr>
      <w:r>
        <w:t>La vara: la ley y la moral</w:t>
      </w:r>
    </w:p>
    <w:p>
      <w:r>
        <w:rPr>
          <w:b/>
        </w:rPr>
        <w:t>1. «La obra no es neutral: la vara la pone el autor».</w:t>
      </w:r>
    </w:p>
    <w:p>
      <w:pPr>
        <w:pStyle w:val="ListBullet"/>
      </w:pPr>
      <w:r>
        <w:rPr>
          <w:i/>
        </w:rPr>
        <w:t>La defensa del Estado:</w:t>
      </w:r>
      <w:r>
        <w:t xml:space="preserve"> quien elige la vara elige el resultado. Medir al Estado con textos religiosos y con lo que dicen las tradiciones es partir de una conclusión.</w:t>
      </w:r>
    </w:p>
    <w:p>
      <w:pPr>
        <w:pStyle w:val="ListBullet"/>
      </w:pPr>
      <w:r>
        <w:rPr>
          <w:i/>
        </w:rPr>
        <w:t>Lo que la obra responde:</w:t>
      </w:r>
      <w:r>
        <w:t xml:space="preserve"> es cierto que la vara es una elección. Por eso se declaró antes de medir (</w:t>
      </w:r>
      <w:r>
        <w:t>0.5</w:t>
      </w:r>
      <w:r>
        <w:t>), para que el lector la conozca y pueda rechazarla. La propia Constitución tampoco es neutral: «propugna como valores superiores de su ordenamiento jurídico la libertad, la justicia, la igualdad y el pluralismo político»</w:t>
      </w:r>
      <w:r>
        <w:t xml:space="preserve"> (Constitución, art. 1.1)</w:t>
      </w:r>
      <w:r>
        <w:br/>
      </w:r>
      <w:r>
        <w:rPr>
          <w:b/>
        </w:rPr>
        <w:t>leída en su fuente · Constitución, art. 1.1</w:t>
      </w:r>
      <w:r>
        <w:br/>
      </w:r>
      <w:r>
        <w:rPr>
          <w:b/>
        </w:rPr>
        <w:t>Archivo leído:</w:t>
      </w:r>
      <w:r>
        <w:t xml:space="preserve"> ce.html (ant\c1\ce.html) · contraste del archivo de pasajes: ✔</w:t>
      </w:r>
      <w:r>
        <w:br/>
      </w:r>
      <w:r>
        <w:rPr>
          <w:b/>
        </w:rPr>
        <w:t>Lugar:</w:t>
      </w:r>
      <w:r>
        <w:t xml:space="preserve"> Constitución, art. 1.1</w:t>
      </w:r>
      <w:r>
        <w:br/>
      </w:r>
      <w:r>
        <w:rPr>
          <w:b/>
        </w:rPr>
        <w:t>Tal como está en la fuente:</w:t>
      </w:r>
      <w:r>
        <w:t xml:space="preserve"> propugna como valores superiores de su ordenamiento jurídico la libertad, la justicia, la igualdad y el pluralismo político</w:t>
      </w:r>
      <w:r>
        <w:t>. Los hechos y la lectura del autor van siempre separados: «El dictamen es del autor; los hechos son de todos» (</w:t>
      </w:r>
      <w:r>
        <w:t>0.2</w:t>
      </w:r>
      <w:r>
        <w:t>). Y el método no forzó el resultado: en quince tradiciones salió «deliberadamente mixto» (</w:t>
      </w:r>
      <w:r>
        <w:t>1.4</w:t>
      </w:r>
      <w:r>
        <w:t>).</w:t>
      </w:r>
    </w:p>
    <w:p>
      <w:pPr>
        <w:pStyle w:val="ListBullet"/>
      </w:pPr>
      <w:r>
        <w:rPr>
          <w:i/>
        </w:rPr>
        <w:t>Dónde aguanta:</w:t>
      </w:r>
      <w:r>
        <w:t xml:space="preserve"> la vara es del autor, y el lector puede no compartirla. Por eso cada dato va con su fuente: sirve con cualquier vara.</w:t>
      </w:r>
    </w:p>
    <w:p>
      <w:r>
        <w:t>[00.0-0.0.4; 01.00-0.1; 00.00-2.20; antes en «11 material - cuestiones previas»]</w:t>
      </w:r>
    </w:p>
    <w:p>
      <w:r>
        <w:rPr>
          <w:b/>
        </w:rPr>
        <w:t>2. «La validez de la ley no depende de la moral».</w:t>
      </w:r>
    </w:p>
    <w:p>
      <w:pPr>
        <w:pStyle w:val="ListBullet"/>
      </w:pPr>
      <w:r>
        <w:rPr>
          <w:i/>
        </w:rPr>
        <w:t>La defensa del Estado:</w:t>
      </w:r>
      <w:r>
        <w:t xml:space="preserve"> una norma vale porque la dicta quien tiene competencia, por el procedimiento debido, y ocupa su lugar en la jerarquía: «Carecerán de validez las disposiciones que contradigan otra de rango superior»</w:t>
      </w:r>
      <w:r>
        <w:t xml:space="preserve"> (Código Civil, art. 1.2)</w:t>
      </w:r>
      <w:r>
        <w:br/>
      </w:r>
      <w:r>
        <w:rPr>
          <w:b/>
        </w:rPr>
        <w:t>leída en su fuente · Código Civil, art. 1.2</w:t>
      </w:r>
      <w:r>
        <w:br/>
      </w:r>
      <w:r>
        <w:rPr>
          <w:b/>
        </w:rPr>
        <w:t>Archivo leído:</w:t>
      </w:r>
      <w:r>
        <w:t xml:space="preserve"> codigo_civil_1889.html (c5\codigo_civil_1889.html) · contraste del archivo de pasajes: ✔</w:t>
      </w:r>
      <w:r>
        <w:br/>
      </w:r>
      <w:r>
        <w:rPr>
          <w:b/>
        </w:rPr>
        <w:t>Lugar:</w:t>
      </w:r>
      <w:r>
        <w:t xml:space="preserve"> Art. 1.2</w:t>
      </w:r>
      <w:r>
        <w:br/>
      </w:r>
      <w:r>
        <w:rPr>
          <w:b/>
        </w:rPr>
        <w:t>Dirección:</w:t>
      </w:r>
      <w:r>
        <w:t xml:space="preserve"> </w:t>
      </w:r>
      <w:r>
        <w:t>https://www.boe.es/buscar/act.php?id=BOE-A-1889-4763</w:t>
      </w:r>
      <w:r>
        <w:br/>
      </w:r>
      <w:r>
        <w:rPr>
          <w:b/>
        </w:rPr>
        <w:t>Tal como está en la fuente:</w:t>
      </w:r>
      <w:r>
        <w:t xml:space="preserve"> 2. Carecerán de validez las disposiciones que contradigan otra de rango superior.</w:t>
      </w:r>
      <w:r>
        <w:t>. La Constitución garantiza «el principio de legalidad, la jerarquía normativa» y «la seguridad jurídica»</w:t>
      </w:r>
      <w:r>
        <w:t xml:space="preserve"> (Constitución, art. 9.3)</w:t>
      </w:r>
      <w:r>
        <w:t>. Y la ley natural es indeterminada: cada uno la interpreta a su manera.</w:t>
      </w:r>
    </w:p>
    <w:p>
      <w:pPr>
        <w:pStyle w:val="ListBullet"/>
      </w:pPr>
      <w:r>
        <w:rPr>
          <w:i/>
        </w:rPr>
        <w:t>Lo que la obra responde:</w:t>
      </w:r>
      <w:r>
        <w:t xml:space="preserve"> con su propia ley, la Constitución reconoce algo anterior a ella: «La dignidad de la persona, los derechos inviolables que le son inherentes, el libre desarrollo de la personalidad, el respeto a la ley y a los derechos de los demás son fundamento del orden político y de la paz social»</w:t>
      </w:r>
      <w:r>
        <w:t xml:space="preserve"> (Constitución, art. 10.1)</w:t>
      </w:r>
      <w:r>
        <w:br/>
      </w:r>
      <w:r>
        <w:rPr>
          <w:b/>
        </w:rPr>
        <w:t>leída en su fuente · Constitución, art. 10.1</w:t>
      </w:r>
      <w:r>
        <w:br/>
      </w:r>
      <w:r>
        <w:rPr>
          <w:b/>
        </w:rPr>
        <w:t>Archivo leído:</w:t>
      </w:r>
      <w:r>
        <w:t xml:space="preserve"> ce.html (ant\c1\ce.html) · contraste del archivo de pasajes: ✔</w:t>
      </w:r>
      <w:r>
        <w:br/>
      </w:r>
      <w:r>
        <w:rPr>
          <w:b/>
        </w:rPr>
        <w:t>Lugar:</w:t>
      </w:r>
      <w:r>
        <w:t xml:space="preserve"> Constitución, art. 10.1</w:t>
      </w:r>
      <w:r>
        <w:br/>
      </w:r>
      <w:r>
        <w:rPr>
          <w:b/>
        </w:rPr>
        <w:t>Tal como está en la fuente:</w:t>
      </w:r>
      <w:r>
        <w:t xml:space="preserve"> La dignidad de la persona, los derechos inviolables que le son inherentes, el libre desarrollo de la personalidad, el respeto a la ley y a los derechos de los demás son fundamento del orden político y de la paz social</w:t>
      </w:r>
      <w:r>
        <w:t>. Lo inviolable y lo inherente no lo crea la ley: lo reconoce. Hasta el positivismo más influyente del siglo XX admitió un «contenido mínimo del derecho natural» que todo ordenamiento necesita para sostenerse</w:t>
      </w:r>
      <w:r>
        <w:t xml:space="preserve"> (Hart, El concepto de Derecho, 1961, cap. IX; fuente secundaria: artículo de la revista Problema, UNAM, 2025)</w:t>
      </w:r>
      <w:r>
        <w:t>. Y la obra no usa la ley natural de forma indeterminada: solo el núcleo que coincide en tradiciones independientes (</w:t>
      </w:r>
      <w:r>
        <w:t>1.4</w:t>
      </w:r>
      <w:r>
        <w:t>).</w:t>
      </w:r>
    </w:p>
    <w:p>
      <w:pPr>
        <w:pStyle w:val="ListBullet"/>
      </w:pPr>
      <w:r>
        <w:rPr>
          <w:i/>
        </w:rPr>
        <w:t>Dónde aguanta:</w:t>
      </w:r>
      <w:r>
        <w:t xml:space="preserve"> en un pleito, el juez resuelve con la ley escrita, y la obra no lo discute (n.º 3).</w:t>
      </w:r>
    </w:p>
    <w:p>
      <w:r>
        <w:t>[01.00-17.2 y 17.3]</w:t>
      </w:r>
    </w:p>
    <w:p>
      <w:r>
        <w:rPr>
          <w:b/>
        </w:rPr>
        <w:t>3. «El derecho natural y las máximas latinas no son derecho aplicable».</w:t>
      </w:r>
    </w:p>
    <w:p>
      <w:pPr>
        <w:pStyle w:val="ListBullet"/>
      </w:pPr>
      <w:r>
        <w:rPr>
          <w:i/>
        </w:rPr>
        <w:t>La defensa del Estado:</w:t>
      </w:r>
      <w:r>
        <w:t xml:space="preserve"> la Escuela de Salamanca, Cicerón y las máximas latinas son historia del pensamiento, no normas: ningún juez resuelve un pleito con ellas. Lo que obliga es lo que dice la ley: «Las fuentes del ordenamiento jurídico español son la ley, la costumbre y los principios generales del derecho»</w:t>
      </w:r>
      <w:r>
        <w:t xml:space="preserve"> (Código Civil, art. 1.1)</w:t>
      </w:r>
      <w:r>
        <w:br/>
      </w:r>
      <w:r>
        <w:rPr>
          <w:b/>
        </w:rPr>
        <w:t>leída en su fuente · Código Civil, art. 1.1</w:t>
      </w:r>
      <w:r>
        <w:br/>
      </w:r>
      <w:r>
        <w:rPr>
          <w:b/>
        </w:rPr>
        <w:t>Archivo leído:</w:t>
      </w:r>
      <w:r>
        <w:t xml:space="preserve"> codigo_civil_1889.html (c5\codigo_civil_1889.html) · contraste del archivo de pasajes: ✔</w:t>
      </w:r>
      <w:r>
        <w:br/>
      </w:r>
      <w:r>
        <w:rPr>
          <w:b/>
        </w:rPr>
        <w:t>Lugar:</w:t>
      </w:r>
      <w:r>
        <w:t xml:space="preserve"> Art. 1.1 (#a1)</w:t>
      </w:r>
      <w:r>
        <w:br/>
      </w:r>
      <w:r>
        <w:rPr>
          <w:b/>
        </w:rPr>
        <w:t>Dirección:</w:t>
      </w:r>
      <w:r>
        <w:t xml:space="preserve"> </w:t>
      </w:r>
      <w:r>
        <w:t>https://www.boe.es/buscar/act.php?id=BOE-A-1889-4763</w:t>
      </w:r>
      <w:r>
        <w:br/>
      </w:r>
      <w:r>
        <w:rPr>
          <w:b/>
        </w:rPr>
        <w:t>Tal como está en la fuente:</w:t>
      </w:r>
      <w:r>
        <w:t xml:space="preserve"> 1. Las fuentes del ordenamiento jurídico español son la ley, la costumbre y los principios generales del derecho.</w:t>
      </w:r>
      <w:r>
        <w:t>.</w:t>
      </w:r>
    </w:p>
    <w:p>
      <w:pPr>
        <w:pStyle w:val="ListBullet"/>
      </w:pPr>
      <w:r>
        <w:rPr>
          <w:i/>
        </w:rPr>
        <w:t>Lo que la obra responde:</w:t>
      </w:r>
      <w:r>
        <w:t xml:space="preserve"> es cierto, y la obra lo dice: el derecho natural inspira los ordenamientos y funda su crítica, pero no se litiga directamente con él. Su cauce dentro del sistema está escrito en la misma ley: los principios generales del derecho «se aplicarán en defecto de ley o costumbre, sin perjuicio de su carácter informador del ordenamiento jurídico»</w:t>
      </w:r>
      <w:r>
        <w:t xml:space="preserve"> (Código Civil, art. 1.4)</w:t>
      </w:r>
      <w:r>
        <w:br/>
      </w:r>
      <w:r>
        <w:rPr>
          <w:b/>
        </w:rPr>
        <w:t>leída en su fuente · Código Civil, art. 1.4</w:t>
      </w:r>
      <w:r>
        <w:br/>
      </w:r>
      <w:r>
        <w:rPr>
          <w:b/>
        </w:rPr>
        <w:t>Archivo leído:</w:t>
      </w:r>
      <w:r>
        <w:t xml:space="preserve"> cc.html (ant\c1\cc.html) · contraste del archivo de pasajes: ✔</w:t>
      </w:r>
      <w:r>
        <w:br/>
      </w:r>
      <w:r>
        <w:rPr>
          <w:b/>
        </w:rPr>
        <w:t>Lugar:</w:t>
      </w:r>
      <w:r>
        <w:t xml:space="preserve"> Código Civil, art. 1.4</w:t>
      </w:r>
      <w:r>
        <w:br/>
      </w:r>
      <w:r>
        <w:rPr>
          <w:b/>
        </w:rPr>
        <w:t>Tal como está en la fuente:</w:t>
      </w:r>
      <w:r>
        <w:t xml:space="preserve"> se aplicarán en defecto de ley o costumbre, sin perjuicio de su carácter informador del ordenamiento jurídico</w:t>
      </w:r>
      <w:r>
        <w:t>, y la Constitución reconoce derechos «inherentes» a la persona (n.º 2). Cada máxima que usa la obra va con su uso correcto y con su uso indebido.</w:t>
      </w:r>
    </w:p>
    <w:p>
      <w:pPr>
        <w:pStyle w:val="ListBullet"/>
      </w:pPr>
      <w:r>
        <w:rPr>
          <w:i/>
        </w:rPr>
        <w:t>Dónde aguanta:</w:t>
      </w:r>
      <w:r>
        <w:t xml:space="preserve"> en el pleito, entera. El juicio popular no es un pleito.</w:t>
      </w:r>
    </w:p>
    <w:p>
      <w:r>
        <w:t>[02.00-27.1 y 27.2]</w:t>
      </w:r>
    </w:p>
    <w:p>
      <w:r>
        <w:rPr>
          <w:b/>
        </w:rPr>
        <w:t>4. «Imponer una ley natural es imponer una moral», y «en un Estado plural no cabe medir la ley con ella».</w:t>
      </w:r>
    </w:p>
    <w:p>
      <w:pPr>
        <w:pStyle w:val="ListBullet"/>
      </w:pPr>
      <w:r>
        <w:rPr>
          <w:i/>
        </w:rPr>
        <w:t>La defensa del Estado:</w:t>
      </w:r>
      <w:r>
        <w:t xml:space="preserve"> en una sociedad plural, invocar la ley natural es imponer una moral concreta, casi siempre religiosa, a quien no la comparte. La Constitución propugna «el pluralismo político»</w:t>
      </w:r>
      <w:r>
        <w:t xml:space="preserve"> (Constitución, art. 1.1)</w:t>
      </w:r>
      <w:r>
        <w:t xml:space="preserve"> y garantiza «la libertad ideológica, religiosa y de culto»</w:t>
      </w:r>
      <w:r>
        <w:t xml:space="preserve"> (art. 16.1)</w:t>
      </w:r>
      <w:r>
        <w:br/>
      </w:r>
      <w:r>
        <w:rPr>
          <w:b/>
        </w:rPr>
        <w:t>leída en su fuente · art. 16.1</w:t>
      </w:r>
      <w:r>
        <w:br/>
      </w:r>
      <w:r>
        <w:rPr>
          <w:b/>
        </w:rPr>
        <w:t>Archivo leído:</w:t>
      </w:r>
      <w:r>
        <w:t xml:space="preserve"> constitucion_1978.html (c5\constitucion_1978.html) · contraste del archivo de pasajes: ✔</w:t>
      </w:r>
      <w:r>
        <w:br/>
      </w:r>
      <w:r>
        <w:rPr>
          <w:b/>
        </w:rPr>
        <w:t>Lugar:</w:t>
      </w:r>
      <w:r>
        <w:t xml:space="preserve"> Art. 16.3 (#a16)</w:t>
      </w:r>
      <w:r>
        <w:br/>
      </w:r>
      <w:r>
        <w:rPr>
          <w:b/>
        </w:rPr>
        <w:t>Dirección:</w:t>
      </w:r>
      <w:r>
        <w:t xml:space="preserve"> </w:t>
      </w:r>
      <w:r>
        <w:t>https://www.boe.es/buscar/act.php?id=BOE-A-1978-31229</w:t>
      </w:r>
      <w:r>
        <w:br/>
      </w:r>
      <w:r>
        <w:rPr>
          <w:b/>
        </w:rPr>
        <w:t>Tal como está en la fuente:</w:t>
      </w:r>
      <w:r>
        <w:t xml:space="preserve"> 1. Se garantiza la libertad ideológica, religiosa y de culto</w:t>
      </w:r>
      <w:r>
        <w:t>: la ley la decide la mayoría, dentro de la Constitución. Si cada uno pudiera declarar injusta una ley y desobedecerla, no habría orden posible.</w:t>
      </w:r>
    </w:p>
    <w:p>
      <w:pPr>
        <w:pStyle w:val="ListBullet"/>
      </w:pPr>
      <w:r>
        <w:rPr>
          <w:i/>
        </w:rPr>
        <w:t>Lo que la obra responde:</w:t>
      </w:r>
      <w:r>
        <w:t xml:space="preserve"> la propia Constitución se mide con una vara anterior a ella y de fuera de ella: los derechos se interpretan «de conformidad con la Declaración Universal de Derechos Humanos»</w:t>
      </w:r>
      <w:r>
        <w:t xml:space="preserve"> (Constitución, art. 10.2)</w:t>
      </w:r>
      <w:r>
        <w:br/>
      </w:r>
      <w:r>
        <w:rPr>
          <w:b/>
        </w:rPr>
        <w:t>leída en su fuente · Constitución, art. 10.2</w:t>
      </w:r>
      <w:r>
        <w:br/>
      </w:r>
      <w:r>
        <w:rPr>
          <w:b/>
        </w:rPr>
        <w:t>Archivo leído:</w:t>
      </w:r>
      <w:r>
        <w:t xml:space="preserve"> ce.html (ant\c1\ce.html) · contraste del archivo de pasajes: ✔</w:t>
      </w:r>
      <w:r>
        <w:br/>
      </w:r>
      <w:r>
        <w:rPr>
          <w:b/>
        </w:rPr>
        <w:t>Lugar:</w:t>
      </w:r>
      <w:r>
        <w:t xml:space="preserve"> Constitución, art. 10.2</w:t>
      </w:r>
      <w:r>
        <w:br/>
      </w:r>
      <w:r>
        <w:rPr>
          <w:b/>
        </w:rPr>
        <w:t>Tal como está en la fuente:</w:t>
      </w:r>
      <w:r>
        <w:t xml:space="preserve"> de conformidad con la Declaración Universal de Derechos Humanos</w:t>
      </w:r>
      <w:r>
        <w:t>. La obra no impone nada: mide al Estado con la vara que él mismo se dio, artículo por artículo (</w:t>
      </w:r>
      <w:r>
        <w:t>7.1</w:t>
      </w:r>
      <w:r>
        <w:t>), y separa los datos de la lectura del autor. Lo que llama ley natural no es la doctrina de una comunidad, sino lo que cualquiera reconoce sin enseñanza, como la compasión ante el niño que va a caer a un pozo (</w:t>
      </w:r>
      <w:r>
        <w:t>1.4</w:t>
      </w:r>
      <w:r>
        <w:t>). Y no deja la medida al criterio de cada uno: su dictamen no exime de ninguna obligación (n.º 22).</w:t>
      </w:r>
    </w:p>
    <w:p>
      <w:pPr>
        <w:pStyle w:val="ListBullet"/>
      </w:pPr>
      <w:r>
        <w:rPr>
          <w:i/>
        </w:rPr>
        <w:t>Dónde aguanta:</w:t>
      </w:r>
      <w:r>
        <w:t xml:space="preserve"> la mayoría hace las leyes, y la obra no lo discute. Discute que lo que se aprueba sea, por eso, justo (</w:t>
      </w:r>
      <w:r>
        <w:t>cargo 7</w:t>
      </w:r>
      <w:r>
        <w:t>).</w:t>
      </w:r>
    </w:p>
    <w:p>
      <w:r>
        <w:t>[01.00-17.8 y 17.9; 11.00-14.4 y 14.5]</w:t>
      </w:r>
    </w:p>
    <w:p>
      <w:r>
        <w:rPr>
          <w:b/>
        </w:rPr>
        <w:t>5. «El Estado es aconfesional».</w:t>
      </w:r>
    </w:p>
    <w:p>
      <w:pPr>
        <w:pStyle w:val="ListBullet"/>
      </w:pPr>
      <w:r>
        <w:rPr>
          <w:i/>
        </w:rPr>
        <w:t>La defensa del Estado:</w:t>
      </w:r>
      <w:r>
        <w:t xml:space="preserve"> «Ninguna confesión tendrá carácter estatal»</w:t>
      </w:r>
      <w:r>
        <w:t xml:space="preserve"> (Constitución, art. 16.3)</w:t>
      </w:r>
      <w:r>
        <w:br/>
      </w:r>
      <w:r>
        <w:rPr>
          <w:b/>
        </w:rPr>
        <w:t>leída en su fuente · art. 16.3</w:t>
      </w:r>
      <w:r>
        <w:br/>
      </w:r>
      <w:r>
        <w:rPr>
          <w:b/>
        </w:rPr>
        <w:t>Archivo leído:</w:t>
      </w:r>
      <w:r>
        <w:t xml:space="preserve"> constitucion_1978.html (c5\constitucion_1978.html) · contraste del archivo de pasajes: ✔</w:t>
      </w:r>
      <w:r>
        <w:br/>
      </w:r>
      <w:r>
        <w:rPr>
          <w:b/>
        </w:rPr>
        <w:t>Lugar:</w:t>
      </w:r>
      <w:r>
        <w:t xml:space="preserve"> Art. 16.3 (#a16)</w:t>
      </w:r>
      <w:r>
        <w:br/>
      </w:r>
      <w:r>
        <w:rPr>
          <w:b/>
        </w:rPr>
        <w:t>Dirección:</w:t>
      </w:r>
      <w:r>
        <w:t xml:space="preserve"> </w:t>
      </w:r>
      <w:r>
        <w:t>https://www.boe.es/buscar/act.php?id=BOE-A-1978-31229</w:t>
      </w:r>
      <w:r>
        <w:br/>
      </w:r>
      <w:r>
        <w:rPr>
          <w:b/>
        </w:rPr>
        <w:t>Tal como está en la fuente:</w:t>
      </w:r>
      <w:r>
        <w:t xml:space="preserve"> 3. Ninguna confesión tendrá carácter estatal.</w:t>
      </w:r>
      <w:r>
        <w:t>: medir al Estado con textos religiosos rompe su neutralidad.</w:t>
      </w:r>
    </w:p>
    <w:p>
      <w:pPr>
        <w:pStyle w:val="ListBullet"/>
      </w:pPr>
      <w:r>
        <w:rPr>
          <w:i/>
        </w:rPr>
        <w:t>Lo que la obra responde:</w:t>
      </w:r>
      <w:r>
        <w:t xml:space="preserve"> con su propia ley, el mismo artículo sigue: «Los poderes públicos tendrán en cuenta las creencias religiosas de la sociedad española»</w:t>
      </w:r>
      <w:r>
        <w:t xml:space="preserve"> (ídem)</w:t>
      </w:r>
      <w:r>
        <w:br/>
      </w:r>
      <w:r>
        <w:rPr>
          <w:b/>
        </w:rPr>
        <w:t>leída en su fuente · ídem</w:t>
      </w:r>
      <w:r>
        <w:br/>
      </w:r>
      <w:r>
        <w:rPr>
          <w:b/>
        </w:rPr>
        <w:t>Archivo leído:</w:t>
      </w:r>
      <w:r>
        <w:t xml:space="preserve"> ce.html (ant\c1\ce.html) · contraste del archivo de pasajes: ✔</w:t>
      </w:r>
      <w:r>
        <w:br/>
      </w:r>
      <w:r>
        <w:rPr>
          <w:b/>
        </w:rPr>
        <w:t>Lugar:</w:t>
      </w:r>
      <w:r>
        <w:t xml:space="preserve"> ídem</w:t>
      </w:r>
      <w:r>
        <w:br/>
      </w:r>
      <w:r>
        <w:rPr>
          <w:b/>
        </w:rPr>
        <w:t>Tal como está en la fuente:</w:t>
      </w:r>
      <w:r>
        <w:t xml:space="preserve"> Los poderes públicos tendrán en cuenta las creencias religiosas de la sociedad española</w:t>
      </w:r>
      <w:r>
        <w:t>. La obra no defiende una teología ni dice que una tradición sea verdadera y las demás falsas: constata un hecho, que la distinción entre la dignidad y su atropello aparece en civilizaciones sin contacto documentado entre sí (capítulos 3 y 4). Y eso que encuentra es lo que la Constitución llama «dignidad de la persona» y declara «fundamento del orden político y de la paz social» (n.º 2).</w:t>
      </w:r>
    </w:p>
    <w:p>
      <w:pPr>
        <w:pStyle w:val="ListBullet"/>
      </w:pPr>
      <w:r>
        <w:rPr>
          <w:i/>
        </w:rPr>
        <w:t>Dónde aguanta:</w:t>
      </w:r>
      <w:r>
        <w:t xml:space="preserve"> el Estado no puede adoptar una fe, y la obra no se lo pide. Que la ley de Dios esté la primera en el orden de las leyes (</w:t>
      </w:r>
      <w:r>
        <w:t>1.2</w:t>
      </w:r>
      <w:r>
        <w:t>) es la vara del autor (n.º 1).</w:t>
      </w:r>
    </w:p>
    <w:p>
      <w:r>
        <w:t>[05.00-12.2 y 12.3]</w:t>
      </w:r>
    </w:p>
    <w:p>
      <w:r>
        <w:rPr>
          <w:b/>
        </w:rPr>
        <w:t>6. «El bien común lo decide la mayoría, con procedimientos neutrales».</w:t>
      </w:r>
    </w:p>
    <w:p>
      <w:pPr>
        <w:pStyle w:val="ListBullet"/>
      </w:pPr>
      <w:r>
        <w:rPr>
          <w:i/>
        </w:rPr>
        <w:t>La defensa del Estado:</w:t>
      </w:r>
      <w:r>
        <w:t xml:space="preserve"> en democracia, el bien común es lo que decide la mayoría a través de sus representantes: «La soberanía nacional reside en el pueblo español, del que emanan los poderes del Estado»</w:t>
      </w:r>
      <w:r>
        <w:t xml:space="preserve"> (Constitución, art. 1.2)</w:t>
      </w:r>
      <w:r>
        <w:br/>
      </w:r>
      <w:r>
        <w:rPr>
          <w:b/>
        </w:rPr>
        <w:t>leída en su fuente · Constitución, art. 1.2</w:t>
      </w:r>
      <w:r>
        <w:br/>
      </w:r>
      <w:r>
        <w:rPr>
          <w:b/>
        </w:rPr>
        <w:t>Archivo leído:</w:t>
      </w:r>
      <w:r>
        <w:t xml:space="preserve"> constitucion_1978.html (c5\constitucion_1978.html) · contraste del archivo de pasajes: ✔</w:t>
      </w:r>
      <w:r>
        <w:br/>
      </w:r>
      <w:r>
        <w:rPr>
          <w:b/>
        </w:rPr>
        <w:t>Lugar:</w:t>
      </w:r>
      <w:r>
        <w:t xml:space="preserve"> Art. 1.2</w:t>
      </w:r>
      <w:r>
        <w:br/>
      </w:r>
      <w:r>
        <w:rPr>
          <w:b/>
        </w:rPr>
        <w:t>Dirección:</w:t>
      </w:r>
      <w:r>
        <w:t xml:space="preserve"> </w:t>
      </w:r>
      <w:r>
        <w:t>https://www.boe.es/buscar/act.php?id=BOE-A-1978-31229</w:t>
      </w:r>
      <w:r>
        <w:br/>
      </w:r>
      <w:r>
        <w:rPr>
          <w:b/>
        </w:rPr>
        <w:t>Tal como está en la fuente:</w:t>
      </w:r>
      <w:r>
        <w:t xml:space="preserve"> 2. La soberanía nacional reside en el pueblo español, del que emanan los poderes del Estado.</w:t>
      </w:r>
      <w:r>
        <w:t>. El Estado de derecho no decide qué es el bien: fija procedimientos neutrales, y el contenido de las leyes lo pone la mayoría.</w:t>
      </w:r>
    </w:p>
    <w:p>
      <w:pPr>
        <w:pStyle w:val="ListBullet"/>
      </w:pPr>
      <w:r>
        <w:rPr>
          <w:i/>
        </w:rPr>
        <w:t>Lo que la obra responde:</w:t>
      </w:r>
      <w:r>
        <w:t xml:space="preserve"> con su propia ley, la Constitución sí se fija un fin, y lo llama bien: «promover el bien de cuantos la integran»</w:t>
      </w:r>
      <w:r>
        <w:t xml:space="preserve"> (Constitución, preámbulo)</w:t>
      </w:r>
      <w:r>
        <w:br/>
      </w:r>
      <w:r>
        <w:rPr>
          <w:b/>
        </w:rPr>
        <w:t>leída en su fuente · Constitución, preámbulo</w:t>
      </w:r>
      <w:r>
        <w:br/>
      </w:r>
      <w:r>
        <w:rPr>
          <w:b/>
        </w:rPr>
        <w:t>Archivo leído:</w:t>
      </w:r>
      <w:r>
        <w:t xml:space="preserve"> constitucion_1978.html (c5\constitucion_1978.html) · contraste del archivo de pasajes: ✔</w:t>
      </w:r>
      <w:r>
        <w:br/>
      </w:r>
      <w:r>
        <w:rPr>
          <w:b/>
        </w:rPr>
        <w:t>Lugar:</w:t>
      </w:r>
      <w:r>
        <w:t xml:space="preserve"> Preámbulo</w:t>
      </w:r>
      <w:r>
        <w:br/>
      </w:r>
      <w:r>
        <w:rPr>
          <w:b/>
        </w:rPr>
        <w:t>Dirección:</w:t>
      </w:r>
      <w:r>
        <w:t xml:space="preserve"> </w:t>
      </w:r>
      <w:r>
        <w:t>https://www.boe.es/buscar/act.php?id=BOE-A-1978-31229</w:t>
      </w:r>
      <w:r>
        <w:br/>
      </w:r>
      <w:r>
        <w:rPr>
          <w:b/>
        </w:rPr>
        <w:t>Tal como está en la fuente:</w:t>
      </w:r>
      <w:r>
        <w:t xml:space="preserve"> …deseando establecer la justicia, la libertad y la seguridad y promover el bien de cuantos la integran</w:t>
      </w:r>
      <w:r>
        <w:t>; y manda que la libertad y la igualdad sean «reales y efectivas»</w:t>
      </w:r>
      <w:r>
        <w:t xml:space="preserve"> (art. 9.2)</w:t>
      </w:r>
      <w:r>
        <w:t>. De todos, no de la mayoría. Tomás de Aquino escribió que el bien común de la ciudad y el bien de una sola persona «no se diferencian solo según lo mucho y lo poco, sino por una diferencia formal»</w:t>
      </w:r>
      <w:r>
        <w:t xml:space="preserve"> [original: «bonum commune civitatis et bonum singulare unius personae non differunt solum secundum multum et paucum, sed secundum formalem differentiam»]</w:t>
      </w:r>
      <w:r>
        <w:t xml:space="preserve"> (Suma teológica II-II, q. 58, a. 7, ad 2)</w:t>
      </w:r>
      <w:r>
        <w:br/>
      </w:r>
      <w:r>
        <w:rPr>
          <w:b/>
        </w:rPr>
        <w:t>leída en su fuente · Suma teológica II-II, q. 58, a. 7, ad 2</w:t>
      </w:r>
      <w:r>
        <w:br/>
      </w:r>
      <w:r>
        <w:rPr>
          <w:b/>
        </w:rPr>
        <w:t>Archivo leído:</w:t>
      </w:r>
      <w:r>
        <w:t xml:space="preserve"> sth3057.html (ant\c1\sth3057.html) · contraste del archivo de pasajes: ✔</w:t>
      </w:r>
      <w:r>
        <w:br/>
      </w:r>
      <w:r>
        <w:rPr>
          <w:b/>
        </w:rPr>
        <w:t>Lugar:</w:t>
      </w:r>
      <w:r>
        <w:t xml:space="preserve"> Suma teológica II-II, q. 58, a. 7, respuesta a la segunda objeción</w:t>
      </w:r>
      <w:r>
        <w:br/>
      </w:r>
      <w:r>
        <w:rPr>
          <w:b/>
        </w:rPr>
        <w:t>Tal como está en la fuente:</w:t>
      </w:r>
      <w:r>
        <w:t xml:space="preserve"> bonum commune civitatis et bonum singulare unius personae non differunt solum secundum multum et paucum, sed secundum formalem differentiam</w:t>
      </w:r>
      <w:r>
        <w:t>: el bien común no es una suma de bienes particulares. Y John Stuart Mill, que renunciaba a apoyarse en un derecho anterior a la utilidad, contaba ya «la tiranía de la mayoría» entre los males de los que la sociedad debe guardarse</w:t>
      </w:r>
      <w:r>
        <w:t xml:space="preserve"> [original: «"the tyranny of the majority" is now generally included among the evils against which society requires to be on its guard»]</w:t>
      </w:r>
      <w:r>
        <w:t xml:space="preserve"> (Mill, Sobre la libertad, 1859, cap. I)</w:t>
      </w:r>
      <w:r>
        <w:t>.</w:t>
      </w:r>
    </w:p>
    <w:p>
      <w:pPr>
        <w:pStyle w:val="ListBullet"/>
      </w:pPr>
      <w:r>
        <w:rPr>
          <w:i/>
        </w:rPr>
        <w:t>Más:</w:t>
      </w:r>
      <w:r>
        <w:t xml:space="preserve"> Mill añade que, si la sociedad dicta mandatos injustos, o se mete donde no debe, «ejerce una tiranía social más formidable que muchos tipos de opresión política», porque deja menos salidas y llega a «esclavizar el alma misma»</w:t>
      </w:r>
      <w:r>
        <w:t xml:space="preserve"> [original: «if it issues wrong mandates instead of right, or any mandates at all in things with which it ought not to meddle, it practises a social tyranny more formidable than many kinds of political oppression, since… it leaves fewer means of escape, penetrating much more deeply into the details of life, and enslaving the soul itself»]</w:t>
      </w:r>
      <w:r>
        <w:t xml:space="preserve"> (ídem)</w:t>
      </w:r>
      <w:r>
        <w:t>. Y Stigler describió la otra cara: «por regla general, la regulación es adquirida por la industria y está diseñada y operada principalmente para su beneficio»</w:t>
      </w:r>
      <w:r>
        <w:t xml:space="preserve"> [original: «as a rule, regulation is acquired by the industry and is designed and operated primarily for its benefit»]</w:t>
      </w:r>
      <w:r>
        <w:t xml:space="preserve"> (Stigler, 1971, p. 3; fuente secundaria: Carrigan y Coglianese)</w:t>
      </w:r>
      <w:r>
        <w:br/>
      </w:r>
      <w:r>
        <w:rPr>
          <w:b/>
        </w:rPr>
        <w:t>leída en su fuente · Stigler, 1971, p. 3; fuente secundaria: Carrigan y Coglianese</w:t>
      </w:r>
      <w:r>
        <w:br/>
      </w:r>
      <w:r>
        <w:rPr>
          <w:b/>
        </w:rPr>
        <w:t>Archivo leído:</w:t>
      </w:r>
      <w:r>
        <w:t xml:space="preserve"> GWU_RegStudies_Carrigan_Coglianese_Stigler_Economic_Theory_of_Regulation.txt · contraste del archivo de pasajes: sin archivo</w:t>
      </w:r>
      <w:r>
        <w:br/>
      </w:r>
      <w:r>
        <w:rPr>
          <w:b/>
        </w:rPr>
        <w:t>Lugar:</w:t>
      </w:r>
      <w:r>
        <w:t xml:space="preserve"> 10 FUENTES LEIDAS/c9d (índice, entrada 98)</w:t>
      </w:r>
      <w:r>
        <w:br/>
      </w:r>
      <w:r>
        <w:rPr>
          <w:b/>
        </w:rPr>
        <w:t>Tal como está en la fuente:</w:t>
      </w:r>
      <w:r>
        <w:t xml:space="preserve"> por regla general, la regulación es adquirida por la industria y está diseñada y operada p</w:t>
      </w:r>
      <w:r>
        <w:t>. Matiz: Mill dejaba fuera de su principio lo que llamaba «estados atrasados de la sociedad»</w:t>
      </w:r>
      <w:r>
        <w:t xml:space="preserve"> [original: «backward states of society»]</w:t>
      </w:r>
      <w:r>
        <w:t>, un límite de su época.</w:t>
      </w:r>
    </w:p>
    <w:p>
      <w:pPr>
        <w:pStyle w:val="ListBullet"/>
      </w:pPr>
      <w:r>
        <w:rPr>
          <w:i/>
        </w:rPr>
        <w:t>Dónde aguanta:</w:t>
      </w:r>
      <w:r>
        <w:t xml:space="preserve"> la mayoría hace las leyes, y es legítimo que así sea. Lo que no se sigue es que lo que decida sea, por eso, el bien común: eso se mide con los frutos (</w:t>
      </w:r>
      <w:r>
        <w:t>7.4</w:t>
      </w:r>
      <w:r>
        <w:t>).</w:t>
      </w:r>
    </w:p>
    <w:p>
      <w:r>
        <w:t>[01.00-17.6 y 17.7, con Aquino corregido en la fe de erratas; 01.00-14.2 a 14.4; 05.00-12.6 y 12.7]</w:t>
      </w:r>
    </w:p>
    <w:p>
      <w:r>
        <w:rPr>
          <w:b/>
        </w:rPr>
        <w:t>7. «El Estado moderno se legitima por el procedimiento, no por la creencia».</w:t>
      </w:r>
    </w:p>
    <w:p>
      <w:pPr>
        <w:pStyle w:val="ListBullet"/>
      </w:pPr>
      <w:r>
        <w:rPr>
          <w:i/>
        </w:rPr>
        <w:t>La defensa del Estado:</w:t>
      </w:r>
      <w:r>
        <w:t xml:space="preserve"> su legitimidad es legal: descansa en normas aprobadas por procedimientos democráticos, la dominación legal de Weber (</w:t>
      </w:r>
      <w:r>
        <w:t>6.3</w:t>
      </w:r>
      <w:r>
        <w:t>), y no en que la gente crea o deje de creer en ella.</w:t>
      </w:r>
    </w:p>
    <w:p>
      <w:pPr>
        <w:pStyle w:val="ListBullet"/>
      </w:pPr>
      <w:r>
        <w:rPr>
          <w:i/>
        </w:rPr>
        <w:t>Lo que la obra responde:</w:t>
      </w:r>
      <w:r>
        <w:t xml:space="preserve"> el mismo Weber observó que ninguna dominación se conforma con eso: cada una «procura más bien despertar y cultivar la creencia en su "legitimidad"» (</w:t>
      </w:r>
      <w:r>
        <w:t>6.3</w:t>
      </w:r>
      <w:r>
        <w:t>). La obra no niega el procedimiento: mide si lo que promete se cumple, y el incumplimiento recae en el 62,1 % de los artículos sobre el bien común (</w:t>
      </w:r>
      <w:r>
        <w:t>7.4</w:t>
      </w:r>
      <w:r>
        <w:t>). Y la legitimidad que se presume sin preguntar es la del contrato que nadie firmó (</w:t>
      </w:r>
      <w:r>
        <w:t>6.1</w:t>
      </w:r>
      <w:r>
        <w:t xml:space="preserve"> y </w:t>
      </w:r>
      <w:r>
        <w:t>6.2</w:t>
      </w:r>
      <w:r>
        <w:t>).</w:t>
      </w:r>
    </w:p>
    <w:p>
      <w:pPr>
        <w:pStyle w:val="ListBullet"/>
      </w:pPr>
      <w:r>
        <w:rPr>
          <w:i/>
        </w:rPr>
        <w:t>Dónde aguanta:</w:t>
      </w:r>
      <w:r>
        <w:t xml:space="preserve"> el procedimiento existe y en buena parte se cumple: 93 artículos de 169 (</w:t>
      </w:r>
      <w:r>
        <w:t>7.1</w:t>
      </w:r>
      <w:r>
        <w:t>).</w:t>
      </w:r>
    </w:p>
    <w:p>
      <w:r>
        <w:t>[23.00-6.6 y 6.7; la frase atribuida a Weber, corregida en 6.3]</w:t>
      </w:r>
    </w:p>
    <w:p>
      <w:r>
        <w:rPr>
          <w:b/>
        </w:rPr>
        <w:t>8. «A un Estado no se le juzga por la coherencia de sus actos».</w:t>
      </w:r>
    </w:p>
    <w:p>
      <w:pPr>
        <w:pStyle w:val="ListBullet"/>
      </w:pPr>
      <w:r>
        <w:rPr>
          <w:i/>
        </w:rPr>
        <w:t>La defensa del Estado:</w:t>
      </w:r>
      <w:r>
        <w:t xml:space="preserve"> el Estado no es una persona: se le juzga por su legalidad y sus procedimientos, que la Constitución garantiza, no por su coherencia moral. Y la incoherencia no rompe un pacto constitucional.</w:t>
      </w:r>
    </w:p>
    <w:p>
      <w:pPr>
        <w:pStyle w:val="ListBullet"/>
      </w:pPr>
      <w:r>
        <w:rPr>
          <w:i/>
        </w:rPr>
        <w:t>Lo que la obra responde:</w:t>
      </w:r>
      <w:r>
        <w:t xml:space="preserve"> su propia ley lo mide por resultados: manda «promover las condiciones para que la libertad y la igualdad del individuo y de los grupos en que se integra sean reales y efectivas»</w:t>
      </w:r>
      <w:r>
        <w:t xml:space="preserve"> (Constitución, art. 9.2)</w:t>
      </w:r>
      <w:r>
        <w:br/>
      </w:r>
      <w:r>
        <w:rPr>
          <w:b/>
        </w:rPr>
        <w:t>leída en su fuente · Constitución, art. 9.2</w:t>
      </w:r>
      <w:r>
        <w:br/>
      </w:r>
      <w:r>
        <w:rPr>
          <w:b/>
        </w:rPr>
        <w:t>Archivo leído:</w:t>
      </w:r>
      <w:r>
        <w:t xml:space="preserve"> ce.html (ant\c1\ce.html) · contraste del archivo de pasajes: ✔</w:t>
      </w:r>
      <w:r>
        <w:br/>
      </w:r>
      <w:r>
        <w:rPr>
          <w:b/>
        </w:rPr>
        <w:t>Lugar:</w:t>
      </w:r>
      <w:r>
        <w:t xml:space="preserve"> Constitución, art. 9.2</w:t>
      </w:r>
      <w:r>
        <w:br/>
      </w:r>
      <w:r>
        <w:rPr>
          <w:b/>
        </w:rPr>
        <w:t>Tal como está en la fuente:</w:t>
      </w:r>
      <w:r>
        <w:t xml:space="preserve"> promover las condiciones para que la libertad y la igualdad del individuo y de los grupos en que se integra sean reales y efectivas</w:t>
      </w:r>
      <w:r>
        <w:t>. Y el mismo artículo que garantiza la legalidad garantiza también «la interdicción de la arbitrariedad de los poderes públicos»</w:t>
      </w:r>
      <w:r>
        <w:t xml:space="preserve"> (art. 9.3)</w:t>
      </w:r>
      <w:r>
        <w:br/>
      </w:r>
      <w:r>
        <w:rPr>
          <w:b/>
        </w:rPr>
        <w:t>leída en su fuente · art. 9.3</w:t>
      </w:r>
      <w:r>
        <w:br/>
      </w:r>
      <w:r>
        <w:rPr>
          <w:b/>
        </w:rPr>
        <w:t>Archivo leído:</w:t>
      </w:r>
      <w:r>
        <w:t xml:space="preserve"> ce.html (ant\c1\ce.html) · contraste del archivo de pasajes: ✔</w:t>
      </w:r>
      <w:r>
        <w:br/>
      </w:r>
      <w:r>
        <w:rPr>
          <w:b/>
        </w:rPr>
        <w:t>Lugar:</w:t>
      </w:r>
      <w:r>
        <w:t xml:space="preserve"> art. 9.3</w:t>
      </w:r>
      <w:r>
        <w:br/>
      </w:r>
      <w:r>
        <w:rPr>
          <w:b/>
        </w:rPr>
        <w:t>Tal como está en la fuente:</w:t>
      </w:r>
      <w:r>
        <w:t xml:space="preserve"> la interdicción de la arbitrariedad de los poderes públicos</w:t>
      </w:r>
      <w:r>
        <w:t>. «Por sus frutos los conoceréis» (</w:t>
      </w:r>
      <w:r>
        <w:t>0.5</w:t>
      </w:r>
      <w:r>
        <w:t>): la obra aplica esa vara a las instituciones, no a las personas (</w:t>
      </w:r>
      <w:r>
        <w:t>capítulo 8</w:t>
      </w:r>
      <w:r>
        <w:t>). Y no pide disolver nada por incoherencia: pide auditar, dejar constancia e invitar al Estado a metamorfosearse (</w:t>
      </w:r>
      <w:r>
        <w:t>10.2</w:t>
      </w:r>
      <w:r>
        <w:t>).</w:t>
      </w:r>
    </w:p>
    <w:p>
      <w:pPr>
        <w:pStyle w:val="ListBullet"/>
      </w:pPr>
      <w:r>
        <w:rPr>
          <w:i/>
        </w:rPr>
        <w:t>Dónde aguanta:</w:t>
      </w:r>
      <w:r>
        <w:t xml:space="preserve"> la incoherencia, por sí sola, no anula una ley. La obra no dice que la anule.</w:t>
      </w:r>
    </w:p>
    <w:p>
      <w:r>
        <w:t>[08.00-7.8 y 7.9]</w:t>
      </w:r>
    </w:p>
    <w:p>
      <w:pPr>
        <w:pStyle w:val="Heading3"/>
      </w:pPr>
      <w:r>
        <w:t>Las pruebas y el método</w:t>
      </w:r>
    </w:p>
    <w:p>
      <w:r>
        <w:rPr>
          <w:b/>
        </w:rPr>
        <w:t>9. «Tres pilares son pocos, y la convergencia es una selección interesada».</w:t>
      </w:r>
    </w:p>
    <w:p>
      <w:pPr>
        <w:pStyle w:val="ListBullet"/>
      </w:pPr>
      <w:r>
        <w:rPr>
          <w:i/>
        </w:rPr>
        <w:t>La defensa del Estado:</w:t>
      </w:r>
      <w:r>
        <w:t xml:space="preserve"> buscando, siempre se encuentran tradiciones que digan lo que uno quiere. Y frente a la convergencia hay quien sostuvo lo contrario: los sofistas en Grecia, Yang Zhu en China, y tradiciones como la egipcia o la de Qumrán, que reservaban la ley a unos pocos.</w:t>
      </w:r>
    </w:p>
    <w:p>
      <w:pPr>
        <w:pStyle w:val="ListBullet"/>
      </w:pPr>
      <w:r>
        <w:rPr>
          <w:i/>
        </w:rPr>
        <w:t>Lo que la obra responde:</w:t>
      </w:r>
      <w:r>
        <w:t xml:space="preserve"> esos contrapesos los cita la propia obra, Trasímaco y Yang Zhu entre ellos (</w:t>
      </w:r>
      <w:r>
        <w:t>1.4</w:t>
      </w:r>
      <w:r>
        <w:t>): si nadie hubiera sostenido lo contrario, la convergencia sería sospechosa. Tres patas independientes son el mínimo que el método exige, no su techo (</w:t>
      </w:r>
      <w:r>
        <w:t>0.5</w:t>
      </w:r>
      <w:r>
        <w:t xml:space="preserve"> y </w:t>
      </w:r>
      <w:r>
        <w:t>1.4</w:t>
      </w:r>
      <w:r>
        <w:t>). La obra conserva las diferencias en lugar de aplanarlas: en el mal, solo dos de las nueve tradiciones son dualistas, y se dice (</w:t>
      </w:r>
      <w:r>
        <w:t>capítulo 4</w:t>
      </w:r>
      <w:r>
        <w:t>). Y Egipto y Qumrán no niegan la ley: la reservan a unos pocos; van como contraejemplos, no se esconden (</w:t>
      </w:r>
      <w:r>
        <w:t>1.4</w:t>
      </w:r>
      <w:r>
        <w:t>).</w:t>
      </w:r>
    </w:p>
    <w:p>
      <w:pPr>
        <w:pStyle w:val="ListBullet"/>
      </w:pPr>
      <w:r>
        <w:rPr>
          <w:i/>
        </w:rPr>
        <w:t>Dónde aguanta:</w:t>
      </w:r>
      <w:r>
        <w:t xml:space="preserve"> tres coincidencias no prueban una verdad revelada: prueban una constante humana, y así se presentan.</w:t>
      </w:r>
    </w:p>
    <w:p>
      <w:r>
        <w:t>[01.00-17.4 y 17.5; 05.00-12.8 y 12.9]</w:t>
      </w:r>
    </w:p>
    <w:p>
      <w:r>
        <w:rPr>
          <w:b/>
        </w:rPr>
        <w:t>10. «Medir artículo por artículo es simplista, y los dos grupos son una clasificación del autor».</w:t>
      </w:r>
    </w:p>
    <w:p>
      <w:pPr>
        <w:pStyle w:val="ListBullet"/>
      </w:pPr>
      <w:r>
        <w:rPr>
          <w:i/>
        </w:rPr>
        <w:t>La defensa del Estado:</w:t>
      </w:r>
      <w:r>
        <w:t xml:space="preserve"> muchos artículos son principios rectores, y la Constitución dice qué valen: «informarán la legislación positiva, la práctica judicial y la actuación de los poderes públicos. Sólo podrán ser alegados ante la Jurisdicción ordinaria de acuerdo con lo que dispongan las leyes que los desarrollen»</w:t>
      </w:r>
      <w:r>
        <w:t xml:space="preserve"> (Constitución, art. 53.3)</w:t>
      </w:r>
      <w:r>
        <w:br/>
      </w:r>
      <w:r>
        <w:rPr>
          <w:b/>
        </w:rPr>
        <w:t>leída en su fuente · Constitución, art. 53.3</w:t>
      </w:r>
      <w:r>
        <w:br/>
      </w:r>
      <w:r>
        <w:rPr>
          <w:b/>
        </w:rPr>
        <w:t>Archivo leído:</w:t>
      </w:r>
      <w:r>
        <w:t xml:space="preserve"> ce.html (ant\c1\ce.html) · contraste del archivo de pasajes: ✔</w:t>
      </w:r>
      <w:r>
        <w:br/>
      </w:r>
      <w:r>
        <w:rPr>
          <w:b/>
        </w:rPr>
        <w:t>Lugar:</w:t>
      </w:r>
      <w:r>
        <w:t xml:space="preserve"> (paso 2 bis) el artículo citado trata de lo que dice la obra (leído en el texto descargado, al lado en el cotejo) | texto de la fuente</w:t>
      </w:r>
      <w:r>
        <w:br/>
      </w:r>
      <w:r>
        <w:rPr>
          <w:b/>
        </w:rPr>
        <w:t>Tal como está en la fuente:</w:t>
      </w:r>
      <w:r>
        <w:t xml:space="preserve"> 3. El reconocimiento, el respeto y la protección de los principios reconocidos en el Capítulo tercero informarán la legislación positiva, la práctica judicial y la actuación de los poderes públicos. Sólo podrán ser alegados ante la Jurisdicción ordinaria de acuerdo con lo que dispongan las leyes que los desarrollen. Subir [Bloque 63: #a54]</w:t>
      </w:r>
      <w:r>
        <w:t>. Reducirlos a un sí o un no simplifica. Y separar la Constitución en «bien común» y «organigrama del poder» es un criterio del autor: con otro, el resultado cambiaría; llamar «incumplimiento» a lo que no se ha desarrollado es una calificación, no un dato.</w:t>
      </w:r>
    </w:p>
    <w:p>
      <w:pPr>
        <w:pStyle w:val="ListBullet"/>
      </w:pPr>
      <w:r>
        <w:rPr>
          <w:i/>
        </w:rPr>
        <w:t>Lo que la obra responde:</w:t>
      </w:r>
      <w:r>
        <w:t xml:space="preserve"> cada calificación lleva su hecho y su fuente, y donde falta dato se dice: 7 artículos quedan pendientes. En 23 de los 69 incumplimientos no opina el autor: ya hay una declaración formal externa (</w:t>
      </w:r>
      <w:r>
        <w:t>7.1</w:t>
      </w:r>
      <w:r>
        <w:t>). El criterio se fijó antes de contar y está publicado artículo por artículo (</w:t>
      </w:r>
      <w:r>
        <w:t>anexo A</w:t>
      </w:r>
      <w:r>
        <w:t>): cualquiera puede rehacerlo. Y la propia Constitución llama derechos a esos principios: «Todos los españoles tienen derecho a disfrutar de una vivienda digna y adecuada»</w:t>
      </w:r>
      <w:r>
        <w:t xml:space="preserve"> (Constitución, art. 47)</w:t>
      </w:r>
      <w:r>
        <w:br/>
      </w:r>
      <w:r>
        <w:rPr>
          <w:b/>
        </w:rPr>
        <w:t>leída en su fuente · Constitución, art. 47</w:t>
      </w:r>
      <w:r>
        <w:br/>
      </w:r>
      <w:r>
        <w:rPr>
          <w:b/>
        </w:rPr>
        <w:t>Archivo leído:</w:t>
      </w:r>
      <w:r>
        <w:t xml:space="preserve"> constitucion_1978.html (c5\constitucion_1978.html) · contraste del archivo de pasajes: ✔</w:t>
      </w:r>
      <w:r>
        <w:br/>
      </w:r>
      <w:r>
        <w:rPr>
          <w:b/>
        </w:rPr>
        <w:t>Lugar:</w:t>
      </w:r>
      <w:r>
        <w:t xml:space="preserve"> Art. 47 (#a47)</w:t>
      </w:r>
      <w:r>
        <w:br/>
      </w:r>
      <w:r>
        <w:rPr>
          <w:b/>
        </w:rPr>
        <w:t>Dirección:</w:t>
      </w:r>
      <w:r>
        <w:t xml:space="preserve"> </w:t>
      </w:r>
      <w:r>
        <w:t>https://www.boe.es/buscar/act.php?id=BOE-A-1978-31229</w:t>
      </w:r>
      <w:r>
        <w:br/>
      </w:r>
      <w:r>
        <w:rPr>
          <w:b/>
        </w:rPr>
        <w:t>Tal como está en la fuente:</w:t>
      </w:r>
      <w:r>
        <w:t xml:space="preserve"> Todos los españoles tienen derecho a disfrutar de una vivienda digna y adecuada.</w:t>
      </w:r>
      <w:r>
        <w:t>. Al ciudadano no se le admite como excusa que todavía no lo ha desarrollado. Donde un artículo es una facultad y no una obligación, la auditoría lo dice.</w:t>
      </w:r>
    </w:p>
    <w:p>
      <w:pPr>
        <w:pStyle w:val="ListBullet"/>
      </w:pPr>
      <w:r>
        <w:rPr>
          <w:i/>
        </w:rPr>
        <w:t>Dónde aguanta:</w:t>
      </w:r>
      <w:r>
        <w:t xml:space="preserve"> el art. 53.3 es real: un principio rector no se puede reclamar ante el juez por sí solo. La obra mide si se cumple, no si se puede reclamar.</w:t>
      </w:r>
    </w:p>
    <w:p>
      <w:r>
        <w:t>[14.00-8.4 y 8.5; 18.00-7.2 y 7.3]</w:t>
      </w:r>
    </w:p>
    <w:p>
      <w:r>
        <w:rPr>
          <w:b/>
        </w:rPr>
        <w:t>11. «Los hechos están seleccionados para condenar».</w:t>
      </w:r>
    </w:p>
    <w:p>
      <w:pPr>
        <w:pStyle w:val="ListBullet"/>
      </w:pPr>
      <w:r>
        <w:rPr>
          <w:i/>
        </w:rPr>
        <w:t>La defensa del Estado:</w:t>
      </w:r>
      <w:r>
        <w:t xml:space="preserve"> un caso negativo no prueba un incumplimiento general: buscando, siempre se encuentra un hecho que encaje.</w:t>
      </w:r>
    </w:p>
    <w:p>
      <w:pPr>
        <w:pStyle w:val="ListBullet"/>
      </w:pPr>
      <w:r>
        <w:rPr>
          <w:i/>
        </w:rPr>
        <w:t>Lo que la obra responde:</w:t>
      </w:r>
      <w:r>
        <w:t xml:space="preserve"> el primer paso del método es justo evitarlo: el texto completo, los 169 artículos, sin selección previa (</w:t>
      </w:r>
      <w:r>
        <w:t>7.1</w:t>
      </w:r>
      <w:r>
        <w:t>). La auditoría registra también lo que se cumple, 93 artículos, y las veces que el sistema se frenó a sí mismo (</w:t>
      </w:r>
      <w:r>
        <w:t>cargo 24</w:t>
      </w:r>
      <w:r>
        <w:t>). Y su conclusión no es la de quien busca condenar: no encuentra una tiranía sistemática (</w:t>
      </w:r>
      <w:r>
        <w:t>7.1</w:t>
      </w:r>
      <w:r>
        <w:t>).</w:t>
      </w:r>
    </w:p>
    <w:p>
      <w:pPr>
        <w:pStyle w:val="ListBullet"/>
      </w:pPr>
      <w:r>
        <w:rPr>
          <w:i/>
        </w:rPr>
        <w:t>Dónde aguanta:</w:t>
      </w:r>
      <w:r>
        <w:t xml:space="preserve"> un caso no prueba una regla. Por eso la obra cuenta artículos, no casos.</w:t>
      </w:r>
    </w:p>
    <w:p>
      <w:r>
        <w:t>[14.00-8.6 y 8.7]</w:t>
      </w:r>
    </w:p>
    <w:p>
      <w:r>
        <w:rPr>
          <w:b/>
        </w:rPr>
        <w:t>12. «El auditor no es independiente».</w:t>
      </w:r>
    </w:p>
    <w:p>
      <w:pPr>
        <w:pStyle w:val="ListBullet"/>
      </w:pPr>
      <w:r>
        <w:rPr>
          <w:i/>
        </w:rPr>
        <w:t>La defensa del Estado:</w:t>
      </w:r>
      <w:r>
        <w:t xml:space="preserve"> «El Tribunal de Cuentas es el supremo órgano fiscalizador de las cuentas y de la gestión económica de Estado», y sus miembros gozan «de la misma independencia e inamovilidad» que los jueces</w:t>
      </w:r>
      <w:r>
        <w:t xml:space="preserve"> (Constitución, art. 136.1 y 136.3)</w:t>
      </w:r>
      <w:r>
        <w:t>. Una auditoría hecha por un ciudadano con una tesis previa no tiene esa independencia.</w:t>
      </w:r>
    </w:p>
    <w:p>
      <w:pPr>
        <w:pStyle w:val="ListBullet"/>
      </w:pPr>
      <w:r>
        <w:rPr>
          <w:i/>
        </w:rPr>
        <w:t>Lo que la obra responde:</w:t>
      </w:r>
      <w:r>
        <w:t xml:space="preserve"> el criterio es el del propio auditado: la norma mundial de los tribunales de cuentas mide la economía, la eficiencia y la eficacia, no solo el procedimiento (</w:t>
      </w:r>
      <w:r>
        <w:t>7.5</w:t>
      </w:r>
      <w:r>
        <w:t>). El método se puede repetir, y cada artículo se comprueba con su fuente (</w:t>
      </w:r>
      <w:r>
        <w:t>anexo A</w:t>
      </w:r>
      <w:r>
        <w:t xml:space="preserve">; </w:t>
      </w:r>
      <w:r>
        <w:t>anexo G</w:t>
      </w:r>
      <w:r>
        <w:t>). La obra separa los datos de la lectura del autor e invita a cada institución a responder antes del veredicto (</w:t>
      </w:r>
      <w:r>
        <w:t>11.1</w:t>
      </w:r>
      <w:r>
        <w:t>).</w:t>
      </w:r>
    </w:p>
    <w:p>
      <w:pPr>
        <w:pStyle w:val="ListBullet"/>
      </w:pPr>
      <w:r>
        <w:rPr>
          <w:i/>
        </w:rPr>
        <w:t>Dónde aguanta:</w:t>
      </w:r>
      <w:r>
        <w:t xml:space="preserve"> es cierto: el autor no es un órgano independiente, y tiene una tesis. Por eso no pide que se le crea: pone cada prueba a la vista (</w:t>
      </w:r>
      <w:r>
        <w:t>0.2</w:t>
      </w:r>
      <w:r>
        <w:t>).</w:t>
      </w:r>
    </w:p>
    <w:p>
      <w:r>
        <w:t>[14.00-8.8 y 8.9]</w:t>
      </w:r>
    </w:p>
    <w:p>
      <w:r>
        <w:rPr>
          <w:b/>
        </w:rPr>
        <w:t>13. «Las citas son de opositores ideológicos, y algunas no están verificadas».</w:t>
      </w:r>
    </w:p>
    <w:p>
      <w:pPr>
        <w:pStyle w:val="ListBullet"/>
      </w:pPr>
      <w:r>
        <w:rPr>
          <w:i/>
        </w:rPr>
        <w:t>La defensa del Estado:</w:t>
      </w:r>
      <w:r>
        <w:t xml:space="preserve"> las advertencias sobre el dinero vienen de autores con una postura previa contra el dinero sin respaldo, y dos de las citas ni siquiera tienen fuente primaria.</w:t>
      </w:r>
    </w:p>
    <w:p>
      <w:pPr>
        <w:pStyle w:val="ListBullet"/>
      </w:pPr>
      <w:r>
        <w:rPr>
          <w:i/>
        </w:rPr>
        <w:t>Lo que la obra responde:</w:t>
      </w:r>
      <w:r>
        <w:t xml:space="preserve"> esas dos, la atribuida a Lenin y la que circula a nombre de Friedman, la obra las apartó y no las usa como prueba (</w:t>
      </w:r>
      <w:r>
        <w:t>8.2</w:t>
      </w:r>
      <w:r>
        <w:t>). Las demás están en documentos fechados y leídos en su original (</w:t>
      </w:r>
      <w:r>
        <w:t>8.2</w:t>
      </w:r>
      <w:r>
        <w:t>). Y el efecto que describen lo mide hoy el propio Banco de España (</w:t>
      </w:r>
      <w:r>
        <w:t>8.3</w:t>
      </w:r>
      <w:r>
        <w:t>).</w:t>
      </w:r>
    </w:p>
    <w:p>
      <w:pPr>
        <w:pStyle w:val="ListBullet"/>
      </w:pPr>
      <w:r>
        <w:rPr>
          <w:i/>
        </w:rPr>
        <w:t>Dónde aguanta:</w:t>
      </w:r>
      <w:r>
        <w:t xml:space="preserve"> la postura del que avisa no hace falso el aviso, pero tampoco verdadero. Por eso cuenta el dato, no la cita.</w:t>
      </w:r>
    </w:p>
    <w:p>
      <w:r>
        <w:t>[25.00-11.8 y 11.9]</w:t>
      </w:r>
    </w:p>
    <w:p>
      <w:r>
        <w:rPr>
          <w:b/>
        </w:rPr>
        <w:t>14. «La desconfianza en las instituciones también es un sesgo».</w:t>
      </w:r>
    </w:p>
    <w:p>
      <w:pPr>
        <w:pStyle w:val="ListBullet"/>
      </w:pPr>
      <w:r>
        <w:rPr>
          <w:i/>
        </w:rPr>
        <w:t>La defensa del Estado:</w:t>
      </w:r>
      <w:r>
        <w:t xml:space="preserve"> si la percepción de declive moral es una ilusión de la memoria y de la exposición a lo negativo, la desconfianza en las instituciones puede ser la misma ilusión: los medios amplifican cada escándalo, y nadie informa de lo que funciona.</w:t>
      </w:r>
    </w:p>
    <w:p>
      <w:pPr>
        <w:pStyle w:val="ListBullet"/>
      </w:pPr>
      <w:r>
        <w:rPr>
          <w:i/>
        </w:rPr>
        <w:t>Lo que la obra responde:</w:t>
      </w:r>
      <w:r>
        <w:t xml:space="preserve"> es la objeción más seria, y la obra la acepta como riesgo (</w:t>
      </w:r>
      <w:r>
        <w:t>8.9</w:t>
      </w:r>
      <w:r>
        <w:t>). Por eso no se apoya en impresiones, sino en hechos con fuente: un Constitucional que admitió 59 de 9.089 amparos en 2025 (</w:t>
      </w:r>
      <w:r>
        <w:t>5.1</w:t>
      </w:r>
      <w:r>
        <w:t>, n.º 19) y 32.704 personas que murieron en 2025 esperando la dependencia (</w:t>
      </w:r>
      <w:r>
        <w:t>8.5</w:t>
      </w:r>
      <w:r>
        <w:t>). Y mide el texto completo, no los escándalos: 169 artículos, con el incumplimiento en el 62,1 % de los que prometen el bien común (</w:t>
      </w:r>
      <w:r>
        <w:t>7.4</w:t>
      </w:r>
      <w:r>
        <w:t>).</w:t>
      </w:r>
    </w:p>
    <w:p>
      <w:pPr>
        <w:pStyle w:val="ListBullet"/>
      </w:pPr>
      <w:r>
        <w:rPr>
          <w:i/>
        </w:rPr>
        <w:t>Dónde aguanta:</w:t>
      </w:r>
      <w:r>
        <w:t xml:space="preserve"> el sesgo existe, también en quien escribe. La defensa contra él es la fuente, no la impresión.</w:t>
      </w:r>
    </w:p>
    <w:p>
      <w:r>
        <w:t>[29.00-8.2 y 8.3]</w:t>
      </w:r>
    </w:p>
    <w:p>
      <w:r>
        <w:rPr>
          <w:b/>
        </w:rPr>
        <w:t>15. «No existe ningún plan mundial».</w:t>
      </w:r>
    </w:p>
    <w:p>
      <w:pPr>
        <w:pStyle w:val="ListBullet"/>
      </w:pPr>
      <w:r>
        <w:rPr>
          <w:i/>
        </w:rPr>
        <w:t>La defensa del Estado:</w:t>
      </w:r>
      <w:r>
        <w:t xml:space="preserve"> la idea de una estrategia mundial para mantener endeudada a la población es una teoría conspirativa sin prueba.</w:t>
      </w:r>
    </w:p>
    <w:p>
      <w:pPr>
        <w:pStyle w:val="ListBullet"/>
      </w:pPr>
      <w:r>
        <w:rPr>
          <w:i/>
        </w:rPr>
        <w:t>Lo que la obra responde:</w:t>
      </w:r>
      <w:r>
        <w:t xml:space="preserve"> la obra lo dijo antes: lo hallado es un «patrón documentado, sin intención probada», y solo cambiaría con una fuente que muestre declaración o coordinación (</w:t>
      </w:r>
      <w:r>
        <w:t>8.1</w:t>
      </w:r>
      <w:r>
        <w:t>). No necesita probar una intención: el efecto se mide igual, se haya buscado o no, y la intención, cuando se menciona, va como lectura del autor. Lo verificable basta: quién crea el dinero, quién gana con su pérdida de valor y qué pago tiene prioridad absoluta (</w:t>
      </w:r>
      <w:r>
        <w:t>8.1</w:t>
      </w:r>
      <w:r>
        <w:t xml:space="preserve">; </w:t>
      </w:r>
      <w:r>
        <w:t>7.2</w:t>
      </w:r>
      <w:r>
        <w:t>, n.º 4).</w:t>
      </w:r>
    </w:p>
    <w:p>
      <w:pPr>
        <w:pStyle w:val="ListBullet"/>
      </w:pPr>
      <w:r>
        <w:rPr>
          <w:i/>
        </w:rPr>
        <w:t>Dónde aguanta:</w:t>
      </w:r>
      <w:r>
        <w:t xml:space="preserve"> no hay prueba de un plan, y la obra no lo afirma.</w:t>
      </w:r>
    </w:p>
    <w:p>
      <w:r>
        <w:t>[24.00-9.10 y 9.11]</w:t>
      </w:r>
    </w:p>
    <w:p>
      <w:pPr>
        <w:pStyle w:val="Heading3"/>
      </w:pPr>
      <w:r>
        <w:t>Las imágenes y las palabras</w:t>
      </w:r>
    </w:p>
    <w:p>
      <w:r>
        <w:rPr>
          <w:b/>
        </w:rPr>
        <w:t>16. «Usar la imagen del diablo para el Estado, y hablar de bien y mal, es demonizar al adversario».</w:t>
      </w:r>
    </w:p>
    <w:p>
      <w:pPr>
        <w:pStyle w:val="ListBullet"/>
      </w:pPr>
      <w:r>
        <w:rPr>
          <w:i/>
        </w:rPr>
        <w:t>La defensa del Estado:</w:t>
      </w:r>
      <w:r>
        <w:t xml:space="preserve"> aplicar al Estado las imágenes de Satán, Legión o la Bestia, y hablar del «padre de la mentira», es maniqueísmo: convierte al adversario en enemigo, deslegitima las instituciones de una democracia que propugna «el pluralismo político»</w:t>
      </w:r>
      <w:r>
        <w:t xml:space="preserve"> (Constitución, art. 1.1)</w:t>
      </w:r>
      <w:r>
        <w:t xml:space="preserve"> y cierra el diálogo.</w:t>
      </w:r>
    </w:p>
    <w:p>
      <w:pPr>
        <w:pStyle w:val="ListBullet"/>
      </w:pPr>
      <w:r>
        <w:rPr>
          <w:i/>
        </w:rPr>
        <w:t>Lo que la obra responde:</w:t>
      </w:r>
      <w:r>
        <w:t xml:space="preserve"> la obra rechaza el maniqueísmo: solo dos de las nueve tradiciones sostienen dos poderes iguales (</w:t>
      </w:r>
      <w:r>
        <w:t>capítulo 4</w:t>
      </w:r>
      <w:r>
        <w:t>). Su regla de lectura es la de Agustín: los hijos del diablo lo son «imitándolo, no naciendo de él»</w:t>
      </w:r>
      <w:r>
        <w:t xml:space="preserve"> [original: «Imitando, non nascendo»]</w:t>
      </w:r>
      <w:r>
        <w:t>, y «no os fijéis en la naturaleza, sino en la tara»</w:t>
      </w:r>
      <w:r>
        <w:t xml:space="preserve"> [original: «nolite attendere naturam, sed vitium»]</w:t>
      </w:r>
      <w:r>
        <w:t xml:space="preserve"> (Agustín, Tratado 42 sobre el Evangelio de Juan, n.º 10 y 15; traducción publicada en augustinus.it)</w:t>
      </w:r>
      <w:r>
        <w:br/>
      </w:r>
      <w:r>
        <w:rPr>
          <w:b/>
        </w:rPr>
        <w:t>leída en su fuente · Agustín, Tratado 42 sobre el Evangelio de Juan, n.º 10 y 15; traducción publicada en augus</w:t>
      </w:r>
      <w:r>
        <w:br/>
      </w:r>
      <w:r>
        <w:rPr>
          <w:b/>
        </w:rPr>
        <w:t>Archivo leído:</w:t>
      </w:r>
      <w:r>
        <w:t xml:space="preserve"> Agustin_Tratado_42_sobre_Juan_espanol_augustinus-it.htm; Agustin_In_Iohannis_tract_42_latin_augustinus-it.htm (c9d\Agustin_Tratado_42_sobre_Juan_espanol_augustinus-it.htm) · contraste del archivo de pasajes: ✔</w:t>
      </w:r>
      <w:r>
        <w:br/>
      </w:r>
      <w:r>
        <w:rPr>
          <w:b/>
        </w:rPr>
        <w:t>Lugar:</w:t>
      </w:r>
      <w:r>
        <w:t xml:space="preserve"> N. 15</w:t>
      </w:r>
      <w:r>
        <w:br/>
      </w:r>
      <w:r>
        <w:rPr>
          <w:b/>
        </w:rPr>
        <w:t>Tal como está en la fuente:</w:t>
      </w:r>
      <w:r>
        <w:t xml:space="preserve"> De nuevo, no os fijéis en la naturaleza, sino en la tara. Así son de Dios y no son de Dios ésos: por naturaleza, de Dios; por la tara, no de Dios.</w:t>
      </w:r>
      <w:r>
        <w:t>. Describe actos, no personas. La imagen del padre de la mentira va siempre como lectura del autor, con una sola fórmula (</w:t>
      </w:r>
      <w:r>
        <w:t>4.4</w:t>
      </w:r>
      <w:r>
        <w:t>). Y la imagen no la inventó la obra: Hobbes, en 1651, llamó al Estado Leviatán, «ese Dios mortal» (</w:t>
      </w:r>
      <w:r>
        <w:t>6.1</w:t>
      </w:r>
      <w:r>
        <w:t>).</w:t>
      </w:r>
    </w:p>
    <w:p>
      <w:pPr>
        <w:pStyle w:val="ListBullet"/>
      </w:pPr>
      <w:r>
        <w:rPr>
          <w:i/>
        </w:rPr>
        <w:t>Dónde aguanta:</w:t>
      </w:r>
      <w:r>
        <w:t xml:space="preserve"> la imagen es dura, y puede herir a quien sirve bien dentro de la institución. Por eso va marcada como lectura y nunca se dirige a una persona. La máscara, por sí sola, no es el mal (n.º 18).</w:t>
      </w:r>
    </w:p>
    <w:p>
      <w:r>
        <w:t>[04.00-8.4 y 8.5; 05.00-12.4 y 12.5]</w:t>
      </w:r>
    </w:p>
    <w:p>
      <w:r>
        <w:rPr>
          <w:b/>
        </w:rPr>
        <w:t>17. «El Estado no es un ente sin cuerpo: sus cargos responden».</w:t>
      </w:r>
    </w:p>
    <w:p>
      <w:pPr>
        <w:pStyle w:val="ListBullet"/>
      </w:pPr>
      <w:r>
        <w:rPr>
          <w:i/>
        </w:rPr>
        <w:t>La defensa del Estado:</w:t>
      </w:r>
      <w:r>
        <w:t xml:space="preserve"> el Estado actúa por cargos con nombre y apellidos, y la ley prevé que respondan: la Administración indemniza los daños que causa</w:t>
      </w:r>
      <w:r>
        <w:t xml:space="preserve"> (Ley 40/2015, art. 32)</w:t>
      </w:r>
      <w:r>
        <w:t>, y la autoridad o el funcionario que, a sabiendas de su injusticia, dicta una resolución arbitraria comete prevaricación</w:t>
      </w:r>
      <w:r>
        <w:t xml:space="preserve"> (Código Penal, art. 404)</w:t>
      </w:r>
      <w:r>
        <w:t>.</w:t>
      </w:r>
    </w:p>
    <w:p>
      <w:pPr>
        <w:pStyle w:val="ListBullet"/>
      </w:pPr>
      <w:r>
        <w:rPr>
          <w:i/>
        </w:rPr>
        <w:t>Lo que la obra responde:</w:t>
      </w:r>
      <w:r>
        <w:t xml:space="preserve"> la obra lo concede en su capítulo: el mal no está en la máscara, sino en la máscara sin responsabilidad (</w:t>
      </w:r>
      <w:r>
        <w:t>capítulo 4</w:t>
      </w:r>
      <w:r>
        <w:t>, límite honesto). Pero, con su propia ley, la institución misma queda fuera: «Las disposiciones relativas a la responsabilidad penal de las personas jurídicas no serán aplicables al Estado, a las Administraciones públicas territoriales e institucionales»</w:t>
      </w:r>
      <w:r>
        <w:t xml:space="preserve"> (Código Penal, art. 31 quinquies.1)</w:t>
      </w:r>
      <w:r>
        <w:br/>
      </w:r>
      <w:r>
        <w:rPr>
          <w:b/>
        </w:rPr>
        <w:t>leída en su fuente · Código Penal, art. 31 quinquies.1</w:t>
      </w:r>
      <w:r>
        <w:br/>
      </w:r>
      <w:r>
        <w:rPr>
          <w:b/>
        </w:rPr>
        <w:t>Archivo leído:</w:t>
      </w:r>
      <w:r>
        <w:t xml:space="preserve"> 8.5_15a_Codigo_Penal_BOE-A-1995-25444.html (c8c\8.5_15a_Codigo_Penal_BOE-A-1995-25444.html) · contraste del archivo de pasajes: ✔</w:t>
      </w:r>
      <w:r>
        <w:br/>
      </w:r>
      <w:r>
        <w:rPr>
          <w:b/>
        </w:rPr>
        <w:t>Lugar:</w:t>
      </w:r>
      <w:r>
        <w:t xml:space="preserve"> Art. 31 quinquies.1</w:t>
      </w:r>
      <w:r>
        <w:br/>
      </w:r>
      <w:r>
        <w:rPr>
          <w:b/>
        </w:rPr>
        <w:t>Dirección:</w:t>
      </w:r>
      <w:r>
        <w:t xml:space="preserve"> </w:t>
      </w:r>
      <w:r>
        <w:t>https://www.boe.es/buscar/act.php?id=BOE-A-1995-25444#a31quinquies</w:t>
      </w:r>
      <w:r>
        <w:br/>
      </w:r>
      <w:r>
        <w:rPr>
          <w:b/>
        </w:rPr>
        <w:t>Tal como está en la fuente:</w:t>
      </w:r>
      <w:r>
        <w:t xml:space="preserve"> Las disposiciones relativas a la responsabilidad penal de las personas jurídicas no serán aplicables al Estado, a las Administraciones públicas territoriales e institucionales, a los Organismos Reguladores, las Agencias y Entidades públicas Empresariales, a las organizaciones internacionales de derecho público, ni a aquellas otras que ejerzan potestades públicas de soberanía o administrativas.</w:t>
      </w:r>
      <w:r>
        <w:t>; el Estado no puede ser declarado en concurso (</w:t>
      </w:r>
      <w:r>
        <w:t>5.1</w:t>
      </w:r>
      <w:r>
        <w:t>, n.º 7); por el daño de un servicio público, el particular reclama a la Administración, no al funcionario (</w:t>
      </w:r>
      <w:r>
        <w:t>10.4</w:t>
      </w:r>
      <w:r>
        <w:t>); y 17.603 cargos de las instituciones están aforados (</w:t>
      </w:r>
      <w:r>
        <w:t>8.5</w:t>
      </w:r>
      <w:r>
        <w:t>). La responsabilidad se va hacia arriba, a la máscara, o hacia abajo, al que obedecía.</w:t>
      </w:r>
    </w:p>
    <w:p>
      <w:pPr>
        <w:pStyle w:val="ListBullet"/>
      </w:pPr>
      <w:r>
        <w:rPr>
          <w:i/>
        </w:rPr>
        <w:t>Dónde aguanta:</w:t>
      </w:r>
      <w:r>
        <w:t xml:space="preserve"> los cargos pueden responder, y la ley lo prevé. La obra no dice que nadie responda: dice que la institución queda fuera.</w:t>
      </w:r>
    </w:p>
    <w:p>
      <w:r>
        <w:t>[04.00-8.2 y 8.3]</w:t>
      </w:r>
    </w:p>
    <w:p>
      <w:r>
        <w:rPr>
          <w:b/>
        </w:rPr>
        <w:t>18. «La persona jurídica es una ficción necesaria».</w:t>
      </w:r>
    </w:p>
    <w:p>
      <w:pPr>
        <w:pStyle w:val="ListBullet"/>
      </w:pPr>
      <w:r>
        <w:rPr>
          <w:i/>
        </w:rPr>
        <w:t>La defensa del Estado:</w:t>
      </w:r>
      <w:r>
        <w:t xml:space="preserve"> sin personalidad jurídica no habría contratos, hospitales, pensiones ni servicios públicos: la ficción es útil y no tiene nada de maligno.</w:t>
      </w:r>
    </w:p>
    <w:p>
      <w:pPr>
        <w:pStyle w:val="ListBullet"/>
      </w:pPr>
      <w:r>
        <w:rPr>
          <w:i/>
        </w:rPr>
        <w:t>Lo que la obra responde:</w:t>
      </w:r>
      <w:r>
        <w:t xml:space="preserve"> concedido en su capítulo: la persona jurídica también sirve a la vida (</w:t>
      </w:r>
      <w:r>
        <w:t>capítulo 4</w:t>
      </w:r>
      <w:r>
        <w:t xml:space="preserve">, límite honesto). Lo que la obra documenta es su origen, la </w:t>
      </w:r>
      <w:r>
        <w:rPr>
          <w:i/>
        </w:rPr>
        <w:t>persona ficta</w:t>
      </w:r>
      <w:r>
        <w:t xml:space="preserve"> que los juristas de la Iglesia empezaron a usar en el siglo XIII (</w:t>
      </w:r>
      <w:r>
        <w:t>2.1</w:t>
      </w:r>
      <w:r>
        <w:t>), y la inmunidad que conserva hoy la persona jurídica pública: fuera de la responsabilidad penal y fuera del concurso (n.º 17).</w:t>
      </w:r>
    </w:p>
    <w:p>
      <w:r>
        <w:t>[04.00-8.6 y 8.7]</w:t>
      </w:r>
    </w:p>
    <w:p>
      <w:r>
        <w:rPr>
          <w:b/>
        </w:rPr>
        <w:t>19. «El Estado como construcción mental es una tesis ideológica».</w:t>
      </w:r>
    </w:p>
    <w:p>
      <w:pPr>
        <w:pStyle w:val="ListBullet"/>
      </w:pPr>
      <w:r>
        <w:rPr>
          <w:i/>
        </w:rPr>
        <w:t>La defensa del Estado:</w:t>
      </w:r>
      <w:r>
        <w:t xml:space="preserve"> que el Estado solo exista porque se cree en él es la tesis de una escuela, no un consenso académico.</w:t>
      </w:r>
    </w:p>
    <w:p>
      <w:pPr>
        <w:pStyle w:val="ListBullet"/>
      </w:pPr>
      <w:r>
        <w:rPr>
          <w:i/>
        </w:rPr>
        <w:t>Lo que la obra responde:</w:t>
      </w:r>
      <w:r>
        <w:t xml:space="preserve"> concedido en su capítulo: es una posición doctrinal (</w:t>
      </w:r>
      <w:r>
        <w:t>capítulo 4</w:t>
      </w:r>
      <w:r>
        <w:t>, límite honesto). Pero el derecho internacional dice algo parecido con sus propias palabras. La Convención de Montevideo, firmada en 1933 por veinte Estados americanos que ya existían, entre los que no está España, define al Estado por requisitos de hecho: población, territorio, gobierno y capacidad de tratar con otros Estados (</w:t>
      </w:r>
      <w:r>
        <w:t>6.2</w:t>
      </w:r>
      <w:r>
        <w:t>). Y añade: «La existencia política del Estado es independiente de su reconocimiento por los demás Estados. Aun antes de reconocido el Estado tiene el derecho de defender su integridad e independencia, proveer a su conservación y prosperidad y, por consiguiente, de organizarse como mejor lo entendiere, legislar sobre sus intereses, administrar sus servicios y determinar la jurisdicción y competencia de sus tribunales»</w:t>
      </w:r>
      <w:r>
        <w:t xml:space="preserve"> (Convención sobre Derechos y Deberes de los Estados, Montevideo, 26-12-1933, art. 3; facsímil de la OEA)</w:t>
      </w:r>
      <w:r>
        <w:br/>
      </w:r>
      <w:r>
        <w:rPr>
          <w:b/>
        </w:rPr>
        <w:t>pasaje guardado · Convención sobre Derechos y Deberes de los Estados, Montevideo, 26-12-1933, art. 3; facsím</w:t>
      </w:r>
      <w:r>
        <w:br/>
      </w:r>
      <w:r>
        <w:rPr>
          <w:b/>
        </w:rPr>
        <w:t>Archivo leído:</w:t>
      </w:r>
      <w:r>
        <w:t xml:space="preserve"> 12.00_Convencion_Montevideo_1933_OEA_facsimil_OCR_tesseract.txt (c6\12.00_Convencion_Montevideo_1933_OEA_facsimil_OCR_tesseract.txt) · contraste del archivo de pasajes: parcial</w:t>
      </w:r>
      <w:r>
        <w:br/>
      </w:r>
      <w:r>
        <w:rPr>
          <w:b/>
        </w:rPr>
        <w:t>Lugar:</w:t>
      </w:r>
      <w:r>
        <w:t xml:space="preserve"> art. 3</w:t>
      </w:r>
      <w:r>
        <w:br/>
      </w:r>
      <w:r>
        <w:rPr>
          <w:b/>
        </w:rPr>
        <w:t>Tal como está en la fuente:</w:t>
      </w:r>
      <w:r>
        <w:t xml:space="preserve"> La existencia política del Estado es independiente de su reconocimiento por los demás Estados</w:t>
      </w:r>
      <w:r>
        <w:t>. Ningún título superior lo crea: se lo da él mismo.</w:t>
      </w:r>
    </w:p>
    <w:p>
      <w:pPr>
        <w:pStyle w:val="ListBullet"/>
      </w:pPr>
      <w:r>
        <w:rPr>
          <w:i/>
        </w:rPr>
        <w:t>De dónde sale:</w:t>
      </w:r>
      <w:r>
        <w:t xml:space="preserve"> la firmaron en la Séptima Conferencia Internacional Americana, el 26-12-1933, Argentina, Brasil, Chile, Colombia, Costa Rica, Cuba, Ecuador, El Salvador, Estados Unidos, Guatemala, Haití, Honduras, México, Nicaragua, Panamá, Paraguay, Perú, la República Dominicana, Uruguay y Venezuela; diecisiete la ratificaron. Quedaba abierta a otros Estados (art. 16), y España no figura ni entre los firmantes ni entre los que la ratificaron o se adhirieron después</w:t>
      </w:r>
      <w:r>
        <w:t xml:space="preserve"> (OEA, estado de firmas y ratificaciones de la Convención, A-40)</w:t>
      </w:r>
      <w:r>
        <w:t>. Entró en vigor el 26-12-1934</w:t>
      </w:r>
      <w:r>
        <w:t xml:space="preserve"> (Treaties and Other International Agreements of the United States of America 1776-1949 (Tratados y otros acuerdos internacionales de los Estados Unidos), ed. Bevans, vol. 3, 1969, copia del Avalon Project)</w:t>
      </w:r>
      <w:r>
        <w:t>.</w:t>
      </w:r>
    </w:p>
    <w:p>
      <w:pPr>
        <w:pStyle w:val="ListBullet"/>
      </w:pPr>
      <w:r>
        <w:rPr>
          <w:i/>
        </w:rPr>
        <w:t>Dónde aguanta:</w:t>
      </w:r>
      <w:r>
        <w:t xml:space="preserve"> quien intenta hacerse Estado dentro de otro, con su misma jerga, pierde: Hutt River se proclamó «provincia» y los tribunales no le dieron la razón (</w:t>
      </w:r>
      <w:r>
        <w:t>6.2</w:t>
      </w:r>
      <w:r>
        <w:t>). La obra no va por ese camino: no se proclama nada; pregunta, presunción por presunción, cuál es la piedra que la sostiene (</w:t>
      </w:r>
      <w:r>
        <w:t>10.4</w:t>
      </w:r>
      <w:r>
        <w:t>).</w:t>
      </w:r>
    </w:p>
    <w:p>
      <w:pPr>
        <w:pStyle w:val="ListBullet"/>
      </w:pPr>
      <w:r>
        <w:rPr>
          <w:i/>
        </w:rPr>
        <w:t>Lectura del autor:</w:t>
      </w:r>
      <w:r>
        <w:t xml:space="preserve"> la pregunta de fondo no es si el Estado puede darse a sí mismo su título, sino de dónde nace cada presunción con que gobierna: de la verdad o de la mentira (</w:t>
      </w:r>
      <w:r>
        <w:t>0.4</w:t>
      </w:r>
      <w:r>
        <w:t>). Lo que nace de la verdad tiene una piedra que se puede enseñar: una prueba, una ley superior, un consentimiento dado (</w:t>
      </w:r>
      <w:r>
        <w:t>5.4</w:t>
      </w:r>
      <w:r>
        <w:t xml:space="preserve">). Lo que se impone sin ella, y se sostiene porque nadie pregunta, esto apunta hacia el padre de la mentira (Jn 8:44; </w:t>
      </w:r>
      <w:r>
        <w:t>4.4</w:t>
      </w:r>
      <w:r>
        <w:t>). Y trae consecuencias: quien acepta en silencio una presunción así reconoce, sin decirlo, que está sometido a ella. Por eso la obra ni se proclama ni desobedece: pregunta por escrito, y deja constancia de la respuesta o del silencio (</w:t>
      </w:r>
      <w:r>
        <w:t>10.4</w:t>
      </w:r>
      <w:r>
        <w:t>). Desde ese momento, el silencio ya no es del ciudadano, sino de la institución. [palabras de Kiko, 6-oct-2026, noche] Y las conclusiones de la obra no dependen de esa tesis, sino de hechos que se pueden comprobar (n.º 17).</w:t>
      </w:r>
    </w:p>
    <w:p>
      <w:r>
        <w:t>[04.00-8.8 y 8.9]</w:t>
      </w:r>
    </w:p>
    <w:p>
      <w:r>
        <w:rPr>
          <w:b/>
        </w:rPr>
        <w:t>20. «Hablar de señorío hoy es un anacronismo».</w:t>
      </w:r>
    </w:p>
    <w:p>
      <w:pPr>
        <w:pStyle w:val="ListBullet"/>
      </w:pPr>
      <w:r>
        <w:rPr>
          <w:i/>
        </w:rPr>
        <w:t>La defensa del Estado:</w:t>
      </w:r>
      <w:r>
        <w:t xml:space="preserve"> el señorío se abolió en 1811: comparar el Estado democrático con un señor feudal es un anacronismo.</w:t>
      </w:r>
    </w:p>
    <w:p>
      <w:pPr>
        <w:pStyle w:val="ListBullet"/>
      </w:pPr>
      <w:r>
        <w:rPr>
          <w:i/>
        </w:rPr>
        <w:t>Lo que la obra responde:</w:t>
      </w:r>
      <w:r>
        <w:t xml:space="preserve"> la obra no los equipara: el decreto de las Cortes de Cádiz es un hecho, y lo celebra (</w:t>
      </w:r>
      <w:r>
        <w:t>6.3</w:t>
      </w:r>
      <w:r>
        <w:t>). Lo que constata es un rasgo que sobrevivió: quien gobierna sigue fijando lo suyo, como la asignación de diputados y senadores, «fijada por las respectivas Cámaras» (</w:t>
      </w:r>
      <w:r>
        <w:t>7.2</w:t>
      </w:r>
      <w:r>
        <w:t>). Que entre el señorío abolido y esa autofijación haya un hilo sin romper es lectura del autor, no dato.</w:t>
      </w:r>
    </w:p>
    <w:p>
      <w:pPr>
        <w:pStyle w:val="ListBullet"/>
      </w:pPr>
      <w:r>
        <w:rPr>
          <w:i/>
        </w:rPr>
        <w:t>Dónde aguanta:</w:t>
      </w:r>
      <w:r>
        <w:t xml:space="preserve"> el señorío, como institución, se acabó en 1811.</w:t>
      </w:r>
    </w:p>
    <w:p>
      <w:r>
        <w:t>[23.00-6.8 y 6.9]</w:t>
      </w:r>
    </w:p>
    <w:p>
      <w:r>
        <w:rPr>
          <w:b/>
        </w:rPr>
        <w:t>21. «No todas las instituciones son iguales».</w:t>
      </w:r>
    </w:p>
    <w:p>
      <w:pPr>
        <w:pStyle w:val="ListBullet"/>
      </w:pPr>
      <w:r>
        <w:rPr>
          <w:i/>
        </w:rPr>
        <w:t>La defensa del Estado:</w:t>
      </w:r>
      <w:r>
        <w:t xml:space="preserve"> hay instituciones que funcionan y tienen la confianza de la gente: meterlas a todas en el mismo saco es injusto.</w:t>
      </w:r>
    </w:p>
    <w:p>
      <w:pPr>
        <w:pStyle w:val="ListBullet"/>
      </w:pPr>
      <w:r>
        <w:rPr>
          <w:i/>
        </w:rPr>
        <w:t>Lo que la obra responde:</w:t>
      </w:r>
      <w:r>
        <w:t xml:space="preserve"> de acuerdo, y por eso se juzga institución por institución y cargo por cargo, nunca en bloque (</w:t>
      </w:r>
      <w:r>
        <w:t>11.1</w:t>
      </w:r>
      <w:r>
        <w:t>). La auditoría registra lo que se cumple, 93 de 169 artículos (</w:t>
      </w:r>
      <w:r>
        <w:t>7.1</w:t>
      </w:r>
      <w:r>
        <w:t>), y cada institución se oye por separado, antes del veredicto.</w:t>
      </w:r>
    </w:p>
    <w:p>
      <w:r>
        <w:t>[29.00-8.6 y 8.7]</w:t>
      </w:r>
    </w:p>
    <w:p>
      <w:pPr>
        <w:pStyle w:val="Heading3"/>
      </w:pPr>
      <w:r>
        <w:t>La obediencia y el propio juicio</w:t>
      </w:r>
    </w:p>
    <w:p>
      <w:r>
        <w:rPr>
          <w:b/>
        </w:rPr>
        <w:t>22. «Retirar la creencia es invitar a la desobediencia», y «no existe el derecho de rebelión».</w:t>
      </w:r>
    </w:p>
    <w:p>
      <w:pPr>
        <w:pStyle w:val="ListBullet"/>
      </w:pPr>
      <w:r>
        <w:rPr>
          <w:i/>
        </w:rPr>
        <w:t>La defensa del Estado:</w:t>
      </w:r>
      <w:r>
        <w:t xml:space="preserve"> «Los ciudadanos y los poderes públicos están sujetos a la Constitución y al resto del ordenamiento jurídico»</w:t>
      </w:r>
      <w:r>
        <w:t xml:space="preserve"> (Constitución, art. 9.1)</w:t>
      </w:r>
      <w:r>
        <w:br/>
      </w:r>
      <w:r>
        <w:rPr>
          <w:b/>
        </w:rPr>
        <w:t>leída en su fuente · Constitución, art. 9.1</w:t>
      </w:r>
      <w:r>
        <w:br/>
      </w:r>
      <w:r>
        <w:rPr>
          <w:b/>
        </w:rPr>
        <w:t>Archivo leído:</w:t>
      </w:r>
      <w:r>
        <w:t xml:space="preserve"> constitucion_1978.html (c5\constitucion_1978.html) · contraste del archivo de pasajes: ✔</w:t>
      </w:r>
      <w:r>
        <w:br/>
      </w:r>
      <w:r>
        <w:rPr>
          <w:b/>
        </w:rPr>
        <w:t>Lugar:</w:t>
      </w:r>
      <w:r>
        <w:t xml:space="preserve"> Art. 9.1 (#a9)</w:t>
      </w:r>
      <w:r>
        <w:br/>
      </w:r>
      <w:r>
        <w:rPr>
          <w:b/>
        </w:rPr>
        <w:t>Dirección:</w:t>
      </w:r>
      <w:r>
        <w:t xml:space="preserve"> </w:t>
      </w:r>
      <w:r>
        <w:t>https://www.boe.es/buscar/act.php?id=BOE-A-1978-31229</w:t>
      </w:r>
      <w:r>
        <w:br/>
      </w:r>
      <w:r>
        <w:rPr>
          <w:b/>
        </w:rPr>
        <w:t>Tal como está en la fuente:</w:t>
      </w:r>
      <w:r>
        <w:t xml:space="preserve"> 1. Los ciudadanos y los poderes públicos están sujetos a la Constitución y al resto del ordenamiento jurídico.</w:t>
      </w:r>
      <w:r>
        <w:t>. La Constitución no reconoce un derecho de resistencia: el cambio se hace por las vías que ella prevé. Decir que el poder vive de la creencia, y que la creencia puede retirarse, es invitar a desobedecer.</w:t>
      </w:r>
    </w:p>
    <w:p>
      <w:pPr>
        <w:pStyle w:val="ListBullet"/>
      </w:pPr>
      <w:r>
        <w:rPr>
          <w:i/>
        </w:rPr>
        <w:t>Lo que la obra responde:</w:t>
      </w:r>
      <w:r>
        <w:t xml:space="preserve"> la obra no propone la rebelión ni la desobediencia, y su dictamen no exime de ninguna obligación (</w:t>
      </w:r>
      <w:r>
        <w:t>0.2</w:t>
      </w:r>
      <w:r>
        <w:t>). Lo que disuelve, en su lectura, es el conocimiento; y el ejemplo que cita apunta en la misma dirección: en Robbers Cave, el enfrentamiento entre los dos grupos no se resolvió con el simple contacto, sino con metas comunes (</w:t>
      </w:r>
      <w:r>
        <w:t>4.1</w:t>
      </w:r>
      <w:r>
        <w:t>). Otras democracias sí escribieron un derecho de resistencia, como la Ley Fundamental alemana (</w:t>
      </w:r>
      <w:r>
        <w:t>6.5</w:t>
      </w:r>
      <w:r>
        <w:t xml:space="preserve">); la española dejó otra puerta, la revisión total (art. 168; </w:t>
      </w:r>
      <w:r>
        <w:t>9.1</w:t>
      </w:r>
      <w:r>
        <w:t>).</w:t>
      </w:r>
    </w:p>
    <w:p>
      <w:pPr>
        <w:pStyle w:val="ListBullet"/>
      </w:pPr>
      <w:r>
        <w:rPr>
          <w:i/>
        </w:rPr>
        <w:t>Dónde aguanta:</w:t>
      </w:r>
      <w:r>
        <w:t xml:space="preserve"> entera. La Constitución española no recoge un derecho de resistencia (</w:t>
      </w:r>
      <w:r>
        <w:t>6.5</w:t>
      </w:r>
      <w:r>
        <w:t>), y la obra no lo reclama.</w:t>
      </w:r>
    </w:p>
    <w:p>
      <w:r>
        <w:t>[04.00-8.10 y 8.11; 10.00-18.12 y 18.13]</w:t>
      </w:r>
    </w:p>
    <w:p>
      <w:r>
        <w:rPr>
          <w:b/>
        </w:rPr>
        <w:t>23. «Si esas afirmaciones no tienen documento, la desconfianza es infundada», y «las normas que esas afirmaciones invitan a desobedecer protegen a todos».</w:t>
      </w:r>
    </w:p>
    <w:p>
      <w:pPr>
        <w:pStyle w:val="ListBullet"/>
      </w:pPr>
      <w:r>
        <w:rPr>
          <w:i/>
        </w:rPr>
        <w:t>La defensa del Estado:</w:t>
      </w:r>
      <w:r>
        <w:t xml:space="preserve"> esas afirmaciones no tienen documento, y los tribunales que las han examinado no las han admitido; quien desconfía del Estado acaba creyendo fantasías. Y normas como el permiso de conducir, con su castigo penal</w:t>
      </w:r>
      <w:r>
        <w:t xml:space="preserve"> (Código Penal, art. 384)</w:t>
      </w:r>
      <w:r>
        <w:t>, protegen a todos.</w:t>
      </w:r>
    </w:p>
    <w:p>
      <w:pPr>
        <w:pStyle w:val="ListBullet"/>
      </w:pPr>
      <w:r>
        <w:rPr>
          <w:i/>
        </w:rPr>
        <w:t>Lo que la obra responde:</w:t>
      </w:r>
      <w:r>
        <w:t xml:space="preserve"> de acuerdo en las dos cosas: la obra lo prueba con fuente primaria y advierte del riesgo penal real, para proteger a quien la lee (</w:t>
      </w:r>
      <w:r>
        <w:t>2.6</w:t>
      </w:r>
      <w:r>
        <w:t xml:space="preserve">; </w:t>
      </w:r>
      <w:r>
        <w:t>anexo E</w:t>
      </w:r>
      <w:r>
        <w:t>). Pero que una afirmación no tenga documento no hace verdadero lo contrario: los incumplimientos de la obra no dependen de ninguna afirmación de esa clase, sino de la letra de la Constitución y de datos oficiales (</w:t>
      </w:r>
      <w:r>
        <w:t>capítulo 7</w:t>
      </w:r>
      <w:r>
        <w:t>). Las presunciones crecen donde la información cuesta: hizo falta una sentencia del Supremo, más de seis años después, para que se entregara el código del programa con que se reparte el bono social (</w:t>
      </w:r>
      <w:r>
        <w:t>8.5</w:t>
      </w:r>
      <w:r>
        <w:t>), y el Consejo de Transparencia recibió 2.767 reclamaciones en 2025 (</w:t>
      </w:r>
      <w:r>
        <w:t>10.2</w:t>
      </w:r>
      <w:r>
        <w:t>). La respuesta a una presunción no es pedir confianza, sino abrir los datos. Y la misma vara vale para los dos lados: a la ley están sujetos los ciudadanos «y los poderes públicos» (n.º 22).</w:t>
      </w:r>
    </w:p>
    <w:p>
      <w:r>
        <w:t>[09.00-7.2, 7.3, 7.8 y 7.9]</w:t>
      </w:r>
    </w:p>
    <w:p>
      <w:r>
        <w:rPr>
          <w:b/>
        </w:rPr>
        <w:t>24. «Nadie puede declararse exento de la ley».</w:t>
      </w:r>
    </w:p>
    <w:p>
      <w:pPr>
        <w:pStyle w:val="ListBullet"/>
      </w:pPr>
      <w:r>
        <w:rPr>
          <w:i/>
        </w:rPr>
        <w:t>La defensa del Estado:</w:t>
      </w:r>
      <w:r>
        <w:t xml:space="preserve"> todos están sometidos a la ley, y nadie puede declararse exento por su voluntad, como dijeron en 2017 los tribunales de Australia en el caso de Hutt River (</w:t>
      </w:r>
      <w:r>
        <w:t>6.2</w:t>
      </w:r>
      <w:r>
        <w:t>).</w:t>
      </w:r>
    </w:p>
    <w:p>
      <w:pPr>
        <w:pStyle w:val="ListBullet"/>
      </w:pPr>
      <w:r>
        <w:rPr>
          <w:i/>
        </w:rPr>
        <w:t>Lo que la obra responde:</w:t>
      </w:r>
      <w:r>
        <w:t xml:space="preserve"> de acuerdo, y la obra descartó ese camino (</w:t>
      </w:r>
      <w:r>
        <w:t>6.2</w:t>
      </w:r>
      <w:r>
        <w:t xml:space="preserve">; </w:t>
      </w:r>
      <w:r>
        <w:t>2.6</w:t>
      </w:r>
      <w:r>
        <w:t>). Pero la regla vale en los dos sentidos: los poderes públicos están sujetos a la Constitución igual que los ciudadanos (n.º 22), y, mientras tanto, los representantes fijan su propia asignación (</w:t>
      </w:r>
      <w:r>
        <w:t>7.2</w:t>
      </w:r>
      <w:r>
        <w:t>) y 17.603 cargos están aforados (</w:t>
      </w:r>
      <w:r>
        <w:t>8.5</w:t>
      </w:r>
      <w:r>
        <w:t>). La vía de la obra no es separarse del Estado, sino la constancia escrita, el Registro y este juicio (</w:t>
      </w:r>
      <w:r>
        <w:t>capítulo 10</w:t>
      </w:r>
      <w:r>
        <w:t>).</w:t>
      </w:r>
    </w:p>
    <w:p>
      <w:pPr>
        <w:pStyle w:val="ListBullet"/>
      </w:pPr>
      <w:r>
        <w:rPr>
          <w:i/>
        </w:rPr>
        <w:t>Dónde aguanta:</w:t>
      </w:r>
      <w:r>
        <w:t xml:space="preserve"> entera, para el ciudadano.</w:t>
      </w:r>
    </w:p>
    <w:p>
      <w:r>
        <w:t>[12.00-6.8 y 6.9]</w:t>
      </w:r>
    </w:p>
    <w:p>
      <w:r>
        <w:rPr>
          <w:b/>
        </w:rPr>
        <w:t>25. «Sin coacción, el derecho sería papel».</w:t>
      </w:r>
    </w:p>
    <w:p>
      <w:pPr>
        <w:pStyle w:val="ListBullet"/>
      </w:pPr>
      <w:r>
        <w:rPr>
          <w:i/>
        </w:rPr>
        <w:t>La defensa del Estado:</w:t>
      </w:r>
      <w:r>
        <w:t xml:space="preserve"> el Estado se reserva el uso legítimo de la fuerza: sin él no se cumplirían las sentencias ni se cobrarían los impuestos que sostienen los servicios. Sus actos «se presumirán válidos y producirán efectos desde la fecha en que se dicten»</w:t>
      </w:r>
      <w:r>
        <w:t xml:space="preserve"> (Ley 39/2015, art. 39.1)</w:t>
      </w:r>
      <w:r>
        <w:br/>
      </w:r>
      <w:r>
        <w:rPr>
          <w:b/>
        </w:rPr>
        <w:t>leída en su fuente · Ley 39/2015, art. 39.1</w:t>
      </w:r>
      <w:r>
        <w:br/>
      </w:r>
      <w:r>
        <w:rPr>
          <w:b/>
        </w:rPr>
        <w:t>Archivo leído:</w:t>
      </w:r>
      <w:r>
        <w:t xml:space="preserve"> c5 (ídem) (ant\c1\l39.html) · contraste del archivo de pasajes: ✔</w:t>
      </w:r>
      <w:r>
        <w:br/>
      </w:r>
      <w:r>
        <w:rPr>
          <w:b/>
        </w:rPr>
        <w:t>Lugar:</w:t>
      </w:r>
      <w:r>
        <w:t xml:space="preserve"> Art. 39.1</w:t>
      </w:r>
      <w:r>
        <w:br/>
      </w:r>
      <w:r>
        <w:rPr>
          <w:b/>
        </w:rPr>
        <w:t>Tal como está en la fuente:</w:t>
      </w:r>
      <w:r>
        <w:t xml:space="preserve"> se presumirán válidos y producirán efectos desde la fecha en que se dicten</w:t>
      </w:r>
      <w:r>
        <w:t>, y puede ejecutarlos.</w:t>
      </w:r>
    </w:p>
    <w:p>
      <w:pPr>
        <w:pStyle w:val="ListBullet"/>
      </w:pPr>
      <w:r>
        <w:rPr>
          <w:i/>
        </w:rPr>
        <w:t>Lo que la obra responde:</w:t>
      </w:r>
      <w:r>
        <w:t xml:space="preserve"> concedido: la coacción es un instrumento legítimo de ejecución. Lo que la obra exige es el orden debido: primero el título, después la mano</w:t>
      </w:r>
      <w:r>
        <w:t xml:space="preserve"> (Ley 39/2015, art. 97.1)</w:t>
      </w:r>
      <w:r>
        <w:t>; y, cuando falta el título, hay vía de hecho y remedio propio</w:t>
      </w:r>
      <w:r>
        <w:t xml:space="preserve"> (Ley 29/1998, art. 30)</w:t>
      </w:r>
      <w:r>
        <w:t>. Pero la Administración se da a sí misma el título: sus actos se presumen válidos, y la providencia de apremio tiene «la misma fuerza ejecutiva que la sentencia judicial»</w:t>
      </w:r>
      <w:r>
        <w:t xml:space="preserve"> (Ley General Tributaria, art. 167.2)</w:t>
      </w:r>
      <w:r>
        <w:br/>
      </w:r>
      <w:r>
        <w:rPr>
          <w:b/>
        </w:rPr>
        <w:t>leída en su fuente · Ley General Tributaria, art. 167.2</w:t>
      </w:r>
      <w:r>
        <w:br/>
      </w:r>
      <w:r>
        <w:rPr>
          <w:b/>
        </w:rPr>
        <w:t>Archivo leído:</w:t>
      </w:r>
      <w:r>
        <w:t xml:space="preserve"> lgt_ley58_2003.html (c5\lgt_ley58_2003.html) · contraste del archivo de pasajes: ✔</w:t>
      </w:r>
      <w:r>
        <w:br/>
      </w:r>
      <w:r>
        <w:rPr>
          <w:b/>
        </w:rPr>
        <w:t>Lugar:</w:t>
      </w:r>
      <w:r>
        <w:t xml:space="preserve"> Ley General Tributaria, art. 167</w:t>
      </w:r>
      <w:r>
        <w:br/>
      </w:r>
      <w:r>
        <w:rPr>
          <w:b/>
        </w:rPr>
        <w:t>Tal como está en la fuente:</w:t>
      </w:r>
      <w:r>
        <w:t xml:space="preserve"> la misma fuerza ejecutiva que la sentencia judicial</w:t>
      </w:r>
      <w:r>
        <w:t>. Quien ejecuta es quien se da el título: el problema de ser juez en la propia causa (</w:t>
      </w:r>
      <w:r>
        <w:t>1.7</w:t>
      </w:r>
      <w:r>
        <w:t xml:space="preserve">). Se juzga en el </w:t>
      </w:r>
      <w:r>
        <w:t>cargo 13</w:t>
      </w:r>
      <w:r>
        <w:t>.</w:t>
      </w:r>
    </w:p>
    <w:p>
      <w:r>
        <w:t>[02.00-26.1 y 26.2]</w:t>
      </w:r>
    </w:p>
    <w:p>
      <w:r>
        <w:rPr>
          <w:b/>
        </w:rPr>
        <w:t>26. «Una unión basada solo en el respeto es una utopía».</w:t>
      </w:r>
    </w:p>
    <w:p>
      <w:pPr>
        <w:pStyle w:val="ListBullet"/>
      </w:pPr>
      <w:r>
        <w:rPr>
          <w:i/>
        </w:rPr>
        <w:t>La defensa del Estado:</w:t>
      </w:r>
      <w:r>
        <w:t xml:space="preserve"> sin una ley común que obligue a todos, el respeto no basta. El Estado es esa unión, y ya incorpora el respeto: la dignidad es «fundamento del orden político» (n.º 2), y «Se reconoce el derecho de asociación»</w:t>
      </w:r>
      <w:r>
        <w:t xml:space="preserve"> (Constitución, art. 22.1)</w:t>
      </w:r>
      <w:r>
        <w:br/>
      </w:r>
      <w:r>
        <w:rPr>
          <w:b/>
        </w:rPr>
        <w:t>leída en su fuente · Constitución, art. 22.1</w:t>
      </w:r>
      <w:r>
        <w:br/>
      </w:r>
      <w:r>
        <w:rPr>
          <w:b/>
        </w:rPr>
        <w:t>Archivo leído:</w:t>
      </w:r>
      <w:r>
        <w:t xml:space="preserve"> ce.html (ant\c1\ce.html) · contraste del archivo de pasajes: ✔</w:t>
      </w:r>
      <w:r>
        <w:br/>
      </w:r>
      <w:r>
        <w:rPr>
          <w:b/>
        </w:rPr>
        <w:t>Lugar:</w:t>
      </w:r>
      <w:r>
        <w:t xml:space="preserve"> Constitución, art. 22.1</w:t>
      </w:r>
      <w:r>
        <w:br/>
      </w:r>
      <w:r>
        <w:rPr>
          <w:b/>
        </w:rPr>
        <w:t>Tal como está en la fuente:</w:t>
      </w:r>
      <w:r>
        <w:t xml:space="preserve"> Se reconoce el derecho de asociación</w:t>
      </w:r>
      <w:r>
        <w:t>.</w:t>
      </w:r>
    </w:p>
    <w:p>
      <w:pPr>
        <w:pStyle w:val="ListBullet"/>
      </w:pPr>
      <w:r>
        <w:rPr>
          <w:i/>
        </w:rPr>
        <w:t>Lo que la obra responde:</w:t>
      </w:r>
      <w:r>
        <w:t xml:space="preserve"> concedido en su capítulo: la obra no propone sustituir al Estado por esa unión, que es una ética personal de convivencia y cabe dentro de la ley, como asociación (</w:t>
      </w:r>
      <w:r>
        <w:t>2.4</w:t>
      </w:r>
      <w:r>
        <w:t xml:space="preserve">; </w:t>
      </w:r>
      <w:r>
        <w:t>capítulo 2</w:t>
      </w:r>
      <w:r>
        <w:t>, límite honesto). Su vara sirve para medir al propio Estado: tratar a la persona «siempre a la vez como fin y nunca solo como medio» (</w:t>
      </w:r>
      <w:r>
        <w:t>2.4</w:t>
      </w:r>
      <w:r>
        <w:t>). Con ella se miden la deuda que se carga a quienes no han nacido (</w:t>
      </w:r>
      <w:r>
        <w:t>cargo 9</w:t>
      </w:r>
      <w:r>
        <w:t>) y el cobro con recargo y sin juez (</w:t>
      </w:r>
      <w:r>
        <w:t>cargo 13</w:t>
      </w:r>
      <w:r>
        <w:t>).</w:t>
      </w:r>
    </w:p>
    <w:p>
      <w:r>
        <w:t>[08.00-7.4 y 7.5]</w:t>
      </w:r>
    </w:p>
    <w:p>
      <w:r>
        <w:rPr>
          <w:b/>
        </w:rPr>
        <w:t>27. «Criticar estas leyes debilita la protección de las víctimas».</w:t>
      </w:r>
    </w:p>
    <w:p>
      <w:pPr>
        <w:pStyle w:val="ListBullet"/>
      </w:pPr>
      <w:r>
        <w:rPr>
          <w:i/>
        </w:rPr>
        <w:t>La defensa del Estado:</w:t>
      </w:r>
      <w:r>
        <w:t xml:space="preserve"> poner en cuestión las leyes de protección frente a la violencia o frente a la ocupación da argumentos a quienes quieren desmontarlas.</w:t>
      </w:r>
    </w:p>
    <w:p>
      <w:pPr>
        <w:pStyle w:val="ListBullet"/>
      </w:pPr>
      <w:r>
        <w:rPr>
          <w:i/>
        </w:rPr>
        <w:t>Lo que la obra responde:</w:t>
      </w:r>
      <w:r>
        <w:t xml:space="preserve"> la obra dice lo contrario: en los tres frentes que estudia, la letra de la ley defiende a quien la crítica dice que queda desprotegido (</w:t>
      </w:r>
      <w:r>
        <w:t>7.7</w:t>
      </w:r>
      <w:r>
        <w:t xml:space="preserve">). No señala a ningún colectivo ni atribuye mala fe: su tesis es que un diseño puede fallar sin que nadie actúe de mala fe. Pedir que la prueba llegue antes de la decisión no debilita la protección: la hace más justa para todas las partes. Se juzga en el </w:t>
      </w:r>
      <w:r>
        <w:t>cargo 27</w:t>
      </w:r>
      <w:r>
        <w:t>.</w:t>
      </w:r>
    </w:p>
    <w:p>
      <w:r>
        <w:t>[28.00-9.10 y 9.11]</w:t>
      </w:r>
    </w:p>
    <w:p>
      <w:r>
        <w:rPr>
          <w:b/>
        </w:rPr>
        <w:t>28. «Un juicio popular sin garantías es un linchamiento».</w:t>
      </w:r>
    </w:p>
    <w:p>
      <w:pPr>
        <w:pStyle w:val="ListBullet"/>
      </w:pPr>
      <w:r>
        <w:rPr>
          <w:i/>
        </w:rPr>
        <w:t>La defensa del Estado:</w:t>
      </w:r>
      <w:r>
        <w:t xml:space="preserve"> un tribunal de opinión sin reglas procesales puede convertirse en un juicio mediático. La Constitución garantiza a todos «un proceso público sin dilaciones indebidas y con todas las garantías» y «la presunción de inocencia»</w:t>
      </w:r>
      <w:r>
        <w:t xml:space="preserve"> (Constitución, art. 24.2)</w:t>
      </w:r>
      <w:r>
        <w:br/>
      </w:r>
      <w:r>
        <w:rPr>
          <w:b/>
        </w:rPr>
        <w:t>pasaje guardado</w:t>
      </w:r>
      <w:r>
        <w:br/>
      </w:r>
      <w:r>
        <w:rPr>
          <w:b/>
        </w:rPr>
        <w:t>Archivo leído:</w:t>
      </w:r>
      <w:r>
        <w:t xml:space="preserve"> ley39_2015_procedimiento.html; 19.00_STC_18-1981_HJ.html; 19.00_STC_42-1989_HJ.html (c7a\19.00_STC_42-1989_HJ.html) · contraste del archivo de pasajes: ✔</w:t>
      </w:r>
      <w:r>
        <w:br/>
      </w:r>
      <w:r>
        <w:rPr>
          <w:b/>
        </w:rPr>
        <w:t>Lugar:</w:t>
      </w:r>
      <w:r>
        <w:t xml:space="preserve"> Art. 53.2.b</w:t>
      </w:r>
      <w:r>
        <w:br/>
      </w:r>
      <w:r>
        <w:rPr>
          <w:b/>
        </w:rPr>
        <w:t>Dirección:</w:t>
      </w:r>
      <w:r>
        <w:t xml:space="preserve"> </w:t>
      </w:r>
      <w:r>
        <w:t>https://www.boe.es/buscar/act.php?id=BOE-A-2015-10565</w:t>
      </w:r>
      <w:r>
        <w:t xml:space="preserve"> ; </w:t>
      </w:r>
      <w:r>
        <w:t>https://hj.tribunalconstitucional.es/es/Resolucion/Show/18</w:t>
      </w:r>
      <w:r>
        <w:t xml:space="preserve"> ; </w:t>
      </w:r>
      <w:r>
        <w:t>…/Show/1248</w:t>
      </w:r>
      <w:r>
        <w:br/>
      </w:r>
      <w:r>
        <w:rPr>
          <w:b/>
        </w:rPr>
        <w:t>Tal como está en la fuente:</w:t>
      </w:r>
      <w:r>
        <w:t xml:space="preserve"> la presunción de inocencia, aunque con algunas matizaciones, es aplicable [...] a los expedientes administrativos sancionadores, mas la declaración de una finca como manifiestamente mejorable no tiene carácter sancionador en sentido estricto</w:t>
      </w:r>
      <w:r>
        <w:t>, y el honor es el límite de la libertad de expresión</w:t>
      </w:r>
      <w:r>
        <w:t xml:space="preserve"> (arts. 18.1 y 20.4)</w:t>
      </w:r>
      <w:r>
        <w:t>. Y el Estado no tiene ninguna obligación de responder a un tribunal de opinión.</w:t>
      </w:r>
    </w:p>
    <w:p>
      <w:pPr>
        <w:pStyle w:val="ListBullet"/>
      </w:pPr>
      <w:r>
        <w:rPr>
          <w:i/>
        </w:rPr>
        <w:t>Lo que la obra responde:</w:t>
      </w:r>
      <w:r>
        <w:t xml:space="preserve"> con esas mismas garantías. El juicio declara desde el principio que no tiene carácter oficial ni fuerza legal, y juzga instituciones, nunca a personas con nombre: no hay honor personal en juego (</w:t>
      </w:r>
      <w:r>
        <w:t>11.1</w:t>
      </w:r>
      <w:r>
        <w:t>). Cada cargo está escrito y se envía a la institución; su mejor defensa se escribe antes del veredicto, y se le da la última palabra. Cada hecho lleva su fuente, y lo no comprobado no entra.</w:t>
      </w:r>
    </w:p>
    <w:p>
      <w:pPr>
        <w:pStyle w:val="ListBullet"/>
      </w:pPr>
      <w:r>
        <w:rPr>
          <w:i/>
        </w:rPr>
        <w:t>Dónde aguanta:</w:t>
      </w:r>
      <w:r>
        <w:t xml:space="preserve"> el Estado no está obligado a responder. Su silencio también queda registrado.</w:t>
      </w:r>
    </w:p>
    <w:p>
      <w:r>
        <w:t>[00.00-11.10 y 11.11]</w:t>
      </w:r>
    </w:p>
    <w:p>
      <w:r>
        <w:rPr>
          <w:b/>
        </w:rPr>
        <w:t>Conclusión, lo que arrojan los datos:</w:t>
      </w:r>
      <w:r>
        <w:t xml:space="preserve"> ninguna de estas objeciones impide el juicio. Unas se conceden, y su concesión se queda en su capítulo; otras se responden con la propia ley del Estado: la Constitución que reconoce derechos «inviolables» e «inherentes» (art. 10.1), que se manda interpretar con la Declaración Universal (art. 10.2) y que se fija como fin «el bien de cuantos la integran» (preámbulo). Las que aguantan enteras (no hay derecho de resistencia, nadie puede declararse exento, el Estado no está obligado a responder) son también las que la obra suscribe.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pPr>
        <w:pStyle w:val="Heading2"/>
      </w:pPr>
      <w:r>
        <w:t>11.3 Los cargos</w:t>
      </w:r>
    </w:p>
    <w:p>
      <w:pPr>
        <w:pBdr>
          <w:left w:val="single" w:sz="24" w:space="6" w:color="E2DED6"/>
        </w:pBdr>
        <w:shd w:val="clear" w:color="auto" w:fill="F1EEE8"/>
        <w:spacing w:before="80" w:after="160"/>
        <w:ind w:left="142" w:right="142"/>
      </w:pPr>
      <w:r>
        <w:rPr>
          <w:b/>
        </w:rPr>
        <w:t>La idea: cada cargo es una presunción del Estado puesta a prueba: lo que dicen la ley de Dios, las tradiciones y su propia ley; dónde está probado; la pregunta; su mejor defensa, en su propia jerga; la respuesta de la obra; y la última palabra para la institución.</w:t>
      </w:r>
    </w:p>
    <w:p>
      <w:r>
        <w:t xml:space="preserve">Los cargos siguen el orden de </w:t>
      </w:r>
      <w:r>
        <w:t>11.1</w:t>
      </w:r>
      <w:r>
        <w:t xml:space="preserve">. La prueba de cada uno ya está en los capítulos anteriores, y aquí se remite a ella. Lo que la obra concede se dice en «Dónde aguanta» y en el límite honesto de cada cargo. </w:t>
      </w:r>
      <w:r>
        <w:t>[37.00-0.0.3; glosario 8.11 y 8.13]</w:t>
      </w:r>
    </w:p>
    <w:p>
      <w:pPr>
        <w:pStyle w:val="Heading3"/>
      </w:pPr>
      <w:r>
        <w:t>Cargo 1. La ley humana, primera fuente</w:t>
      </w:r>
    </w:p>
    <w:p>
      <w:r>
        <w:rPr>
          <w:b/>
        </w:rPr>
        <w:t>La presunción:</w:t>
      </w:r>
      <w:r>
        <w:t xml:space="preserve"> «Que la ley escrita por el Estado es la primera fuente del derecho».</w:t>
      </w:r>
    </w:p>
    <w:p>
      <w:r>
        <w:rPr>
          <w:b/>
        </w:rPr>
        <w:t>La vara.</w:t>
      </w:r>
    </w:p>
    <w:p>
      <w:pPr>
        <w:pStyle w:val="ListBullet"/>
      </w:pPr>
      <w:r>
        <w:rPr>
          <w:i/>
        </w:rPr>
        <w:t>La ley de Dios:</w:t>
      </w:r>
      <w:r>
        <w:t xml:space="preserve"> «Es menester obedecer á Dios antes que á los hombres»</w:t>
      </w:r>
      <w:r>
        <w:t xml:space="preserve"> (Hch 5:29)</w:t>
      </w:r>
      <w:r>
        <w:br/>
      </w:r>
      <w:r>
        <w:rPr>
          <w:b/>
        </w:rPr>
        <w:t>leída en su fuente · Hch 5:29</w:t>
      </w:r>
      <w:r>
        <w:br/>
      </w:r>
      <w:r>
        <w:rPr>
          <w:b/>
        </w:rPr>
        <w:t>Archivo leído:</w:t>
      </w:r>
      <w:r>
        <w:t xml:space="preserve"> rom_13_4-6_rva.html; mt_22_21_rva.html; hch_5_29_rva.html (c9g\hch_5_29_rva.html) · contraste del archivo de pasajes: ✔</w:t>
      </w:r>
      <w:r>
        <w:br/>
      </w:r>
      <w:r>
        <w:rPr>
          <w:b/>
        </w:rPr>
        <w:t>Lugar:</w:t>
      </w:r>
      <w:r>
        <w:t xml:space="preserve"> Rom 13:4</w:t>
      </w:r>
      <w:r>
        <w:br/>
      </w:r>
      <w:r>
        <w:rPr>
          <w:b/>
        </w:rPr>
        <w:t>Dirección:</w:t>
      </w:r>
      <w:r>
        <w:t xml:space="preserve"> </w:t>
      </w:r>
      <w:r>
        <w:t>https://www.biblegateway.com/passage/?search=Romans+13%3A4-6&amp;version=RVA</w:t>
      </w:r>
      <w:r>
        <w:br/>
      </w:r>
      <w:r>
        <w:rPr>
          <w:b/>
        </w:rPr>
        <w:t>Tal como está en la fuente:</w:t>
      </w:r>
      <w:r>
        <w:t xml:space="preserve"> Es menester obedecer á Dios antes que á los hombres.</w:t>
      </w:r>
      <w:r>
        <w:t>.</w:t>
      </w:r>
    </w:p>
    <w:p>
      <w:pPr>
        <w:pStyle w:val="ListBullet"/>
      </w:pPr>
      <w:r>
        <w:rPr>
          <w:i/>
        </w:rPr>
        <w:t>Las tradiciones:</w:t>
      </w:r>
      <w:r>
        <w:t xml:space="preserve"> el orden de las leyes que guardaron pone primero la ley de Dios, después la ley natural, después la costumbre y por último la ley escrita (</w:t>
      </w:r>
      <w:r>
        <w:t>1.2</w:t>
      </w:r>
      <w:r>
        <w:t>).</w:t>
      </w:r>
    </w:p>
    <w:p>
      <w:pPr>
        <w:pStyle w:val="ListBullet"/>
      </w:pPr>
      <w:r>
        <w:rPr>
          <w:i/>
        </w:rPr>
        <w:t>Su propia ley:</w:t>
      </w:r>
      <w:r>
        <w:t xml:space="preserve"> «Las fuentes del ordenamiento jurídico español son la ley, la costumbre y los principios generales del derecho»</w:t>
      </w:r>
      <w:r>
        <w:t xml:space="preserve"> (Código Civil, art. 1.1)</w:t>
      </w:r>
      <w:r>
        <w:br/>
      </w:r>
      <w:r>
        <w:rPr>
          <w:b/>
        </w:rPr>
        <w:t>leída en su fuente · Código Civil, art. 1.1</w:t>
      </w:r>
      <w:r>
        <w:br/>
      </w:r>
      <w:r>
        <w:rPr>
          <w:b/>
        </w:rPr>
        <w:t>Archivo leído:</w:t>
      </w:r>
      <w:r>
        <w:t xml:space="preserve"> codigo_civil_1889.html (c5\codigo_civil_1889.html) · contraste del archivo de pasajes: ✔</w:t>
      </w:r>
      <w:r>
        <w:br/>
      </w:r>
      <w:r>
        <w:rPr>
          <w:b/>
        </w:rPr>
        <w:t>Lugar:</w:t>
      </w:r>
      <w:r>
        <w:t xml:space="preserve"> Art. 1.1 (#a1)</w:t>
      </w:r>
      <w:r>
        <w:br/>
      </w:r>
      <w:r>
        <w:rPr>
          <w:b/>
        </w:rPr>
        <w:t>Dirección:</w:t>
      </w:r>
      <w:r>
        <w:t xml:space="preserve"> </w:t>
      </w:r>
      <w:r>
        <w:t>https://www.boe.es/buscar/act.php?id=BOE-A-1889-4763</w:t>
      </w:r>
      <w:r>
        <w:br/>
      </w:r>
      <w:r>
        <w:rPr>
          <w:b/>
        </w:rPr>
        <w:t>Tal como está en la fuente:</w:t>
      </w:r>
      <w:r>
        <w:t xml:space="preserve"> 1. Las fuentes del ordenamiento jurídico español son la ley, la costumbre y los principios generales del derecho.</w:t>
      </w:r>
      <w:r>
        <w:t>. La costumbre «sólo regirá en defecto de ley aplicable»</w:t>
      </w:r>
      <w:r>
        <w:t xml:space="preserve"> (art. 1.3)</w:t>
      </w:r>
      <w:r>
        <w:br/>
      </w:r>
      <w:r>
        <w:rPr>
          <w:b/>
        </w:rPr>
        <w:t>leída en su fuente · art. 1.3</w:t>
      </w:r>
      <w:r>
        <w:br/>
      </w:r>
      <w:r>
        <w:rPr>
          <w:b/>
        </w:rPr>
        <w:t>Archivo leído:</w:t>
      </w:r>
      <w:r>
        <w:t xml:space="preserve"> codigo_civil_1889.html (c5\codigo_civil_1889.html) · contraste del archivo de pasajes: ✔</w:t>
      </w:r>
      <w:r>
        <w:br/>
      </w:r>
      <w:r>
        <w:rPr>
          <w:b/>
        </w:rPr>
        <w:t>Lugar:</w:t>
      </w:r>
      <w:r>
        <w:t xml:space="preserve"> Art. 1.3</w:t>
      </w:r>
      <w:r>
        <w:br/>
      </w:r>
      <w:r>
        <w:rPr>
          <w:b/>
        </w:rPr>
        <w:t>Dirección:</w:t>
      </w:r>
      <w:r>
        <w:t xml:space="preserve"> </w:t>
      </w:r>
      <w:r>
        <w:t>https://www.boe.es/buscar/act.php?id=BOE-A-1889-4763</w:t>
      </w:r>
      <w:r>
        <w:br/>
      </w:r>
      <w:r>
        <w:rPr>
          <w:b/>
        </w:rPr>
        <w:t>Tal como está en la fuente:</w:t>
      </w:r>
      <w:r>
        <w:t xml:space="preserve"> 3. La costumbre sólo regirá en defecto de ley aplicable, siempre que no sea contraria</w:t>
      </w:r>
      <w:r>
        <w:t>, y los principios generales, que es por donde entra la ley natural, «se aplicarán en defecto de ley o costumbre»</w:t>
      </w:r>
      <w:r>
        <w:t xml:space="preserve"> (art. 1.4)</w:t>
      </w:r>
      <w:r>
        <w:br/>
      </w:r>
      <w:r>
        <w:rPr>
          <w:b/>
        </w:rPr>
        <w:t>leída en su fuente · art. 1.4</w:t>
      </w:r>
      <w:r>
        <w:br/>
      </w:r>
      <w:r>
        <w:rPr>
          <w:b/>
        </w:rPr>
        <w:t>Archivo leído:</w:t>
      </w:r>
      <w:r>
        <w:t xml:space="preserve"> codigo_civil_1889.html (c5\codigo_civil_1889.html) · contraste del archivo de pasajes: ✔</w:t>
      </w:r>
      <w:r>
        <w:br/>
      </w:r>
      <w:r>
        <w:rPr>
          <w:b/>
        </w:rPr>
        <w:t>Lugar:</w:t>
      </w:r>
      <w:r>
        <w:t xml:space="preserve"> Art. 1.4</w:t>
      </w:r>
      <w:r>
        <w:br/>
      </w:r>
      <w:r>
        <w:rPr>
          <w:b/>
        </w:rPr>
        <w:t>Dirección:</w:t>
      </w:r>
      <w:r>
        <w:t xml:space="preserve"> </w:t>
      </w:r>
      <w:r>
        <w:t>https://www.boe.es/buscar/act.php?id=BOE-A-1889-4763</w:t>
      </w:r>
      <w:r>
        <w:br/>
      </w:r>
      <w:r>
        <w:rPr>
          <w:b/>
        </w:rPr>
        <w:t>Tal como está en la fuente:</w:t>
      </w:r>
      <w:r>
        <w:t xml:space="preserve"> 4. Los principios generales del derecho se aplicarán en defecto de ley o costumbre</w:t>
      </w:r>
      <w:r>
        <w:t>. El orden de las tradiciones queda del revés: lo humano arriba, lo natural al final.</w:t>
      </w:r>
    </w:p>
    <w:p>
      <w:r>
        <w:rPr>
          <w:b/>
        </w:rPr>
        <w:t>Dónde está probado:</w:t>
      </w:r>
      <w:r>
        <w:t xml:space="preserve"> el orden de las leyes (</w:t>
      </w:r>
      <w:r>
        <w:t>1.2</w:t>
      </w:r>
      <w:r>
        <w:t>), la costumbre y sus tribunales (</w:t>
      </w:r>
      <w:r>
        <w:t>1.5</w:t>
      </w:r>
      <w:r>
        <w:t>), quién puso la ley escrita por encima (</w:t>
      </w:r>
      <w:r>
        <w:t>1.7</w:t>
      </w:r>
      <w:r>
        <w:t>) y la presunción misma (</w:t>
      </w:r>
      <w:r>
        <w:t>5.2</w:t>
      </w:r>
      <w:r>
        <w:t>).</w:t>
      </w:r>
    </w:p>
    <w:p>
      <w:r>
        <w:rPr>
          <w:b/>
        </w:rPr>
        <w:t>La pregunta:</w:t>
      </w:r>
      <w:r>
        <w:t xml:space="preserve"> ¿por qué el Código Civil coloca la ley humana como primera fuente del derecho y los principios generales del derecho en el último lugar?</w:t>
      </w:r>
    </w:p>
    <w:p>
      <w:r>
        <w:rPr>
          <w:b/>
        </w:rPr>
        <w:t>La defensa del Estado:</w:t>
      </w:r>
      <w:r>
        <w:t xml:space="preserve"> en una sociedad con creencias distintas, la ley tiene que ser común a todos y salir de un procedimiento democrático. La ley escrita da la seguridad que la Constitución garantiza: «la jerarquía normativa» y «la seguridad jurídica»</w:t>
      </w:r>
      <w:r>
        <w:t xml:space="preserve"> (Constitución, art. 9.3)</w:t>
      </w:r>
      <w:r>
        <w:t>. Si la costumbre o el desuso pudieran derogar las leyes, nadie sabría qué está vigente, y hay costumbres injustas que la ley escrita vino a corregir. La ley natural no queda fuera: entra por los principios generales, «sin perjuicio de su carácter informador del ordenamiento jurídico»</w:t>
      </w:r>
      <w:r>
        <w:t xml:space="preserve"> (Código Civil, art. 1.4)</w:t>
      </w:r>
      <w:r>
        <w:br/>
      </w:r>
      <w:r>
        <w:rPr>
          <w:b/>
        </w:rPr>
        <w:t>leída en su fuente · Código Civil, art. 1.4</w:t>
      </w:r>
      <w:r>
        <w:br/>
      </w:r>
      <w:r>
        <w:rPr>
          <w:b/>
        </w:rPr>
        <w:t>Archivo leído:</w:t>
      </w:r>
      <w:r>
        <w:t xml:space="preserve"> cc.html (ant\c1\cc.html) · contraste del archivo de pasajes: ✔</w:t>
      </w:r>
      <w:r>
        <w:br/>
      </w:r>
      <w:r>
        <w:rPr>
          <w:b/>
        </w:rPr>
        <w:t>Lugar:</w:t>
      </w:r>
      <w:r>
        <w:t xml:space="preserve"> Código Civil, art. 1.4</w:t>
      </w:r>
      <w:r>
        <w:br/>
      </w:r>
      <w:r>
        <w:rPr>
          <w:b/>
        </w:rPr>
        <w:t>Tal como está en la fuente:</w:t>
      </w:r>
      <w:r>
        <w:t xml:space="preserve"> se aplicarán en defecto de ley o costumbre, sin perjuicio de su carácter informador del ordenamiento jurídico</w:t>
      </w:r>
      <w:r>
        <w:t>, y por los valores que la Constitución propugna, entre ellos «la justicia»</w:t>
      </w:r>
      <w:r>
        <w:t xml:space="preserve"> (Constitución, art. 1.1)</w:t>
      </w:r>
      <w:r>
        <w:t>. Los tribunales de la costumbre tienen su lugar porque la ley se lo da</w:t>
      </w:r>
      <w:r>
        <w:t xml:space="preserve"> (Ley Orgánica del Poder Judicial, art. 19)</w:t>
      </w:r>
      <w:r>
        <w:t>; y el arbitraje, también: los laudos se ejecutan ante los tribunales del Estado, por la Ley de Enjuiciamiento Civil (Juzgado de Primera Instancia), y los laudos extranjeros se reconocen por el Convenio de Nueva York de 1958, ante la Sala de lo Civil y de lo Penal del Tribunal Superior de Justicia</w:t>
      </w:r>
      <w:r>
        <w:t xml:space="preserve"> (Ley 60/2003, de Arbitraje, arts. 8.4, 8.6, 44 y 46.2)</w:t>
      </w:r>
      <w:r>
        <w:t>. Y una sociedad de millones de personas necesita leyes escritas, iguales para todos y conocidas de antemano: la codificación del siglo XIX trajo la igualdad ante la ley y acabó con la maraña de fueros y privilegios.</w:t>
      </w:r>
    </w:p>
    <w:p>
      <w:r>
        <w:rPr>
          <w:b/>
        </w:rPr>
        <w:t>Los contrapuntos de la obra:</w:t>
      </w:r>
    </w:p>
    <w:p>
      <w:pPr>
        <w:spacing w:after="60"/>
        <w:ind w:left="510" w:hanging="397"/>
      </w:pPr>
      <w:r>
        <w:rPr>
          <w:b w:val="0"/>
        </w:rPr>
        <w:t xml:space="preserve">1. </w:t>
      </w:r>
      <w:r>
        <w:rPr>
          <w:i/>
        </w:rPr>
        <w:t>Con su propia ley.</w:t>
      </w:r>
      <w:r>
        <w:t xml:space="preserve"> La Constitución reconoce derechos «inherentes» a la persona</w:t>
      </w:r>
      <w:r>
        <w:t xml:space="preserve"> (Constitución, art. 10.1)</w:t>
      </w:r>
      <w:r>
        <w:t>, es decir, anteriores a ella; aun así, el Código Civil pone los principios por los que entran en el último lugar. Contra la costumbre injusta ya hay un filtro escrito: solo vale si no es «contraria a la moral o al orden público» y si «resulte probada»</w:t>
      </w:r>
      <w:r>
        <w:t xml:space="preserve"> (Código Civil, art. 1.3)</w:t>
      </w:r>
      <w:r>
        <w:t>. Y reconocer no es crear: los tribunales de la costumbre existían antes que la ley que los nombra, y la lista ha crecido (</w:t>
      </w:r>
      <w:r>
        <w:t>1.5</w:t>
      </w:r>
      <w:r>
        <w:t>).</w:t>
      </w:r>
    </w:p>
    <w:p>
      <w:pPr>
        <w:spacing w:after="60"/>
        <w:ind w:left="510" w:hanging="397"/>
      </w:pPr>
      <w:r>
        <w:rPr>
          <w:b w:val="0"/>
        </w:rPr>
        <w:t xml:space="preserve">2. </w:t>
      </w:r>
      <w:r>
        <w:rPr>
          <w:i/>
        </w:rPr>
        <w:t>Nadie es juez en su propia causa.</w:t>
      </w:r>
      <w:r>
        <w:t xml:space="preserve"> El propio Estado se lo exige a sus jueces, que deben apartarse por «tener interés directo o indirecto en el pleito o causa»</w:t>
      </w:r>
      <w:r>
        <w:t xml:space="preserve"> (Ley Orgánica del Poder Judicial, art. 219.10.ª)</w:t>
      </w:r>
      <w:r>
        <w:br/>
      </w:r>
      <w:r>
        <w:rPr>
          <w:b/>
        </w:rPr>
        <w:t>leída en su fuente · Ley Orgánica del Poder Judicial, art. 219.10.ª</w:t>
      </w:r>
      <w:r>
        <w:br/>
      </w:r>
      <w:r>
        <w:rPr>
          <w:b/>
        </w:rPr>
        <w:t>Archivo leído:</w:t>
      </w:r>
      <w:r>
        <w:t xml:space="preserve"> lopj.html (ant\c1\lopj.html) · contraste del archivo de pasajes: ✔</w:t>
      </w:r>
      <w:r>
        <w:br/>
      </w:r>
      <w:r>
        <w:rPr>
          <w:b/>
        </w:rPr>
        <w:t>Lugar:</w:t>
      </w:r>
      <w:r>
        <w:t xml:space="preserve"> Ley Orgánica del Poder Judicial, art. 219.10.ª</w:t>
      </w:r>
      <w:r>
        <w:br/>
      </w:r>
      <w:r>
        <w:rPr>
          <w:b/>
        </w:rPr>
        <w:t>Tal como está en la fuente:</w:t>
      </w:r>
      <w:r>
        <w:t xml:space="preserve"> tener interés directo o indirecto en el pleito o causa</w:t>
      </w:r>
      <w:r>
        <w:t>, y a sus autoridades, por «tener interés personal en el asunto»</w:t>
      </w:r>
      <w:r>
        <w:t xml:space="preserve"> (Ley 40/2015, art. 23.2.a)</w:t>
      </w:r>
      <w:r>
        <w:br/>
      </w:r>
      <w:r>
        <w:rPr>
          <w:b/>
        </w:rPr>
        <w:t>leída en su fuente · Ley 40/2015, art. 23.2.a</w:t>
      </w:r>
      <w:r>
        <w:br/>
      </w:r>
      <w:r>
        <w:rPr>
          <w:b/>
        </w:rPr>
        <w:t>Archivo leído:</w:t>
      </w:r>
      <w:r>
        <w:t xml:space="preserve"> l40.html (ant\c1\l40.html) · contraste del archivo de pasajes: ✔</w:t>
      </w:r>
      <w:r>
        <w:br/>
      </w:r>
      <w:r>
        <w:rPr>
          <w:b/>
        </w:rPr>
        <w:t>Lugar:</w:t>
      </w:r>
      <w:r>
        <w:t xml:space="preserve"> Ley 40/2015, art. 23.2.a</w:t>
      </w:r>
      <w:r>
        <w:br/>
      </w:r>
      <w:r>
        <w:rPr>
          <w:b/>
        </w:rPr>
        <w:t>Tal como está en la fuente:</w:t>
      </w:r>
      <w:r>
        <w:t xml:space="preserve"> tener interés personal en el asunto</w:t>
      </w:r>
      <w:r>
        <w:t>. No se lo exige a quien hace las leyes: en 7 de los 8 casos examinados, quien puso la ley escrita por encima de la costumbre era quien tenía el poder de legislar (</w:t>
      </w:r>
      <w:r>
        <w:t>1.7</w:t>
      </w:r>
      <w:r>
        <w:t xml:space="preserve">). Y el Código de 1889 se blindó a sí mismo: «no prevalecerá contra su observancia el desuso, ni la costumbre o la práctica en contrario» (art. 5; </w:t>
      </w:r>
      <w:r>
        <w:t>1.7</w:t>
      </w:r>
      <w:r>
        <w:t xml:space="preserve">), cuando antes una ley podía quedar abolida «por el consentimiento tácito de todos, mediante el desuso» (Digesto 1.3.32; </w:t>
      </w:r>
      <w:r>
        <w:t>1.5</w:t>
      </w:r>
      <w:r>
        <w:t>).</w:t>
      </w:r>
    </w:p>
    <w:p>
      <w:pPr>
        <w:spacing w:after="60"/>
        <w:ind w:left="510" w:hanging="397"/>
      </w:pPr>
      <w:r>
        <w:rPr>
          <w:b w:val="0"/>
        </w:rPr>
        <w:t xml:space="preserve">3. </w:t>
      </w:r>
      <w:r>
        <w:rPr>
          <w:i/>
        </w:rPr>
        <w:t>La seguridad no protege por igual.</w:t>
      </w:r>
      <w:r>
        <w:t xml:space="preserve"> Cuando el Constitucional anuló la amnistía fiscal de 2012 y el cálculo de la plusvalía municipal, lo hizo solo hacia delante: las liquidaciones ya firmes no se revisaron (</w:t>
      </w:r>
      <w:r>
        <w:t>5.1</w:t>
      </w:r>
      <w:r>
        <w:t>, n.º 9).</w:t>
      </w:r>
    </w:p>
    <w:p>
      <w:pPr>
        <w:spacing w:after="60"/>
        <w:ind w:left="510" w:hanging="397"/>
      </w:pPr>
      <w:r>
        <w:rPr>
          <w:b w:val="0"/>
        </w:rPr>
        <w:t xml:space="preserve">4. </w:t>
      </w:r>
      <w:r>
        <w:rPr>
          <w:i/>
        </w:rPr>
        <w:t>La costumbre no es cosa del pasado.</w:t>
      </w:r>
      <w:r>
        <w:t xml:space="preserve"> En España, el Fuero Nuevo de Navarra pone la costumbre por delante de la ley escrita (</w:t>
      </w:r>
      <w:r>
        <w:t>1.1</w:t>
      </w:r>
      <w:r>
        <w:t xml:space="preserve">). Fuera, el </w:t>
      </w:r>
      <w:r>
        <w:rPr>
          <w:i/>
        </w:rPr>
        <w:t>xeer</w:t>
      </w:r>
      <w:r>
        <w:t>, el derecho consuetudinario oral de los somalíes, sigue en uso: la UNESCO inscribió en 2024 el de las comunidades issa de Etiopía, Yibuti y Somalia. Y el Tribunal Supremo de Nueva Zelanda declaró en 2022 que el tikanga, el orden de costumbre maorí, ha sido y seguirá siendo reconocido en el desarrollo de su derecho (</w:t>
      </w:r>
      <w:r>
        <w:t>F.7</w:t>
      </w:r>
      <w:r>
        <w:t>).</w:t>
      </w:r>
    </w:p>
    <w:p>
      <w:r>
        <w:rPr>
          <w:b/>
        </w:rPr>
        <w:t>Dónde aguanta:</w:t>
      </w:r>
      <w:r>
        <w:t xml:space="preserve"> una sociedad grande necesita ley escrita, y la codificación trajo la igualdad ante la ley. La obra no propone abolirla, sino respetar el orden de las fuentes. Y un patrón no prueba una intención: que quien legisla se pusiera arriba es un hecho; por qué lo hizo, no. En Nueva Zelanda, además, quien reconoce el tikanga es un tribunal del Estado, como dice su defensa: la costumbre tiene su lugar porque el Estado se lo da. Lo que el ejemplo muestra es que la costumbre sigue viva en un Estado moderno, no que esté por encima de su ley.</w:t>
      </w:r>
    </w:p>
    <w:p>
      <w:r>
        <w:rPr>
          <w:b/>
        </w:rPr>
        <w:t>Límite honesto:</w:t>
      </w:r>
      <w:r>
        <w:t xml:space="preserve"> la ley natural no está fuera del todo: el art. 1.4 la deja entrar, al final y con valor informador. Lo que la obra mide es el orden, no la ausencia.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[37.00-2.1 a 2.7, con Hch 5:29 en la Reina-Valera Antigua; 00.2-3.1 a 3.4, sin las 259 normas de 2024: sin fila en el registro; 02.00-24.1 y 24.2; 02.00-25.1, la Ley 60/2003 de Arbitraje, leída el 7-oct en el BOE; 07.00-24.1 y 24.2; el xeer y el tikanga, en el contrapunto 4, con su remisión a F.7 (añadidos el 7-oct, con el sí de Kiko); el Althing, no: hoy es un parlamento que escribe leyes, y que «sigue funcionando» no tiene fuente leída; 11.00-14.6 a 14.9; 12.00-6.6 y 6.7; 19.00-35.18 y 35.19. La Ley Orgánica del Poder Judicial, art. 219, y la Ley 40/2015, art. 23, leídas hoy en local]</w:t>
      </w:r>
    </w:p>
    <w:p>
      <w:pPr>
        <w:pStyle w:val="Heading3"/>
      </w:pPr>
      <w:r>
        <w:t>Cargo 2. Nada por encima de la Constitución</w:t>
      </w:r>
    </w:p>
    <w:p>
      <w:r>
        <w:rPr>
          <w:b/>
        </w:rPr>
        <w:t>La presunción:</w:t>
      </w:r>
      <w:r>
        <w:t xml:space="preserve"> «Que no hay ley superior a la que el Estado se dio a sí mismo».</w:t>
      </w:r>
    </w:p>
    <w:p>
      <w:r>
        <w:rPr>
          <w:b/>
        </w:rPr>
        <w:t>La vara.</w:t>
      </w:r>
    </w:p>
    <w:p>
      <w:pPr>
        <w:pStyle w:val="ListBullet"/>
      </w:pPr>
      <w:r>
        <w:rPr>
          <w:i/>
        </w:rPr>
        <w:t>La ley de Dios:</w:t>
      </w:r>
      <w:r>
        <w:t xml:space="preserve"> «Pagad pues á César lo que es de César, y á Dios lo que es de Dios»</w:t>
      </w:r>
      <w:r>
        <w:t xml:space="preserve"> (Mt 22:21)</w:t>
      </w:r>
      <w:r>
        <w:br/>
      </w:r>
      <w:r>
        <w:rPr>
          <w:b/>
        </w:rPr>
        <w:t>leída en su fuente · Mt 22:21</w:t>
      </w:r>
      <w:r>
        <w:br/>
      </w:r>
      <w:r>
        <w:rPr>
          <w:b/>
        </w:rPr>
        <w:t>Archivo leído:</w:t>
      </w:r>
      <w:r>
        <w:t xml:space="preserve"> rom_13_4-6_rva.html; mt_22_21_rva.html; hch_5_29_rva.html (c9g\mt_22_21_rva.html) · contraste del archivo de pasajes: ✔</w:t>
      </w:r>
      <w:r>
        <w:br/>
      </w:r>
      <w:r>
        <w:rPr>
          <w:b/>
        </w:rPr>
        <w:t>Lugar:</w:t>
      </w:r>
      <w:r>
        <w:t xml:space="preserve"> Rom 13:4</w:t>
      </w:r>
      <w:r>
        <w:br/>
      </w:r>
      <w:r>
        <w:rPr>
          <w:b/>
        </w:rPr>
        <w:t>Dirección:</w:t>
      </w:r>
      <w:r>
        <w:t xml:space="preserve"> </w:t>
      </w:r>
      <w:r>
        <w:t>https://www.biblegateway.com/passage/?search=Romans+13%3A4-6&amp;version=RVA</w:t>
      </w:r>
      <w:r>
        <w:br/>
      </w:r>
      <w:r>
        <w:rPr>
          <w:b/>
        </w:rPr>
        <w:t>Tal como está en la fuente:</w:t>
      </w:r>
      <w:r>
        <w:t xml:space="preserve"> Pagad pues á César lo que es de César, y á Dios lo que es de Dios.</w:t>
      </w:r>
      <w:r>
        <w:t>. Hay cosas que no son del César (</w:t>
      </w:r>
      <w:r>
        <w:t>5.2</w:t>
      </w:r>
      <w:r>
        <w:t>).</w:t>
      </w:r>
    </w:p>
    <w:p>
      <w:pPr>
        <w:pStyle w:val="ListBullet"/>
      </w:pPr>
      <w:r>
        <w:rPr>
          <w:i/>
        </w:rPr>
        <w:t>Las tradiciones:</w:t>
      </w:r>
      <w:r>
        <w:t xml:space="preserve"> el rey que no protege a sus súbditos «es un rey muerto y no vivo» (Leyes de Manu; </w:t>
      </w:r>
      <w:r>
        <w:t>3.2</w:t>
      </w:r>
      <w:r>
        <w:t xml:space="preserve">); el jefe que no tiene en mente el bienestar del pueblo es amonestado y, si persiste, despojado de su título (Gran Ley de la Paz iroquesa; </w:t>
      </w:r>
      <w:r>
        <w:t>3.2</w:t>
      </w:r>
      <w:r>
        <w:t>; su fecha se discute y su texto escrito es reciente, de 1916).</w:t>
      </w:r>
    </w:p>
    <w:p>
      <w:pPr>
        <w:pStyle w:val="ListBullet"/>
      </w:pPr>
      <w:r>
        <w:rPr>
          <w:i/>
        </w:rPr>
        <w:t>Su propia ley:</w:t>
      </w:r>
      <w:r>
        <w:t xml:space="preserve"> ciudadanos y poderes públicos «están sujetos a la Constitución»</w:t>
      </w:r>
      <w:r>
        <w:t xml:space="preserve"> (Constitución, art. 9.1)</w:t>
      </w:r>
      <w:r>
        <w:br/>
      </w:r>
      <w:r>
        <w:rPr>
          <w:b/>
        </w:rPr>
        <w:t>leída en su fuente · Constitución, art. 9.1</w:t>
      </w:r>
      <w:r>
        <w:br/>
      </w:r>
      <w:r>
        <w:rPr>
          <w:b/>
        </w:rPr>
        <w:t>Archivo leído:</w:t>
      </w:r>
      <w:r>
        <w:t xml:space="preserve"> constitucion_1978.html (c5\constitucion_1978.html) · contraste del archivo de pasajes: ✔</w:t>
      </w:r>
      <w:r>
        <w:br/>
      </w:r>
      <w:r>
        <w:rPr>
          <w:b/>
        </w:rPr>
        <w:t>Lugar:</w:t>
      </w:r>
      <w:r>
        <w:t xml:space="preserve"> Art. 9.1 (#a9)</w:t>
      </w:r>
      <w:r>
        <w:br/>
      </w:r>
      <w:r>
        <w:rPr>
          <w:b/>
        </w:rPr>
        <w:t>Dirección:</w:t>
      </w:r>
      <w:r>
        <w:t xml:space="preserve"> </w:t>
      </w:r>
      <w:r>
        <w:t>https://www.boe.es/buscar/act.php?id=BOE-A-1978-31229</w:t>
      </w:r>
      <w:r>
        <w:br/>
      </w:r>
      <w:r>
        <w:rPr>
          <w:b/>
        </w:rPr>
        <w:t>Tal como está en la fuente:</w:t>
      </w:r>
      <w:r>
        <w:t xml:space="preserve"> 1. Los ciudadanos y los poderes públicos están sujetos a la Constitución y al resto del ordenamiento jurídico.</w:t>
      </w:r>
      <w:r>
        <w:t>, y «Carecerán de validez las disposiciones que contradigan otra de rango superior»</w:t>
      </w:r>
      <w:r>
        <w:t xml:space="preserve"> (Código Civil, art. 1.2)</w:t>
      </w:r>
      <w:r>
        <w:br/>
      </w:r>
      <w:r>
        <w:rPr>
          <w:b/>
        </w:rPr>
        <w:t>leída en su fuente · Código Civil, art. 1.2</w:t>
      </w:r>
      <w:r>
        <w:br/>
      </w:r>
      <w:r>
        <w:rPr>
          <w:b/>
        </w:rPr>
        <w:t>Archivo leído:</w:t>
      </w:r>
      <w:r>
        <w:t xml:space="preserve"> codigo_civil_1889.html (c5\codigo_civil_1889.html) · contraste del archivo de pasajes: ✔</w:t>
      </w:r>
      <w:r>
        <w:br/>
      </w:r>
      <w:r>
        <w:rPr>
          <w:b/>
        </w:rPr>
        <w:t>Lugar:</w:t>
      </w:r>
      <w:r>
        <w:t xml:space="preserve"> Art. 1.2</w:t>
      </w:r>
      <w:r>
        <w:br/>
      </w:r>
      <w:r>
        <w:rPr>
          <w:b/>
        </w:rPr>
        <w:t>Dirección:</w:t>
      </w:r>
      <w:r>
        <w:t xml:space="preserve"> </w:t>
      </w:r>
      <w:r>
        <w:t>https://www.boe.es/buscar/act.php?id=BOE-A-1889-4763</w:t>
      </w:r>
      <w:r>
        <w:br/>
      </w:r>
      <w:r>
        <w:rPr>
          <w:b/>
        </w:rPr>
        <w:t>Tal como está en la fuente:</w:t>
      </w:r>
      <w:r>
        <w:t xml:space="preserve"> 2. Carecerán de validez las disposiciones que contradigan otra de rango superior.</w:t>
      </w:r>
      <w:r>
        <w:t>: la jerarquía termina en la Constitución. «Ninguna confesión tendrá carácter estatal»</w:t>
      </w:r>
      <w:r>
        <w:t xml:space="preserve"> (Constitución, art. 16.3)</w:t>
      </w:r>
      <w:r>
        <w:br/>
      </w:r>
      <w:r>
        <w:rPr>
          <w:b/>
        </w:rPr>
        <w:t>leída en su fuente · art. 16.3</w:t>
      </w:r>
      <w:r>
        <w:br/>
      </w:r>
      <w:r>
        <w:rPr>
          <w:b/>
        </w:rPr>
        <w:t>Archivo leído:</w:t>
      </w:r>
      <w:r>
        <w:t xml:space="preserve"> constitucion_1978.html (c5\constitucion_1978.html) · contraste del archivo de pasajes: ✔</w:t>
      </w:r>
      <w:r>
        <w:br/>
      </w:r>
      <w:r>
        <w:rPr>
          <w:b/>
        </w:rPr>
        <w:t>Lugar:</w:t>
      </w:r>
      <w:r>
        <w:t xml:space="preserve"> Art. 16.3 (#a16)</w:t>
      </w:r>
      <w:r>
        <w:br/>
      </w:r>
      <w:r>
        <w:rPr>
          <w:b/>
        </w:rPr>
        <w:t>Dirección:</w:t>
      </w:r>
      <w:r>
        <w:t xml:space="preserve"> </w:t>
      </w:r>
      <w:r>
        <w:t>https://www.boe.es/buscar/act.php?id=BOE-A-1978-31229</w:t>
      </w:r>
      <w:r>
        <w:br/>
      </w:r>
      <w:r>
        <w:rPr>
          <w:b/>
        </w:rPr>
        <w:t>Tal como está en la fuente:</w:t>
      </w:r>
      <w:r>
        <w:t xml:space="preserve"> 3. Ninguna confesión tendrá carácter estatal.</w:t>
      </w:r>
      <w:r>
        <w:t>: protege la libertad de creencias, y también deja fuera del ordenamiento cualquier ley de Dios. Matiz: la propia Constitución reconoce derechos «inviolables» e «inherentes» a la persona (art. 10.1), anteriores a ella, pero los somete a su propia interpretación.</w:t>
      </w:r>
    </w:p>
    <w:p>
      <w:r>
        <w:rPr>
          <w:b/>
        </w:rPr>
        <w:t>Dónde está probado:</w:t>
      </w:r>
      <w:r>
        <w:t xml:space="preserve"> la presunción (</w:t>
      </w:r>
      <w:r>
        <w:t>5.2</w:t>
      </w:r>
      <w:r>
        <w:t>) y la auditoría de la Constitución (</w:t>
      </w:r>
      <w:r>
        <w:t>capítulo 7</w:t>
      </w:r>
      <w:r>
        <w:t>).</w:t>
      </w:r>
    </w:p>
    <w:p>
      <w:r>
        <w:rPr>
          <w:b/>
        </w:rPr>
        <w:t>La pregunta:</w:t>
      </w:r>
      <w:r>
        <w:t xml:space="preserve"> ¿qué reconoce el ordenamiento por encima de la Constitución, si ella misma admite derechos «inherentes» a la persona (art. 10.1)?</w:t>
      </w:r>
    </w:p>
    <w:p>
      <w:r>
        <w:rPr>
          <w:b/>
        </w:rPr>
        <w:t>La defensa del Estado:</w:t>
      </w:r>
      <w:r>
        <w:t xml:space="preserve"> la Constitución reconoce los derechos inherentes a la persona (art. 10.1), manda interpretarlos «de conformidad con la Declaración Universal de Derechos Humanos» y los tratados</w:t>
      </w:r>
      <w:r>
        <w:t xml:space="preserve"> (Constitución, art. 10.2)</w:t>
      </w:r>
      <w:r>
        <w:t>, y se somete al control del Tribunal Constitucional y del Tribunal Europeo de Derechos Humanos. Todos, ciudadanos y poderes públicos, están sujetos a ella (art. 9.1), y la ley no ampara el abuso del derecho</w:t>
      </w:r>
      <w:r>
        <w:t xml:space="preserve"> (Código Civil, art. 7.2)</w:t>
      </w:r>
      <w:r>
        <w:t>. La aconfesionalidad protege la libertad de creencias de todos (art. 16). Ningún Estado del mundo tiene un título superior, y no le hace falta: el derecho internacional lo define por hechos (</w:t>
      </w:r>
      <w:r>
        <w:t>11.2</w:t>
      </w:r>
      <w:r>
        <w:t>, n.º 19). El aforamiento protege la función, no a la persona, y de los casi 250.000 aforados, algo más de 232.000 son policías (</w:t>
      </w:r>
      <w:r>
        <w:t>8.5</w:t>
      </w:r>
      <w:r>
        <w:t>). Y la preferencia del varón en la Corona no choca con la igualdad: el Consejo de Estado dijo que los arts. 14 y 57.1 «tienen ámbitos de aplicación distintos en el texto constitucional y no se interfieren mutuamente» (</w:t>
      </w:r>
      <w:r>
        <w:t>7.3</w:t>
      </w:r>
      <w:r>
        <w:t>).</w:t>
      </w:r>
    </w:p>
    <w:p>
      <w:r>
        <w:rPr>
          <w:b/>
        </w:rPr>
        <w:t>Los contrapuntos de la obra:</w:t>
      </w:r>
    </w:p>
    <w:p>
      <w:pPr>
        <w:spacing w:after="60"/>
        <w:ind w:left="510" w:hanging="397"/>
      </w:pPr>
      <w:r>
        <w:rPr>
          <w:b w:val="0"/>
        </w:rPr>
        <w:t xml:space="preserve">1. </w:t>
      </w:r>
      <w:r>
        <w:rPr>
          <w:i/>
        </w:rPr>
        <w:t>Con su propia ley.</w:t>
      </w:r>
      <w:r>
        <w:t xml:space="preserve"> Quien interpreta la Constitución es el propio sistema, y cuando el freno de otro poder actúa, corrige al poder en el 26,32 % de los casos y protege al ciudadano en el 4,65 % (</w:t>
      </w:r>
      <w:r>
        <w:t>7.4</w:t>
      </w:r>
      <w:r>
        <w:t>). El Constitucional admitió en 2025 59 de 9.089 recursos de amparo (</w:t>
      </w:r>
      <w:r>
        <w:t>5.1</w:t>
      </w:r>
      <w:r>
        <w:t>, n.º 19).</w:t>
      </w:r>
    </w:p>
    <w:p>
      <w:pPr>
        <w:spacing w:after="60"/>
        <w:ind w:left="510" w:hanging="397"/>
      </w:pPr>
      <w:r>
        <w:rPr>
          <w:b w:val="0"/>
        </w:rPr>
        <w:t xml:space="preserve">2. </w:t>
      </w:r>
      <w:r>
        <w:rPr>
          <w:i/>
        </w:rPr>
        <w:t>La sujeción no es igual para todos.</w:t>
      </w:r>
      <w:r>
        <w:t xml:space="preserve"> La institución queda fuera del Código Penal y del concurso (</w:t>
      </w:r>
      <w:r>
        <w:t>11.2</w:t>
      </w:r>
      <w:r>
        <w:t>, n.º 17); 17.603 cargos de las instituciones del Estado y de las comunidades autónomas están aforados (</w:t>
      </w:r>
      <w:r>
        <w:t>8.5</w:t>
      </w:r>
      <w:r>
        <w:t>); y los representantes fijan su propia asignación (</w:t>
      </w:r>
      <w:r>
        <w:t>7.2</w:t>
      </w:r>
      <w:r>
        <w:t>).</w:t>
      </w:r>
    </w:p>
    <w:p>
      <w:pPr>
        <w:spacing w:after="60"/>
        <w:ind w:left="510" w:hanging="397"/>
      </w:pPr>
      <w:r>
        <w:rPr>
          <w:b w:val="0"/>
        </w:rPr>
        <w:t xml:space="preserve">3. </w:t>
      </w:r>
      <w:r>
        <w:rPr>
          <w:i/>
        </w:rPr>
        <w:t>Ya hay algo por encima, y lo dice el propio Constitucional.</w:t>
      </w:r>
      <w:r>
        <w:t xml:space="preserve"> Desde la entrada en la Unión Europea, el derecho de la Unión se aplica con preferencia a la ley española: el Tribunal habla de «la primacía del Derecho comunitario como técnica o principio normativo destinado a asegurar su efectividad»</w:t>
      </w:r>
      <w:r>
        <w:t xml:space="preserve"> (STC 145/2012, de 2 de julio)</w:t>
      </w:r>
      <w:r>
        <w:br/>
      </w:r>
      <w:r>
        <w:rPr>
          <w:b/>
        </w:rPr>
        <w:t>leída en su fuente · STC 145/2012, de 2 de julio</w:t>
      </w:r>
      <w:r>
        <w:br/>
      </w:r>
      <w:r>
        <w:rPr>
          <w:b/>
        </w:rPr>
        <w:t>Archivo leído:</w:t>
      </w:r>
      <w:r>
        <w:t xml:space="preserve"> stc_145_2012.html (c10\stc_145_2012.html) · contraste del archivo de pasajes: ✔</w:t>
      </w:r>
      <w:r>
        <w:br/>
      </w:r>
      <w:r>
        <w:rPr>
          <w:b/>
        </w:rPr>
        <w:t>Lugar:</w:t>
      </w:r>
      <w:r>
        <w:t xml:space="preserve"> STC 145/2012, de 2 de julio</w:t>
      </w:r>
      <w:r>
        <w:br/>
      </w:r>
      <w:r>
        <w:rPr>
          <w:b/>
        </w:rPr>
        <w:t>Tal como está en la fuente:</w:t>
      </w:r>
      <w:r>
        <w:t xml:space="preserve"> la primacía del Derecho comunitario como técnica o principio normativo destinado a asegurar su efectividad</w:t>
      </w:r>
      <w:r>
        <w:t>. Es primacía de aplicación, no un escalón por encima de la Constitución; pero muestra que la Constitución no es el último techo.</w:t>
      </w:r>
    </w:p>
    <w:p>
      <w:pPr>
        <w:spacing w:after="60"/>
        <w:ind w:left="510" w:hanging="397"/>
      </w:pPr>
      <w:r>
        <w:rPr>
          <w:b w:val="0"/>
        </w:rPr>
        <w:t xml:space="preserve">4. </w:t>
      </w:r>
      <w:r>
        <w:rPr>
          <w:i/>
        </w:rPr>
        <w:t>La Declaración que la Constitución invoca pide lo contrario de la presunción:</w:t>
      </w:r>
      <w:r>
        <w:t xml:space="preserve"> «Nada en esta Declaración podrá interpretarse en el sentido de que confiere derecho alguno al Estado, a un grupo o a una persona, para emprender y desarrollar actividades o realizar actos tendientes a la supresión de cualquiera de los derechos y libertades proclamados en esta Declaración»</w:t>
      </w:r>
      <w:r>
        <w:t xml:space="preserve"> (Declaración Universal de Derechos Humanos, art. 30)</w:t>
      </w:r>
      <w:r>
        <w:br/>
      </w:r>
      <w:r>
        <w:rPr>
          <w:b/>
        </w:rPr>
        <w:t>leída en su fuente · Declaración Universal de Derechos Humanos, art. 30</w:t>
      </w:r>
      <w:r>
        <w:br/>
      </w:r>
      <w:r>
        <w:rPr>
          <w:b/>
        </w:rPr>
        <w:t>Original donde está:</w:t>
      </w:r>
      <w:r>
        <w:t xml:space="preserve"> 10.00_DUDH_1948_ONU_es.html.txt</w:t>
      </w:r>
      <w:r>
        <w:br/>
      </w:r>
      <w:r>
        <w:t>El pasaje literal no está en el archivo de pasajes con este comienzo; la auditoría lo halló en ese original.</w:t>
      </w:r>
      <w:r>
        <w:t>.</w:t>
      </w:r>
    </w:p>
    <w:p>
      <w:pPr>
        <w:spacing w:after="60"/>
        <w:ind w:left="510" w:hanging="397"/>
      </w:pPr>
      <w:r>
        <w:rPr>
          <w:b w:val="0"/>
        </w:rPr>
        <w:t xml:space="preserve">5. </w:t>
      </w:r>
      <w:r>
        <w:rPr>
          <w:i/>
        </w:rPr>
        <w:t>La Corona.</w:t>
      </w:r>
      <w:r>
        <w:t xml:space="preserve"> El mismo Consejo de Estado aconsejó en 2006 reformar la preferencia del varón, por «el progresivo deterioro» que ha sufrido «en la conciencia social todo tipo de postergación femenina». No se ha reformado (</w:t>
      </w:r>
      <w:r>
        <w:t>7.3</w:t>
      </w:r>
      <w:r>
        <w:t>). Y al ratificar en 1983 la Convención sobre la mujer, España hizo esta reserva: «La ratificación de la Convención por España no efectará a las disposiciones constitucionales en materia de sucesión a la Corona española»</w:t>
      </w:r>
      <w:r>
        <w:t xml:space="preserve"> (reserva de España de 16-XII-1983, BOE núm. 69, de 21-III-1984)</w:t>
      </w:r>
      <w:r>
        <w:br/>
      </w:r>
      <w:r>
        <w:rPr>
          <w:b/>
        </w:rPr>
        <w:t>leída en su fuente · reserva de España de 16-XII-1983, BOE núm. 69, de 21-III-1984</w:t>
      </w:r>
      <w:r>
        <w:br/>
      </w:r>
      <w:r>
        <w:rPr>
          <w:b/>
        </w:rPr>
        <w:t>Archivo leído:</w:t>
      </w:r>
      <w:r>
        <w:t xml:space="preserve"> cedaw_ratificacion_boe_1984.pdf (c5\cedaw_ratificacion_boe_1984.pdf) · contraste del archivo de pasajes: ✔</w:t>
      </w:r>
      <w:r>
        <w:br/>
      </w:r>
      <w:r>
        <w:rPr>
          <w:b/>
        </w:rPr>
        <w:t>Lugar:</w:t>
      </w:r>
      <w:r>
        <w:t xml:space="preserve"> Pág. PDF 1</w:t>
      </w:r>
      <w:r>
        <w:br/>
      </w:r>
      <w:r>
        <w:rPr>
          <w:b/>
        </w:rPr>
        <w:t>Dirección:</w:t>
      </w:r>
      <w:r>
        <w:t xml:space="preserve"> </w:t>
      </w:r>
      <w:r>
        <w:t>https://www.boe.es/boe/dias/1984/03/21/pdfs/A07715-07720.pdf</w:t>
      </w:r>
      <w:r>
        <w:br/>
      </w:r>
      <w:r>
        <w:rPr>
          <w:b/>
        </w:rPr>
        <w:t>Tal como está en la fuente:</w:t>
      </w:r>
      <w:r>
        <w:t xml:space="preserve"> La ratificación de la Convención por España no efectará a las disposiciones constitucionales en materia de sucesión a la Corona española.</w:t>
      </w:r>
      <w:r>
        <w:br/>
      </w:r>
      <w:r>
        <w:rPr>
          <w:b/>
        </w:rPr>
        <w:t>Traducción guardada:</w:t>
      </w:r>
      <w:r>
        <w:t xml:space="preserve"> así en el original: «efectará»</w:t>
      </w:r>
      <w:r>
        <w:t>.</w:t>
      </w:r>
    </w:p>
    <w:p>
      <w:r>
        <w:rPr>
          <w:b/>
        </w:rPr>
        <w:t>Dónde aguanta:</w:t>
      </w:r>
      <w:r>
        <w:t xml:space="preserve"> la Constitución sí reconoce lo inherente y se interpreta con la Declaración Universal; la mayoría de los aforados son policías; y el Consejo de Estado no vio defecto jurídico en la sucesión a la Corona.</w:t>
      </w:r>
    </w:p>
    <w:p>
      <w:r>
        <w:rPr>
          <w:b/>
        </w:rPr>
        <w:t>Límite honesto:</w:t>
      </w:r>
      <w:r>
        <w:t xml:space="preserve"> la obra no puede probar que exista una ley superior que el ordenamiento deba aplicar; puede probar que la propia Constitución reconoce algo anterior a ella y que no lo deja interpretar a nadie más que a sí misma.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[37.00-3.1 a 3.8, con Mt 22:21 en la Reina-Valera Antigua; 00.2-3.5 a 3.8, con la reserva de 1983 a la Convención sobre la mujer (17.00-244.3), leída en el BOE; sin que la revisión total «nunca se ha activado»: sin fila en el registro; 03.00-34.10 y 34.11, el art. 31 quinquies con sus palabras; 11.00-10.1 y 10.2; 12.00-6.2 y 6.3; 16.00-13.14 y 13.15; 20.00-35.22 y 35.23. La Declaración Universal, art. 30, leída hoy en local]</w:t>
      </w:r>
    </w:p>
    <w:p>
      <w:pPr>
        <w:pStyle w:val="Heading3"/>
      </w:pPr>
      <w:r>
        <w:t>Cargo 3. La soberanía del pueblo</w:t>
      </w:r>
    </w:p>
    <w:p>
      <w:r>
        <w:rPr>
          <w:b/>
        </w:rPr>
        <w:t>La presunción:</w:t>
      </w:r>
      <w:r>
        <w:t xml:space="preserve"> «Que todos los poderes del Estado emanan del pueblo y que el pueblo los consintió».</w:t>
      </w:r>
    </w:p>
    <w:p>
      <w:r>
        <w:rPr>
          <w:b/>
        </w:rPr>
        <w:t>La vara.</w:t>
      </w:r>
    </w:p>
    <w:p>
      <w:pPr>
        <w:pStyle w:val="ListBullet"/>
      </w:pPr>
      <w:r>
        <w:rPr>
          <w:i/>
        </w:rPr>
        <w:t>La ley de Dios:</w:t>
      </w:r>
      <w:r>
        <w:t xml:space="preserve"> antes de darle rey, Dios hizo advertir al pueblo lo que ese rey le tomaría: «El diezmará vuestras simientes y vuestras viñas, para dar á sus eunucos y á sus siervos […] Y clamaréis aquel día á causa de vuestro rey que os habréis elegido»</w:t>
      </w:r>
      <w:r>
        <w:t xml:space="preserve"> (1 Sam 8:15 y 18)</w:t>
      </w:r>
      <w:r>
        <w:br/>
      </w:r>
      <w:r>
        <w:rPr>
          <w:b/>
        </w:rPr>
        <w:t>leída en su fuente · 1 Sam 8:15 y 18</w:t>
      </w:r>
      <w:r>
        <w:br/>
      </w:r>
      <w:r>
        <w:rPr>
          <w:b/>
        </w:rPr>
        <w:t>Archivo leído:</w:t>
      </w:r>
      <w:r>
        <w:t xml:space="preserve"> 1s_8_15-18_rva.html; 1s_8_15-18_rvr1960.html (c9h\1s_8_15-18_rva.html) · contraste del archivo de pasajes: ✔</w:t>
      </w:r>
      <w:r>
        <w:br/>
      </w:r>
      <w:r>
        <w:rPr>
          <w:b/>
        </w:rPr>
        <w:t>Lugar:</w:t>
      </w:r>
      <w:r>
        <w:t xml:space="preserve"> RVA, v. 15</w:t>
      </w:r>
      <w:r>
        <w:br/>
      </w:r>
      <w:r>
        <w:rPr>
          <w:b/>
        </w:rPr>
        <w:t>Dirección:</w:t>
      </w:r>
      <w:r>
        <w:t xml:space="preserve"> </w:t>
      </w:r>
      <w:r>
        <w:t>https://www.biblegateway.com/passage/?search=1+Samuel+8%3A15-18&amp;version=RVA</w:t>
      </w:r>
      <w:r>
        <w:t xml:space="preserve"> ; </w:t>
      </w:r>
      <w:r>
        <w:t>…&amp;version=RVR1960</w:t>
      </w:r>
      <w:r>
        <w:br/>
      </w:r>
      <w:r>
        <w:rPr>
          <w:b/>
        </w:rPr>
        <w:t>Tal como está en la fuente:</w:t>
      </w:r>
      <w:r>
        <w:t xml:space="preserve"> El diezmará vuestras simientes y vuestras viñas, para dar á sus eunucos y á sus siervos.</w:t>
      </w:r>
      <w:r>
        <w:t>.</w:t>
      </w:r>
    </w:p>
    <w:p>
      <w:pPr>
        <w:pStyle w:val="ListBullet"/>
      </w:pPr>
      <w:r>
        <w:rPr>
          <w:i/>
        </w:rPr>
        <w:t>Las tradiciones:</w:t>
      </w:r>
      <w:r>
        <w:t xml:space="preserve"> para Mencio, el pueblo es lo más valioso; el gobernante, lo de menos (</w:t>
      </w:r>
      <w:r>
        <w:t>3.2</w:t>
      </w:r>
      <w:r>
        <w:t>).</w:t>
      </w:r>
    </w:p>
    <w:p>
      <w:pPr>
        <w:pStyle w:val="ListBullet"/>
      </w:pPr>
      <w:r>
        <w:rPr>
          <w:i/>
        </w:rPr>
        <w:t>Su propia ley:</w:t>
      </w:r>
      <w:r>
        <w:t xml:space="preserve"> «La soberanía nacional reside en el pueblo español, del que emanan los poderes del Estado»</w:t>
      </w:r>
      <w:r>
        <w:t xml:space="preserve"> (Constitución, art. 1.2)</w:t>
      </w:r>
      <w:r>
        <w:br/>
      </w:r>
      <w:r>
        <w:rPr>
          <w:b/>
        </w:rPr>
        <w:t>leída en su fuente · Constitución, art. 1.2</w:t>
      </w:r>
      <w:r>
        <w:br/>
      </w:r>
      <w:r>
        <w:rPr>
          <w:b/>
        </w:rPr>
        <w:t>Archivo leído:</w:t>
      </w:r>
      <w:r>
        <w:t xml:space="preserve"> constitucion_1978.html (c5\constitucion_1978.html) · contraste del archivo de pasajes: ✔</w:t>
      </w:r>
      <w:r>
        <w:br/>
      </w:r>
      <w:r>
        <w:rPr>
          <w:b/>
        </w:rPr>
        <w:t>Lugar:</w:t>
      </w:r>
      <w:r>
        <w:t xml:space="preserve"> Art. 1.2</w:t>
      </w:r>
      <w:r>
        <w:br/>
      </w:r>
      <w:r>
        <w:rPr>
          <w:b/>
        </w:rPr>
        <w:t>Dirección:</w:t>
      </w:r>
      <w:r>
        <w:t xml:space="preserve"> </w:t>
      </w:r>
      <w:r>
        <w:t>https://www.boe.es/buscar/act.php?id=BOE-A-1978-31229</w:t>
      </w:r>
      <w:r>
        <w:br/>
      </w:r>
      <w:r>
        <w:rPr>
          <w:b/>
        </w:rPr>
        <w:t>Tal como está en la fuente:</w:t>
      </w:r>
      <w:r>
        <w:t xml:space="preserve"> 2. La soberanía nacional reside en el pueblo español, del que emanan los poderes del Estado.</w:t>
      </w:r>
      <w:r>
        <w:t>. La Constitución se ratificó en referéndum en 1978; quienes no tenían edad de votar entonces, y todos los nacidos después, nunca la votaron, y para retirar ese consentimiento no hay otra vía que la reforma (</w:t>
      </w:r>
      <w:r>
        <w:t>5.2</w:t>
      </w:r>
      <w:r>
        <w:t>).</w:t>
      </w:r>
    </w:p>
    <w:p>
      <w:r>
        <w:rPr>
          <w:b/>
        </w:rPr>
        <w:t>Dónde está probado:</w:t>
      </w:r>
      <w:r>
        <w:t xml:space="preserve"> la presunción (</w:t>
      </w:r>
      <w:r>
        <w:t>5.2</w:t>
      </w:r>
      <w:r>
        <w:t>) y el contrato que nadie firmó (</w:t>
      </w:r>
      <w:r>
        <w:t>6.1</w:t>
      </w:r>
      <w:r>
        <w:t>).</w:t>
      </w:r>
    </w:p>
    <w:p>
      <w:r>
        <w:rPr>
          <w:b/>
        </w:rPr>
        <w:t>La pregunta:</w:t>
      </w:r>
      <w:r>
        <w:t xml:space="preserve"> ¿cuál es el hecho de partida de la presunción de que el pueblo consintió, y consta para quien nunca votó la Constitución? ¿Cómo consienten la Constitución quienes no pudieron votarla en 1978, y qué vía tienen para retirar su consentimiento?</w:t>
      </w:r>
    </w:p>
    <w:p>
      <w:r>
        <w:rPr>
          <w:b/>
        </w:rPr>
        <w:t>La defensa del Estado:</w:t>
      </w:r>
      <w:r>
        <w:t xml:space="preserve"> la Constitución se ratificó en referéndum; cada elección renueva la legitimidad de los poderes, y la propia Constitución prevé su reforma</w:t>
      </w:r>
      <w:r>
        <w:t xml:space="preserve"> (Constitución, arts. 167 y 168)</w:t>
      </w:r>
      <w:r>
        <w:t>. La conquista es cosa del pasado: hoy está prohibida (</w:t>
      </w:r>
      <w:r>
        <w:t>6.2</w:t>
      </w:r>
      <w:r>
        <w:t>), y la legitimidad no viene de ella, sino de una Constitución democrática. Y cualquier ciudadano puede proponer una ley con «no menos de 500.000 firmas acreditadas»</w:t>
      </w:r>
      <w:r>
        <w:t xml:space="preserve"> (Constitución, art. 87.3)</w:t>
      </w:r>
      <w:r>
        <w:br/>
      </w:r>
      <w:r>
        <w:rPr>
          <w:b/>
        </w:rPr>
        <w:t>leída en su fuente · Constitución, art. 87.3</w:t>
      </w:r>
      <w:r>
        <w:br/>
      </w:r>
      <w:r>
        <w:rPr>
          <w:b/>
        </w:rPr>
        <w:t>Archivo leído:</w:t>
      </w:r>
      <w:r>
        <w:t xml:space="preserve"> ce.html (ant\c1\ce.html) · contraste del archivo de pasajes: ✔</w:t>
      </w:r>
      <w:r>
        <w:br/>
      </w:r>
      <w:r>
        <w:rPr>
          <w:b/>
        </w:rPr>
        <w:t>Lugar:</w:t>
      </w:r>
      <w:r>
        <w:t xml:space="preserve"> Constitución, art. 87.3</w:t>
      </w:r>
      <w:r>
        <w:br/>
      </w:r>
      <w:r>
        <w:rPr>
          <w:b/>
        </w:rPr>
        <w:t>Tal como está en la fuente:</w:t>
      </w:r>
      <w:r>
        <w:t xml:space="preserve"> no menos de 500.000 firmas acreditadas</w:t>
      </w:r>
      <w:r>
        <w:t>.</w:t>
      </w:r>
    </w:p>
    <w:p>
      <w:r>
        <w:rPr>
          <w:b/>
        </w:rPr>
        <w:t>Los contrapuntos de la obra:</w:t>
      </w:r>
    </w:p>
    <w:p>
      <w:pPr>
        <w:spacing w:after="60"/>
        <w:ind w:left="510" w:hanging="397"/>
      </w:pPr>
      <w:r>
        <w:rPr>
          <w:b w:val="0"/>
        </w:rPr>
        <w:t xml:space="preserve">1. </w:t>
      </w:r>
      <w:r>
        <w:rPr>
          <w:i/>
        </w:rPr>
        <w:t>Con su propia ley.</w:t>
      </w:r>
      <w:r>
        <w:t xml:space="preserve"> El mismo artículo cierra la puerta en lo que más importa: «No procederá dicha iniciativa en materias propias de ley orgánica, tributarias o de carácter internacional, ni en lo relativo a la prerrogativa de gracia»</w:t>
      </w:r>
      <w:r>
        <w:t xml:space="preserve"> (Constitución, art. 87.3)</w:t>
      </w:r>
      <w:r>
        <w:br/>
      </w:r>
      <w:r>
        <w:rPr>
          <w:b/>
        </w:rPr>
        <w:t>leída en su fuente · Constitución, art. 87.3</w:t>
      </w:r>
      <w:r>
        <w:br/>
      </w:r>
      <w:r>
        <w:rPr>
          <w:b/>
        </w:rPr>
        <w:t>Archivo leído:</w:t>
      </w:r>
      <w:r>
        <w:t xml:space="preserve"> constitucion_1978.html (c5\constitucion_1978.html) · contraste del archivo de pasajes: ✔</w:t>
      </w:r>
      <w:r>
        <w:br/>
      </w:r>
      <w:r>
        <w:rPr>
          <w:b/>
        </w:rPr>
        <w:t>Lugar:</w:t>
      </w:r>
      <w:r>
        <w:t xml:space="preserve"> Art. 122.3</w:t>
      </w:r>
      <w:r>
        <w:br/>
      </w:r>
      <w:r>
        <w:rPr>
          <w:b/>
        </w:rPr>
        <w:t>Dirección:</w:t>
      </w:r>
      <w:r>
        <w:t xml:space="preserve"> </w:t>
      </w:r>
      <w:r>
        <w:t>https://www.boe.es/buscar/act.php?id=BOE-A-1978-31229</w:t>
      </w:r>
      <w:r>
        <w:br/>
      </w:r>
      <w:r>
        <w:rPr>
          <w:b/>
        </w:rPr>
        <w:t>Tal como está en la fuente:</w:t>
      </w:r>
      <w:r>
        <w:t xml:space="preserve"> No procederá dicha iniciativa en materias propias de ley orgánica, tributarias o de carácter internacional, ni en lo relativo a la prerrogativa de gracia.</w:t>
      </w:r>
      <w:r>
        <w:t>. La ley electoral es orgánica: ningún ciudadano puede proponer cambiar cómo se elige a sus representantes, ni nada sobre impuestos.</w:t>
      </w:r>
    </w:p>
    <w:p>
      <w:pPr>
        <w:spacing w:after="60"/>
        <w:ind w:left="510" w:hanging="397"/>
      </w:pPr>
      <w:r>
        <w:rPr>
          <w:b w:val="0"/>
        </w:rPr>
        <w:t xml:space="preserve">2. </w:t>
      </w:r>
      <w:r>
        <w:rPr>
          <w:i/>
        </w:rPr>
        <w:t>La reforma tiene dos velocidades.</w:t>
      </w:r>
      <w:r>
        <w:t xml:space="preserve"> La que convenía al poder, la del art. 135, que da prioridad absoluta a la deuda, se aprobó por lectura única y sin referéndum (</w:t>
      </w:r>
      <w:r>
        <w:t>8.1</w:t>
      </w:r>
      <w:r>
        <w:t>). La revisión total exige dos tercios de cada Cámara, disolverlas, que las nuevas la ratifiquen por dos tercios y un referéndum (</w:t>
      </w:r>
      <w:r>
        <w:t>5.2</w:t>
      </w:r>
      <w:r>
        <w:t>), y un estudio sobre la reforma de la Corona, que pasa por ese procedimiento, lo describe «a modo de “cláusula de intangibilidad” encubierta»</w:t>
      </w:r>
      <w:r>
        <w:t xml:space="preserve"> (Oliver Araujo, «La reforma constitucional de la Corona», Revista de Derecho Político, n.º 77, 2010, resumen)</w:t>
      </w:r>
      <w:r>
        <w:br/>
      </w:r>
      <w:r>
        <w:rPr>
          <w:b/>
        </w:rPr>
        <w:t>leída en su fuente · Oliver Araujo, «La reforma constitucional de la Corona», Revista de Derecho Político, n.º</w:t>
      </w:r>
      <w:r>
        <w:br/>
      </w:r>
      <w:r>
        <w:rPr>
          <w:b/>
        </w:rPr>
        <w:t>Archivo leído:</w:t>
      </w:r>
      <w:r>
        <w:t xml:space="preserve"> intangibilidad_RDP78_2010_reforma_corona_uned.pdf (c9h\intangibilidad_RDP78_2010_reforma_corona_uned.pdf) · contraste del archivo de pasajes: ✔</w:t>
      </w:r>
      <w:r>
        <w:br/>
      </w:r>
      <w:r>
        <w:rPr>
          <w:b/>
        </w:rPr>
        <w:t>Lugar:</w:t>
      </w:r>
      <w:r>
        <w:t xml:space="preserve"> Oliver Araujo, «La reforma constitucional de la Corona», Revista de Derecho Político, n.º 77, 2010, resumen</w:t>
      </w:r>
      <w:r>
        <w:br/>
      </w:r>
      <w:r>
        <w:rPr>
          <w:b/>
        </w:rPr>
        <w:t>Tal como está en la fuente:</w:t>
      </w:r>
      <w:r>
        <w:t xml:space="preserve"> a modo de “cláusula de intangibilidad” encubierta</w:t>
      </w:r>
      <w:r>
        <w:t>.</w:t>
      </w:r>
    </w:p>
    <w:p>
      <w:pPr>
        <w:spacing w:after="60"/>
        <w:ind w:left="510" w:hanging="397"/>
      </w:pPr>
      <w:r>
        <w:rPr>
          <w:b w:val="0"/>
        </w:rPr>
        <w:t xml:space="preserve">3. </w:t>
      </w:r>
      <w:r>
        <w:rPr>
          <w:i/>
        </w:rPr>
        <w:t>Los frenos, repartidos.</w:t>
      </w:r>
      <w:r>
        <w:t xml:space="preserve"> El órgano de gobierno de los jueces estuvo cinco años y medio sin renovarse (</w:t>
      </w:r>
      <w:r>
        <w:t>7.4</w:t>
      </w:r>
      <w:r>
        <w:t>).</w:t>
      </w:r>
    </w:p>
    <w:p>
      <w:r>
        <w:rPr>
          <w:b/>
        </w:rPr>
        <w:t>Dónde aguanta:</w:t>
      </w:r>
      <w:r>
        <w:t xml:space="preserve"> hubo un referéndum, la reforma está prevista y se vota en cada elección. La obra no dice que la Constitución sea ilegítima: dice que el consentimiento de quien no la votó se presume.</w:t>
      </w:r>
    </w:p>
    <w:p>
      <w:r>
        <w:rPr>
          <w:b/>
        </w:rPr>
        <w:t>Lectura del autor:</w:t>
      </w:r>
      <w:r>
        <w:t xml:space="preserve"> el Estado no tiene boca. Nunca ha dicho con su voz que sus poderes emanan del pueblo: lo escribieron unas personas, lo aprobaron las Cortes y lo ratificaron los votantes de 1978 (</w:t>
      </w:r>
      <w:r>
        <w:t>5.2</w:t>
      </w:r>
      <w:r>
        <w:t>). Desde entonces, cada vez que se dice «el Estado dice», habla alguien con nombre detrás de una máscara sin rostro (</w:t>
      </w:r>
      <w:r>
        <w:t>5.3</w:t>
      </w:r>
      <w:r>
        <w:t>). Presumir que la máscara habla por sí sola es presumir algo falso: esto apunta hacia el padre de la mentira (Jn 8:44). Dios creó al hombre a su imagen</w:t>
      </w:r>
      <w:r>
        <w:t xml:space="preserve"> (Gn 1:27)</w:t>
      </w:r>
      <w:r>
        <w:t>: una persona, con rostro y con voz. La criatura de la ley no tiene rostro, y por eso no puede responder por sí: tienen que responder quienes hablan en su nombre. Ante los demás Estados, el Estado no necesita que nadie lo reconozca (</w:t>
      </w:r>
      <w:r>
        <w:t>11.2</w:t>
      </w:r>
      <w:r>
        <w:t xml:space="preserve">, n.º 19); ante su pueblo, «La voluntad del pueblo es la base de la autoridad del poder público» (Declaración Universal, art. 21; </w:t>
      </w:r>
      <w:r>
        <w:t>capítulo 2</w:t>
      </w:r>
      <w:r>
        <w:t>). Un poder que se impone igual a quien nunca lo consintió se parece al vasallaje que las Cortes de Cádiz abolieron en 1811 (</w:t>
      </w:r>
      <w:r>
        <w:t>2.2</w:t>
      </w:r>
      <w:r>
        <w:t>). Por eso la pregunta no se dirige a la máscara, sino a quien firma detrás: ¿cuál es la piedra que sostiene esta presunción? (</w:t>
      </w:r>
      <w:r>
        <w:t>5.4</w:t>
      </w:r>
      <w:r>
        <w:t xml:space="preserve">) </w:t>
      </w:r>
      <w:r>
        <w:t>[palabras de Kiko, 6-oct-2026, noche; libreta 75, 7 bis n.º 9]</w:t>
      </w:r>
    </w:p>
    <w:p>
      <w:r>
        <w:rPr>
          <w:b/>
        </w:rPr>
        <w:t>Límite honesto:</w:t>
      </w:r>
      <w:r>
        <w:t xml:space="preserve"> nadie puede saber qué votaría hoy el pueblo. La obra prueba que el consentimiento de quien no votó se presume y que retirarlo es casi imposible; no prueba que se negaría.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[37.00-4.1 a 4.8, con 1 Sam 8:15 en la Reina-Valera Antigua; 00.2-6.1 a 6.4, sin «autobloqueo», sin que la revisión total «nunca se ha activado» y sin los «cuarenta y ocho años»: sin fila en el registro; 12.00-6.4 y 6.5, la conquista con la Carta de las Naciones Unidas de 6.2, sin el art. 11 de Montevideo; 13.00-13.12 y 13.13, sin los «quince días» de la Mesa: sin fuente leída. La Constitución, art. 87.3, leída hoy en local]</w:t>
      </w:r>
    </w:p>
    <w:p>
      <w:pPr>
        <w:pStyle w:val="Heading3"/>
      </w:pPr>
      <w:r>
        <w:t>Cargo 4. El ahorro</w:t>
      </w:r>
    </w:p>
    <w:p>
      <w:r>
        <w:rPr>
          <w:b/>
        </w:rPr>
        <w:t>La presunción:</w:t>
      </w:r>
      <w:r>
        <w:t xml:space="preserve"> «Que lo guardado se conserva».</w:t>
      </w:r>
    </w:p>
    <w:p>
      <w:r>
        <w:rPr>
          <w:b/>
        </w:rPr>
        <w:t>La vara.</w:t>
      </w:r>
    </w:p>
    <w:p>
      <w:pPr>
        <w:pStyle w:val="ListBullet"/>
      </w:pPr>
      <w:r>
        <w:rPr>
          <w:i/>
        </w:rPr>
        <w:t>La ley de Dios:</w:t>
      </w:r>
      <w:r>
        <w:t xml:space="preserve"> «No os hagáis tesoros en la tierra, donde la polilla y el orín corrompe»</w:t>
      </w:r>
      <w:r>
        <w:t xml:space="preserve"> (Mt 6:19)</w:t>
      </w:r>
      <w:r>
        <w:br/>
      </w:r>
      <w:r>
        <w:rPr>
          <w:b/>
        </w:rPr>
        <w:t>leída en su fuente · Mt 6:19</w:t>
      </w:r>
      <w:r>
        <w:br/>
      </w:r>
      <w:r>
        <w:rPr>
          <w:b/>
        </w:rPr>
        <w:t>Archivo leído:</w:t>
      </w:r>
      <w:r>
        <w:t xml:space="preserve"> spaRV1909_texto_corrido.txt (biblia_rv1909\spaRV1909_texto_corrido.txt) · contraste del archivo de pasajes: ✔</w:t>
      </w:r>
      <w:r>
        <w:br/>
      </w:r>
      <w:r>
        <w:rPr>
          <w:b/>
        </w:rPr>
        <w:t>Lugar:</w:t>
      </w:r>
      <w:r>
        <w:t xml:space="preserve"> Mt 6:19</w:t>
      </w:r>
      <w:r>
        <w:br/>
      </w:r>
      <w:r>
        <w:rPr>
          <w:b/>
        </w:rPr>
        <w:t>Tal como está en la fuente:</w:t>
      </w:r>
      <w:r>
        <w:t xml:space="preserve"> No os hagáis tesoros en la tierra, donde la polilla y el orín corrompe</w:t>
      </w:r>
      <w:r>
        <w:t>. La enseñanza es espiritual, pero describe el mecanismo (</w:t>
      </w:r>
      <w:r>
        <w:t>5.2</w:t>
      </w:r>
      <w:r>
        <w:t>).</w:t>
      </w:r>
    </w:p>
    <w:p>
      <w:pPr>
        <w:pStyle w:val="ListBullet"/>
      </w:pPr>
      <w:r>
        <w:rPr>
          <w:i/>
        </w:rPr>
        <w:t>Las tradiciones:</w:t>
      </w:r>
      <w:r>
        <w:t xml:space="preserve"> Mencio acusaba a los gobernantes de que «roban al pueblo su tiempo, de modo que no puede arar para alimentar a sus padres» (</w:t>
      </w:r>
      <w:r>
        <w:t>3.2</w:t>
      </w:r>
      <w:r>
        <w:t>). El ahorro es tiempo de vida guardado.</w:t>
      </w:r>
    </w:p>
    <w:p>
      <w:pPr>
        <w:pStyle w:val="ListBullet"/>
      </w:pPr>
      <w:r>
        <w:rPr>
          <w:i/>
        </w:rPr>
        <w:t>Su propia ley:</w:t>
      </w:r>
      <w:r>
        <w:t xml:space="preserve"> la palabra «ahorro» no aparece en la Constitución. Sí aparecen las pensiones: los poderes públicos las garantizarán «adecuadas y periódicamente actualizadas»</w:t>
      </w:r>
      <w:r>
        <w:t xml:space="preserve"> (Constitución, art. 50)</w:t>
      </w:r>
      <w:r>
        <w:br/>
      </w:r>
      <w:r>
        <w:rPr>
          <w:b/>
        </w:rPr>
        <w:t>leída en su fuente · Constitución, art. 50</w:t>
      </w:r>
      <w:r>
        <w:br/>
      </w:r>
      <w:r>
        <w:rPr>
          <w:b/>
        </w:rPr>
        <w:t>Archivo leído:</w:t>
      </w:r>
      <w:r>
        <w:t xml:space="preserve"> constitucion_1978.html (c5\constitucion_1978.html) · contraste del archivo de pasajes: ✔</w:t>
      </w:r>
      <w:r>
        <w:br/>
      </w:r>
      <w:r>
        <w:rPr>
          <w:b/>
        </w:rPr>
        <w:t>Lugar:</w:t>
      </w:r>
      <w:r>
        <w:t xml:space="preserve"> Art. 50 (#a50)</w:t>
      </w:r>
      <w:r>
        <w:br/>
      </w:r>
      <w:r>
        <w:rPr>
          <w:b/>
        </w:rPr>
        <w:t>Dirección:</w:t>
      </w:r>
      <w:r>
        <w:t xml:space="preserve"> </w:t>
      </w:r>
      <w:r>
        <w:t>https://www.boe.es/buscar/act.php?id=BOE-A-1978-31229</w:t>
      </w:r>
      <w:r>
        <w:br/>
      </w:r>
      <w:r>
        <w:rPr>
          <w:b/>
        </w:rPr>
        <w:t>Tal como está en la fuente:</w:t>
      </w:r>
      <w:r>
        <w:t xml:space="preserve"> Los poderes públicos garantizarán, mediante pensiones adecuadas y periódicamente actualizadas, la suficiencia</w:t>
      </w:r>
      <w:r>
        <w:t>. El dinero guardado pierde valor sin que nadie lo vote (</w:t>
      </w:r>
      <w:r>
        <w:t>8.3</w:t>
      </w:r>
      <w:r>
        <w:t>).</w:t>
      </w:r>
    </w:p>
    <w:p>
      <w:r>
        <w:rPr>
          <w:b/>
        </w:rPr>
        <w:t>Dónde está probado:</w:t>
      </w:r>
      <w:r>
        <w:t xml:space="preserve"> la moneda y su pérdida de valor (</w:t>
      </w:r>
      <w:r>
        <w:t>8.1</w:t>
      </w:r>
      <w:r>
        <w:t xml:space="preserve"> y </w:t>
      </w:r>
      <w:r>
        <w:t>8.3</w:t>
      </w:r>
      <w:r>
        <w:t>), la vivienda (</w:t>
      </w:r>
      <w:r>
        <w:t>8.8</w:t>
      </w:r>
      <w:r>
        <w:t>) y lo que se da por supuesto (</w:t>
      </w:r>
      <w:r>
        <w:t>5.1</w:t>
      </w:r>
      <w:r>
        <w:t>).</w:t>
      </w:r>
    </w:p>
    <w:p>
      <w:r>
        <w:rPr>
          <w:b/>
        </w:rPr>
        <w:t>La pregunta:</w:t>
      </w:r>
      <w:r>
        <w:t xml:space="preserve"> ¿qué norma protege el valor del ahorro de quien guardó por su cuenta, si la Constitución sí obliga a actualizar las pensiones?</w:t>
      </w:r>
    </w:p>
    <w:p>
      <w:r>
        <w:rPr>
          <w:b/>
        </w:rPr>
        <w:t>La defensa del Estado:</w:t>
      </w:r>
      <w:r>
        <w:t xml:space="preserve"> el ahorro está protegido: el Fondo de Garantía de Depósitos cubre hasta 100.000 euros por depositante y entidad</w:t>
      </w:r>
      <w:r>
        <w:t xml:space="preserve"> (Real Decreto-ley 16/2011, art. 10.1; Real Decreto 2606/1996, art. 7.4)</w:t>
      </w:r>
      <w:r>
        <w:t>, y el ahorrador puede elegir productos que pagan interés. El salario mínimo ha subido más que los precios: de unos 554 euros de 2025 en 1970 a 1.184 euros al mes en 2025 (</w:t>
      </w:r>
      <w:r>
        <w:t>8.3</w:t>
      </w:r>
      <w:r>
        <w:t>). Y a los bancos centrales el Tratado les encarga «mantener la estabilidad de precios» (</w:t>
      </w:r>
      <w:r>
        <w:t>8.3</w:t>
      </w:r>
      <w:r>
        <w:t>).</w:t>
      </w:r>
    </w:p>
    <w:p>
      <w:r>
        <w:rPr>
          <w:b/>
        </w:rPr>
        <w:t>Los contrapuntos de la obra:</w:t>
      </w:r>
    </w:p>
    <w:p>
      <w:pPr>
        <w:spacing w:after="60"/>
        <w:ind w:left="510" w:hanging="397"/>
      </w:pPr>
      <w:r>
        <w:rPr>
          <w:b w:val="0"/>
        </w:rPr>
        <w:t xml:space="preserve">1. </w:t>
      </w:r>
      <w:r>
        <w:rPr>
          <w:i/>
        </w:rPr>
        <w:t>Con su propia ley.</w:t>
      </w:r>
      <w:r>
        <w:t xml:space="preserve"> La garantía protege frente a la quiebra de un banco, no frente a la pérdida de valor: los precios subieron un 28,0 % entre 2015 y 2025 (</w:t>
      </w:r>
      <w:r>
        <w:t>5.1</w:t>
      </w:r>
      <w:r>
        <w:t>). La Constitución obliga a actualizar las pensiones y no nombra el ahorro: protege lo que el Estado administra, no lo que el ciudadano guarda.</w:t>
      </w:r>
    </w:p>
    <w:p>
      <w:pPr>
        <w:spacing w:after="60"/>
        <w:ind w:left="510" w:hanging="397"/>
      </w:pPr>
      <w:r>
        <w:rPr>
          <w:b w:val="0"/>
        </w:rPr>
        <w:t xml:space="preserve">2. </w:t>
      </w:r>
      <w:r>
        <w:rPr>
          <w:i/>
        </w:rPr>
        <w:t>Lo que compra el sueldo.</w:t>
      </w:r>
      <w:r>
        <w:t xml:space="preserve"> El salario medio compra hoy lo mismo que en 2008: subió un 35,0 %, y los precios, un 35,1 %. Y 100 euros guardados el 1 de enero de 1971 compran hoy lo que entonces 3,90 (</w:t>
      </w:r>
      <w:r>
        <w:t>8.3</w:t>
      </w:r>
      <w:r>
        <w:t>).</w:t>
      </w:r>
    </w:p>
    <w:p>
      <w:pPr>
        <w:spacing w:after="60"/>
        <w:ind w:left="510" w:hanging="397"/>
      </w:pPr>
      <w:r>
        <w:rPr>
          <w:b w:val="0"/>
        </w:rPr>
        <w:t xml:space="preserve">3. </w:t>
      </w:r>
      <w:r>
        <w:rPr>
          <w:i/>
        </w:rPr>
        <w:t>Quién gana.</w:t>
      </w:r>
      <w:r>
        <w:t xml:space="preserve"> La pérdida de valor favorece al que debe: entre 2021 y 2025 rebajó la deuda pública, en términos reales, en 306.760 millones de euros, mientras se pagaban 172.603 millones en intereses (</w:t>
      </w:r>
      <w:r>
        <w:t>5.1</w:t>
      </w:r>
      <w:r>
        <w:t xml:space="preserve">; </w:t>
      </w:r>
      <w:r>
        <w:t>8.3</w:t>
      </w:r>
      <w:r>
        <w:t>).</w:t>
      </w:r>
    </w:p>
    <w:p>
      <w:pPr>
        <w:spacing w:after="60"/>
        <w:ind w:left="510" w:hanging="397"/>
      </w:pPr>
      <w:r>
        <w:rPr>
          <w:b w:val="0"/>
        </w:rPr>
        <w:t xml:space="preserve">4. </w:t>
      </w:r>
      <w:r>
        <w:rPr>
          <w:i/>
        </w:rPr>
        <w:t>El ahorro de toda una vida.</w:t>
      </w:r>
      <w:r>
        <w:t xml:space="preserve"> Una vivienda cuesta 8,36 años de la renta bruta de un hogar mediano, el dato más alto desde 2011; es renta antes de impuestos y cotizaciones, no el esfuerzo real (</w:t>
      </w:r>
      <w:r>
        <w:t>8.8</w:t>
      </w:r>
      <w:r>
        <w:t xml:space="preserve">). Con lo que de verdad se puede guardar, la cuenta es otra: con el salario medio y ahorrando lo que ahorran de media los hogares, una persona sola tardaría unos 25 años en reunir la entrada y los gastos de compra, y más de 80 en reunir el precio entero; incluso gastando solo lo que gasta de media una persona, unos 7 años para la entrada y unos 25 para todo. Una pareja con dos sueldos tarda más o menos la mitad (aritmética de la obra, </w:t>
      </w:r>
      <w:r>
        <w:t>8.8</w:t>
      </w:r>
      <w:r>
        <w:t>). {completo} Un sindicato, que es parte interesada, calculó 58 años para un trabajador de la hostelería de Madrid con el salario medio de su convenio (</w:t>
      </w:r>
      <w:r>
        <w:t>8.8</w:t>
      </w:r>
      <w:r>
        <w:t>).</w:t>
      </w:r>
    </w:p>
    <w:p>
      <w:r>
        <w:rPr>
          <w:b/>
        </w:rPr>
        <w:t>Dónde aguanta:</w:t>
      </w:r>
      <w:r>
        <w:t xml:space="preserve"> los depósitos están garantizados frente a la quiebra de un banco, y el salario mínimo ha ganado poder de compra desde 1970.</w:t>
      </w:r>
    </w:p>
    <w:p>
      <w:r>
        <w:rPr>
          <w:b/>
        </w:rPr>
        <w:t>Límite honesto:</w:t>
      </w:r>
      <w:r>
        <w:t xml:space="preserve"> la pérdida de valor no la vota nadie, pero tampoco es un impuesto escrito. La obra la mide;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[37.00-5.1 a 5.8, con Mt 6:19 en la Reina-Valera Antigua; 00.2-15.13 a 15.16, la vivienda con el dato de junio de 2026 (8.8) en lugar de los 7,7 años de 2025; 34.00-13.8 y 13.9; la aritmética del ahorro, de 27.00-1.2 por 8.8, añadida a petición de Kiko (6-oct, noche: «ese dato no se puede perder»). Que «ahorro» no aparece en la Constitución, comprobado hoy en el texto local]</w:t>
      </w:r>
    </w:p>
    <w:p>
      <w:pPr>
        <w:pStyle w:val="Heading3"/>
      </w:pPr>
      <w:r>
        <w:t>Cargo 5. El Estado no quiebra</w:t>
      </w:r>
    </w:p>
    <w:p>
      <w:r>
        <w:rPr>
          <w:b/>
        </w:rPr>
        <w:t>La presunción:</w:t>
      </w:r>
      <w:r>
        <w:t xml:space="preserve"> «Que el Estado siempre podrá pagar».</w:t>
      </w:r>
    </w:p>
    <w:p>
      <w:r>
        <w:rPr>
          <w:b/>
        </w:rPr>
        <w:t>La vara.</w:t>
      </w:r>
    </w:p>
    <w:p>
      <w:pPr>
        <w:pStyle w:val="ListBullet"/>
      </w:pPr>
      <w:r>
        <w:rPr>
          <w:i/>
        </w:rPr>
        <w:t>La ley de Dios:</w:t>
      </w:r>
      <w:r>
        <w:t xml:space="preserve"> «Da cuenta de tu mayordomía, porque ya no podrás más ser mayordomo»</w:t>
      </w:r>
      <w:r>
        <w:t xml:space="preserve"> (Lc 16:2)</w:t>
      </w:r>
      <w:r>
        <w:br/>
      </w:r>
      <w:r>
        <w:rPr>
          <w:b/>
        </w:rPr>
        <w:t>leída en su fuente · Lc 16:2</w:t>
      </w:r>
      <w:r>
        <w:br/>
      </w:r>
      <w:r>
        <w:rPr>
          <w:b/>
        </w:rPr>
        <w:t>Archivo leído:</w:t>
      </w:r>
      <w:r>
        <w:t xml:space="preserve"> spaRV1909_texto_corrido.txt (biblia_rv1909\spaRV1909_texto_corrido.txt) · contraste del archivo de pasajes: ✔</w:t>
      </w:r>
      <w:r>
        <w:br/>
      </w:r>
      <w:r>
        <w:rPr>
          <w:b/>
        </w:rPr>
        <w:t>Lugar:</w:t>
      </w:r>
      <w:r>
        <w:t xml:space="preserve"> Lc 16:2</w:t>
      </w:r>
      <w:r>
        <w:br/>
      </w:r>
      <w:r>
        <w:rPr>
          <w:b/>
        </w:rPr>
        <w:t>Tal como está en la fuente:</w:t>
      </w:r>
      <w:r>
        <w:t xml:space="preserve"> Da cuenta de tu mayordomía, porque ya no podrás más ser mayordomo</w:t>
      </w:r>
      <w:r>
        <w:t>. La ley de Dios pide cuentas al administrador, y lo aparta si no las da (</w:t>
      </w:r>
      <w:r>
        <w:t>5.2</w:t>
      </w:r>
      <w:r>
        <w:t>).</w:t>
      </w:r>
    </w:p>
    <w:p>
      <w:pPr>
        <w:pStyle w:val="ListBullet"/>
      </w:pPr>
      <w:r>
        <w:rPr>
          <w:i/>
        </w:rPr>
        <w:t>Su propia ley:</w:t>
      </w:r>
      <w:r>
        <w:t xml:space="preserve"> «Las entidades que integran la organización territorial del Estado, los organismos públicos y demás entes de derecho público no podrán ser declarados en concurso»</w:t>
      </w:r>
      <w:r>
        <w:t xml:space="preserve"> (texto refundido de la Ley Concursal, art. 1.3)</w:t>
      </w:r>
      <w:r>
        <w:br/>
      </w:r>
      <w:r>
        <w:rPr>
          <w:b/>
        </w:rPr>
        <w:t>leída en su fuente · texto refundido de la Ley Concursal, art. 1.3</w:t>
      </w:r>
      <w:r>
        <w:br/>
      </w:r>
      <w:r>
        <w:rPr>
          <w:b/>
        </w:rPr>
        <w:t>Archivo leído:</w:t>
      </w:r>
      <w:r>
        <w:t xml:space="preserve"> ley_concursal_rdleg1_2020.html (c5\ley_concursal_rdleg1_2020.html) · contraste del archivo de pasajes: ✔</w:t>
      </w:r>
      <w:r>
        <w:br/>
      </w:r>
      <w:r>
        <w:rPr>
          <w:b/>
        </w:rPr>
        <w:t>Lugar:</w:t>
      </w:r>
      <w:r>
        <w:t xml:space="preserve"> Art. 1.3 (#a1)</w:t>
      </w:r>
      <w:r>
        <w:br/>
      </w:r>
      <w:r>
        <w:rPr>
          <w:b/>
        </w:rPr>
        <w:t>Dirección:</w:t>
      </w:r>
      <w:r>
        <w:t xml:space="preserve"> </w:t>
      </w:r>
      <w:r>
        <w:t>https://www.boe.es/buscar/act.php?id=BOE-A-2020-4859</w:t>
      </w:r>
      <w:r>
        <w:br/>
      </w:r>
      <w:r>
        <w:rPr>
          <w:b/>
        </w:rPr>
        <w:t>Tal como está en la fuente:</w:t>
      </w:r>
      <w:r>
        <w:t xml:space="preserve"> 3. Las entidades que integran la organización territorial del Estado, los organismos públicos y demás entes de derecho público no podrán ser declarados en concurso.</w:t>
      </w:r>
      <w:r>
        <w:t>. La ley que el Estado escribe lo excluye de la quiebra que aplica a todos los demás (</w:t>
      </w:r>
      <w:r>
        <w:t>5.1</w:t>
      </w:r>
      <w:r>
        <w:t>, n.º 7).</w:t>
      </w:r>
    </w:p>
    <w:p>
      <w:r>
        <w:rPr>
          <w:b/>
        </w:rPr>
        <w:t>Dónde está probado:</w:t>
      </w:r>
      <w:r>
        <w:t xml:space="preserve"> la quiebra camuflada (</w:t>
      </w:r>
      <w:r>
        <w:t>9.1</w:t>
      </w:r>
      <w:r>
        <w:t>).</w:t>
      </w:r>
    </w:p>
    <w:p>
      <w:r>
        <w:rPr>
          <w:b/>
        </w:rPr>
        <w:t>La pregunta:</w:t>
      </w:r>
      <w:r>
        <w:t xml:space="preserve"> si el Estado no puede ser declarado en concurso, ¿qué mecanismo protege a quien le presta o cotiza cuando no puede pagar?</w:t>
      </w:r>
    </w:p>
    <w:p>
      <w:r>
        <w:rPr>
          <w:b/>
        </w:rPr>
        <w:t>La defensa del Estado:</w:t>
      </w:r>
      <w:r>
        <w:t xml:space="preserve"> un Estado no se puede liquidar como una empresa: presta servicios esenciales y es soberano. Como puede recaudar, siempre puede pagar en euros, y un concurso perjudicaría a los propios ciudadanos. Y sus cuentas tienen un examinador: «El Tribunal de Cuentas es el supremo órgano fiscalizador de las cuentas y de la gestión económica de Estado»</w:t>
      </w:r>
      <w:r>
        <w:t xml:space="preserve"> (Constitución, art. 136.1)</w:t>
      </w:r>
      <w:r>
        <w:br/>
      </w:r>
      <w:r>
        <w:rPr>
          <w:b/>
        </w:rPr>
        <w:t>leída en su fuente · Constitución, art. 136.1</w:t>
      </w:r>
      <w:r>
        <w:br/>
      </w:r>
      <w:r>
        <w:rPr>
          <w:b/>
        </w:rPr>
        <w:t>Archivo leído:</w:t>
      </w:r>
      <w:r>
        <w:t xml:space="preserve"> ídem (ant\c1\ce.html) · contraste del archivo de pasajes: ✔</w:t>
      </w:r>
      <w:r>
        <w:br/>
      </w:r>
      <w:r>
        <w:rPr>
          <w:b/>
        </w:rPr>
        <w:t>Lugar:</w:t>
      </w:r>
      <w:r>
        <w:t xml:space="preserve"> Art. 136.1, pág. PDF 19 (pág. 29331); consolidado #a136</w:t>
      </w:r>
      <w:r>
        <w:br/>
      </w:r>
      <w:r>
        <w:rPr>
          <w:b/>
        </w:rPr>
        <w:t>Tal como está en la fuente:</w:t>
      </w:r>
      <w:r>
        <w:t xml:space="preserve"> 1. El Tribunal de Cuentas es el supremo órgano fiscalizador de las cuentas y de la gestión económica de Estado, así como del sector público.</w:t>
      </w:r>
      <w:r>
        <w:t>, y publica lo que encuentra.</w:t>
      </w:r>
    </w:p>
    <w:p>
      <w:r>
        <w:rPr>
          <w:b/>
        </w:rPr>
        <w:t>Los contrapuntos de la obra:</w:t>
      </w:r>
    </w:p>
    <w:p>
      <w:pPr>
        <w:spacing w:after="60"/>
        <w:ind w:left="510" w:hanging="397"/>
      </w:pPr>
      <w:r>
        <w:rPr>
          <w:b w:val="0"/>
        </w:rPr>
        <w:t xml:space="preserve">1. </w:t>
      </w:r>
      <w:r>
        <w:rPr>
          <w:i/>
        </w:rPr>
        <w:t>Con la vara que aplica a los demás.</w:t>
      </w:r>
      <w:r>
        <w:t xml:space="preserve"> A una empresa en su situación se le aplicaría la causa de disolución: las administraciones gastaron más de lo que ingresaron en 28 de los 31 años de 1995 a 2025, y la Seguridad Social tiene patrimonio neto negativo desde 2017 (</w:t>
      </w:r>
      <w:r>
        <w:t>9.1</w:t>
      </w:r>
      <w:r>
        <w:t>).</w:t>
      </w:r>
    </w:p>
    <w:p>
      <w:pPr>
        <w:spacing w:after="60"/>
        <w:ind w:left="510" w:hanging="397"/>
      </w:pPr>
      <w:r>
        <w:rPr>
          <w:b w:val="0"/>
        </w:rPr>
        <w:t xml:space="preserve">2. </w:t>
      </w:r>
      <w:r>
        <w:rPr>
          <w:i/>
        </w:rPr>
        <w:t>Con su propia ley.</w:t>
      </w:r>
      <w:r>
        <w:t xml:space="preserve"> La misma ley que lo excluye del concurso le evita rendir cuentas como un deudor.</w:t>
      </w:r>
    </w:p>
    <w:p>
      <w:pPr>
        <w:spacing w:after="60"/>
        <w:ind w:left="510" w:hanging="397"/>
      </w:pPr>
      <w:r>
        <w:rPr>
          <w:b w:val="0"/>
        </w:rPr>
        <w:t xml:space="preserve">3. </w:t>
      </w:r>
      <w:r>
        <w:rPr>
          <w:i/>
        </w:rPr>
        <w:t>Con su propio examinador.</w:t>
      </w:r>
      <w:r>
        <w:t xml:space="preserve"> El Tribunal de Cuentas advirtió que la Seguridad Social tiene un patrimonio neto negativo de 106.138,7 millones y que el resultado presupuestario consolidado está «sobrevalorado» en 4.090,3 millones (</w:t>
      </w:r>
      <w:r>
        <w:t>7.2</w:t>
      </w:r>
      <w:r>
        <w:t>). Publicarlo no es corregirlo.</w:t>
      </w:r>
    </w:p>
    <w:p>
      <w:r>
        <w:rPr>
          <w:b/>
        </w:rPr>
        <w:t>Dónde aguanta:</w:t>
      </w:r>
      <w:r>
        <w:t xml:space="preserve"> un Estado no es una empresa, y liquidarlo dañaría a los ciudadanos. Esa defensa, con la deuda de pensiones que no vence hoy, se oye entera frente al dictamen (</w:t>
      </w:r>
      <w:r>
        <w:t>11.4</w:t>
      </w:r>
      <w:r>
        <w:t>).</w:t>
      </w:r>
    </w:p>
    <w:p>
      <w:r>
        <w:rPr>
          <w:b/>
        </w:rPr>
        <w:t>Límite honesto:</w:t>
      </w:r>
      <w:r>
        <w:t xml:space="preserve"> mientras recaude, el Estado puede pagar en euros. La obra no anuncia un impago: dice que la ley lo pone fuera de la regla que aplica a todos.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[37.00-6.1 a 6.7; 00.1-2.26 a 2.29; 00.2-18.5 a 18.8; 15.00-17.22 y 17.23, sin «ninguno de los grandes casos de corrupción surgió de sus fiscalizaciones»: sin fila en el registro]</w:t>
      </w:r>
    </w:p>
    <w:p>
      <w:pPr>
        <w:pStyle w:val="Heading3"/>
      </w:pPr>
      <w:r>
        <w:t>Cargo 6. La representación</w:t>
      </w:r>
    </w:p>
    <w:p>
      <w:r>
        <w:rPr>
          <w:b/>
        </w:rPr>
        <w:t>La presunción:</w:t>
      </w:r>
      <w:r>
        <w:t xml:space="preserve"> «Que el representante obedece a quien le vota».</w:t>
      </w:r>
    </w:p>
    <w:p>
      <w:r>
        <w:rPr>
          <w:b/>
        </w:rPr>
        <w:t>La vara.</w:t>
      </w:r>
    </w:p>
    <w:p>
      <w:pPr>
        <w:pStyle w:val="ListBullet"/>
      </w:pPr>
      <w:r>
        <w:rPr>
          <w:i/>
        </w:rPr>
        <w:t>La ley de Dios:</w:t>
      </w:r>
      <w:r>
        <w:t xml:space="preserve"> «Sabéis que los príncipes de los Gentiles se enseñorean sobre ellos […] Mas entre vosotros no será así; sino el que quisiere entre vosotros hacerse grande, será vuestro servidor»</w:t>
      </w:r>
      <w:r>
        <w:t xml:space="preserve"> (Mt 20:25-26)</w:t>
      </w:r>
      <w:r>
        <w:br/>
      </w:r>
      <w:r>
        <w:rPr>
          <w:b/>
        </w:rPr>
        <w:t>leída en su fuente · Mt 20:25-26</w:t>
      </w:r>
      <w:r>
        <w:br/>
      </w:r>
      <w:r>
        <w:rPr>
          <w:b/>
        </w:rPr>
        <w:t>Archivo leído:</w:t>
      </w:r>
      <w:r>
        <w:t xml:space="preserve"> rva_c3.txt; rvr1960_mt_20_25-26.html (c3\rva_c3.txt) · contraste del archivo de pasajes: ✔</w:t>
      </w:r>
      <w:r>
        <w:br/>
      </w:r>
      <w:r>
        <w:rPr>
          <w:b/>
        </w:rPr>
        <w:t>Lugar:</w:t>
      </w:r>
      <w:r>
        <w:t xml:space="preserve"> RVA</w:t>
      </w:r>
      <w:r>
        <w:br/>
      </w:r>
      <w:r>
        <w:rPr>
          <w:b/>
        </w:rPr>
        <w:t>Dirección:</w:t>
      </w:r>
      <w:r>
        <w:t xml:space="preserve"> </w:t>
      </w:r>
      <w:r>
        <w:t>https://www.biblegateway.com/passage/?search=Matthew+20%3A25-26&amp;version=RVA</w:t>
      </w:r>
      <w:r>
        <w:br/>
      </w:r>
      <w:r>
        <w:rPr>
          <w:b/>
        </w:rPr>
        <w:t>Tal como está en la fuente:</w:t>
      </w:r>
      <w:r>
        <w:t xml:space="preserve"> Sabéis que los príncipes de los Gentiles se enseñorean sobre ellos, y los que son grandes ejercen sobre ellos potestad. Mas entre vosotros no será así; sino el que quisiere entre vosotros hacerse grande, será vuestro servidor;</w:t>
      </w:r>
      <w:r>
        <w:t>.</w:t>
      </w:r>
    </w:p>
    <w:p>
      <w:pPr>
        <w:pStyle w:val="ListBullet"/>
      </w:pPr>
      <w:r>
        <w:rPr>
          <w:i/>
        </w:rPr>
        <w:t>Las tradiciones:</w:t>
      </w:r>
      <w:r>
        <w:t xml:space="preserve"> el jefe iroqués que no tiene en mente el bienestar del pueblo es amonestado y, si persiste, despojado de su título (</w:t>
      </w:r>
      <w:r>
        <w:t>3.2</w:t>
      </w:r>
      <w:r>
        <w:t>).</w:t>
      </w:r>
    </w:p>
    <w:p>
      <w:pPr>
        <w:pStyle w:val="ListBullet"/>
      </w:pPr>
      <w:r>
        <w:rPr>
          <w:i/>
        </w:rPr>
        <w:t>Su propia ley:</w:t>
      </w:r>
      <w:r>
        <w:t xml:space="preserve"> «Los miembros de las Cortes Generales no estarán ligados por mandato imperativo»</w:t>
      </w:r>
      <w:r>
        <w:t xml:space="preserve"> (Constitución, art. 67.2)</w:t>
      </w:r>
      <w:r>
        <w:br/>
      </w:r>
      <w:r>
        <w:rPr>
          <w:b/>
        </w:rPr>
        <w:t>leída en su fuente · Constitución, art. 67.2</w:t>
      </w:r>
      <w:r>
        <w:br/>
      </w:r>
      <w:r>
        <w:rPr>
          <w:b/>
        </w:rPr>
        <w:t>Archivo leído:</w:t>
      </w:r>
      <w:r>
        <w:t xml:space="preserve"> constitucion_1978.html (c5\constitucion_1978.html) · contraste del archivo de pasajes: ✔</w:t>
      </w:r>
      <w:r>
        <w:br/>
      </w:r>
      <w:r>
        <w:rPr>
          <w:b/>
        </w:rPr>
        <w:t>Lugar:</w:t>
      </w:r>
      <w:r>
        <w:t xml:space="preserve"> Art. 67.2 (#a67)</w:t>
      </w:r>
      <w:r>
        <w:br/>
      </w:r>
      <w:r>
        <w:rPr>
          <w:b/>
        </w:rPr>
        <w:t>Dirección:</w:t>
      </w:r>
      <w:r>
        <w:t xml:space="preserve"> </w:t>
      </w:r>
      <w:r>
        <w:t>https://www.boe.es/buscar/act.php?id=BOE-A-1978-31229</w:t>
      </w:r>
      <w:r>
        <w:br/>
      </w:r>
      <w:r>
        <w:rPr>
          <w:b/>
        </w:rPr>
        <w:t>Tal como está en la fuente:</w:t>
      </w:r>
      <w:r>
        <w:t xml:space="preserve"> 2. Los miembros de las Cortes Generales no estarán ligados por mandato imperativo.</w:t>
      </w:r>
      <w:r>
        <w:t>. Se vota una lista cerrada, y la ley de partidos solo pide que su estructura y su funcionamiento sean democráticos (</w:t>
      </w:r>
      <w:r>
        <w:t>5.1</w:t>
      </w:r>
      <w:r>
        <w:t>, n.º 18).</w:t>
      </w:r>
    </w:p>
    <w:p>
      <w:r>
        <w:rPr>
          <w:b/>
        </w:rPr>
        <w:t>Dónde está probado:</w:t>
      </w:r>
      <w:r>
        <w:t xml:space="preserve"> lo que se da por supuesto (</w:t>
      </w:r>
      <w:r>
        <w:t>5.1</w:t>
      </w:r>
      <w:r>
        <w:t>, n.º 17 y 18), cómo se llega al poder (</w:t>
      </w:r>
      <w:r>
        <w:t>6.4</w:t>
      </w:r>
      <w:r>
        <w:t>), la asignación (</w:t>
      </w:r>
      <w:r>
        <w:t>7.2</w:t>
      </w:r>
      <w:r>
        <w:t>), la financiación de los partidos (</w:t>
      </w:r>
      <w:r>
        <w:t>7.3</w:t>
      </w:r>
      <w:r>
        <w:t>) y los cargos políticos (</w:t>
      </w:r>
      <w:r>
        <w:t>8.5</w:t>
      </w:r>
      <w:r>
        <w:t xml:space="preserve"> y </w:t>
      </w:r>
      <w:r>
        <w:t>8.6</w:t>
      </w:r>
      <w:r>
        <w:t>).</w:t>
      </w:r>
    </w:p>
    <w:p>
      <w:r>
        <w:rPr>
          <w:b/>
        </w:rPr>
        <w:t>La pregunta:</w:t>
      </w:r>
      <w:r>
        <w:t xml:space="preserve"> ¿qué mecanismo tiene un elector para pedir cuentas a su diputado durante la legislatura?</w:t>
      </w:r>
    </w:p>
    <w:p>
      <w:r>
        <w:rPr>
          <w:b/>
        </w:rPr>
        <w:t>La defensa del Estado:</w:t>
      </w:r>
      <w:r>
        <w:t xml:space="preserve"> la prohibición del mandato imperativo protege al representante de presiones particulares y le permite representar a toda la nación; la rendición de cuentas llega en cada elección. Los partidos «expresan el pluralismo político, concurren a la formación y manifestación de la voluntad popular y son instrumento fundamental para la participación política»</w:t>
      </w:r>
      <w:r>
        <w:t xml:space="preserve"> (Constitución, art. 6)</w:t>
      </w:r>
      <w:r>
        <w:br/>
      </w:r>
      <w:r>
        <w:rPr>
          <w:b/>
        </w:rPr>
        <w:t>leída en su fuente · Constitución, art. 6</w:t>
      </w:r>
      <w:r>
        <w:br/>
      </w:r>
      <w:r>
        <w:rPr>
          <w:b/>
        </w:rPr>
        <w:t>Archivo leído:</w:t>
      </w:r>
      <w:r>
        <w:t xml:space="preserve"> ce.html (ant\c1\ce.html) · contraste del archivo de pasajes: ✔</w:t>
      </w:r>
      <w:r>
        <w:br/>
      </w:r>
      <w:r>
        <w:rPr>
          <w:b/>
        </w:rPr>
        <w:t>Lugar:</w:t>
      </w:r>
      <w:r>
        <w:t xml:space="preserve"> Constitución, art. 6</w:t>
      </w:r>
      <w:r>
        <w:br/>
      </w:r>
      <w:r>
        <w:rPr>
          <w:b/>
        </w:rPr>
        <w:t>Tal como está en la fuente:</w:t>
      </w:r>
      <w:r>
        <w:t xml:space="preserve"> expresan el pluralismo político, concurren a la formación y manifestación de la voluntad popular y son instrumento fundamental para la participación política</w:t>
      </w:r>
      <w:r>
        <w:t>. En democracia, la mayoría expresa la voluntad general. La Administración «sirve con objetividad los intereses generales»</w:t>
      </w:r>
      <w:r>
        <w:t xml:space="preserve"> (Constitución, art. 103.1)</w:t>
      </w:r>
      <w:r>
        <w:br/>
      </w:r>
      <w:r>
        <w:rPr>
          <w:b/>
        </w:rPr>
        <w:t>leída en su fuente · Constitución, art. 103.1</w:t>
      </w:r>
      <w:r>
        <w:br/>
      </w:r>
      <w:r>
        <w:rPr>
          <w:b/>
        </w:rPr>
        <w:t>Archivo leído:</w:t>
      </w:r>
      <w:r>
        <w:t xml:space="preserve"> c6 (ant\c1\ce.html) · contraste del archivo de pasajes: ✔</w:t>
      </w:r>
      <w:r>
        <w:br/>
      </w:r>
      <w:r>
        <w:rPr>
          <w:b/>
        </w:rPr>
        <w:t>Tal como está en la fuente:</w:t>
      </w:r>
      <w:r>
        <w:t xml:space="preserve"> La Administración Pública sirve con objetividad los intereses generales</w:t>
      </w:r>
      <w:r>
        <w:t>. Las asignaciones parlamentarias están sujetas al IRPF y a incompatibilidades, y se publican; y que las Cámaras las fijen lo autoriza expresamente la Constitución (art. 71.4): no hay corrupción de la forma (</w:t>
      </w:r>
      <w:r>
        <w:t>7.5</w:t>
      </w:r>
      <w:r>
        <w:t>). Y el sistema se ha corregido: suprimió el voto rogado (</w:t>
      </w:r>
      <w:r>
        <w:t>7.3</w:t>
      </w:r>
      <w:r>
        <w:t>) y cumplió cinco de las seis recomendaciones del Consejo de Europa sobre la financiación de los partidos (</w:t>
      </w:r>
      <w:r>
        <w:t>7.3</w:t>
      </w:r>
      <w:r>
        <w:t>).</w:t>
      </w:r>
    </w:p>
    <w:p>
      <w:r>
        <w:rPr>
          <w:b/>
        </w:rPr>
        <w:t>Los contrapuntos de la obra:</w:t>
      </w:r>
    </w:p>
    <w:p>
      <w:pPr>
        <w:spacing w:after="60"/>
        <w:ind w:left="510" w:hanging="397"/>
      </w:pPr>
      <w:r>
        <w:rPr>
          <w:b w:val="0"/>
        </w:rPr>
        <w:t xml:space="preserve">1. </w:t>
      </w:r>
      <w:r>
        <w:rPr>
          <w:i/>
        </w:rPr>
        <w:t>Con su propia ley.</w:t>
      </w:r>
      <w:r>
        <w:t xml:space="preserve"> Con lista cerrada, el elector no elige a la persona; y durante el mandato no la puede apartar: el diputado solo pierde el escaño por las causas tasadas (</w:t>
      </w:r>
      <w:r>
        <w:t>8.5</w:t>
      </w:r>
      <w:r>
        <w:t>).</w:t>
      </w:r>
    </w:p>
    <w:p>
      <w:pPr>
        <w:spacing w:after="60"/>
        <w:ind w:left="510" w:hanging="397"/>
      </w:pPr>
      <w:r>
        <w:rPr>
          <w:b w:val="0"/>
        </w:rPr>
        <w:t xml:space="preserve">2. </w:t>
      </w:r>
      <w:r>
        <w:rPr>
          <w:i/>
        </w:rPr>
        <w:t>La voluntad general no es la de la mayoría.</w:t>
      </w:r>
      <w:r>
        <w:t xml:space="preserve"> Rousseau, que puso el nombre, lo advirtió: «Hay a menudo mucha diferencia entre la voluntad de todos y la voluntad general: esta solo mira al interés común; la otra mira al interés privado» (</w:t>
      </w:r>
      <w:r>
        <w:t>6.1</w:t>
      </w:r>
      <w:r>
        <w:t>).</w:t>
      </w:r>
    </w:p>
    <w:p>
      <w:pPr>
        <w:spacing w:after="60"/>
        <w:ind w:left="510" w:hanging="397"/>
      </w:pPr>
      <w:r>
        <w:rPr>
          <w:b w:val="0"/>
        </w:rPr>
        <w:t xml:space="preserve">3. </w:t>
      </w:r>
      <w:r>
        <w:rPr>
          <w:i/>
        </w:rPr>
        <w:t>El sueldo, fijado por quien lo cobra.</w:t>
      </w:r>
      <w:r>
        <w:t xml:space="preserve"> Los representantes fijan su propia asignación (art. 71.4): 3.366,99 euros al mes en 2026, más una indemnización exenta de IRPF de 2.162,85 euros al mes para los diputados de fuera de Madrid</w:t>
      </w:r>
      <w:r>
        <w:t xml:space="preserve"> (Congreso de los Diputados, retribuciones de 2026)</w:t>
      </w:r>
      <w:r>
        <w:t>. El Reino Unido sacó esa decisión de manos de los diputados en 2009, con un organismo independiente (</w:t>
      </w:r>
      <w:r>
        <w:t>7.2</w:t>
      </w:r>
      <w:r>
        <w:t>); España no. El Presidente del Gobierno cobra 96.921,84 euros al año; el salario medio en el sector privado es de 22.962 euros (</w:t>
      </w:r>
      <w:r>
        <w:t>8.6</w:t>
      </w:r>
      <w:r>
        <w:t>), y la mediana de la ganancia bruta anual por trabajador, de 24.497,17</w:t>
      </w:r>
      <w:r>
        <w:t xml:space="preserve"> (INE, Encuesta Anual de Estructura Salarial, 2024)</w:t>
      </w:r>
      <w:r>
        <w:t>: el Presidente cobra 3,96 veces la mediana, y la media de los altos cargos, 92.294 euros, 3,77: casi cuatro veces en los dos casos (</w:t>
      </w:r>
      <w:r>
        <w:t>C.1</w:t>
      </w:r>
      <w:r>
        <w:t>; cálculo de la obra).</w:t>
      </w:r>
    </w:p>
    <w:p>
      <w:pPr>
        <w:spacing w:after="60"/>
        <w:ind w:left="510" w:hanging="397"/>
      </w:pPr>
      <w:r>
        <w:rPr>
          <w:b w:val="0"/>
        </w:rPr>
        <w:t xml:space="preserve">4. </w:t>
      </w:r>
      <w:r>
        <w:rPr>
          <w:i/>
        </w:rPr>
        <w:t>Las correcciones llegaron tarde.</w:t>
      </w:r>
      <w:r>
        <w:t xml:space="preserve"> Hasta que se suprimió el voto rogado, en 2022, en las elecciones generales de 2011 a 2019 lo pidieron «menos del 10 por ciento» de los electores de fuera (salvo en noviembre de 2019, el 10,61 %), cuando antes votaban entre el 22,99 % y el 31,88 % (</w:t>
      </w:r>
      <w:r>
        <w:t>7.3</w:t>
      </w:r>
      <w:r>
        <w:t>). Las recomendaciones sobre la financiación son de 2009; en 2011 no se había cumplido del todo ninguna (</w:t>
      </w:r>
      <w:r>
        <w:t>7.3</w:t>
      </w:r>
      <w:r>
        <w:t>).</w:t>
      </w:r>
    </w:p>
    <w:p>
      <w:pPr>
        <w:spacing w:after="60"/>
        <w:ind w:left="510" w:hanging="397"/>
      </w:pPr>
      <w:r>
        <w:rPr>
          <w:b w:val="0"/>
        </w:rPr>
        <w:t xml:space="preserve">5. </w:t>
      </w:r>
      <w:r>
        <w:rPr>
          <w:i/>
        </w:rPr>
        <w:t>Las puertas de entrada.</w:t>
      </w:r>
      <w:r>
        <w:t xml:space="preserve"> Un partido que ya tiene representación no necesita avales; uno nuevo, el 0,1 % de los electores de cada circunscripción; una agrupación de electores sin partido, el 1 %. Para toda España, unas 37.500 y unas 375.000 firmas; y las subvenciones van a quien ya tiene escaños (</w:t>
      </w:r>
      <w:r>
        <w:t>6.4</w:t>
      </w:r>
      <w:r>
        <w:t>).</w:t>
      </w:r>
    </w:p>
    <w:p>
      <w:pPr>
        <w:spacing w:after="60"/>
        <w:ind w:left="510" w:hanging="397"/>
      </w:pPr>
      <w:r>
        <w:rPr>
          <w:b w:val="0"/>
        </w:rPr>
        <w:t xml:space="preserve">6. </w:t>
      </w:r>
      <w:r>
        <w:rPr>
          <w:i/>
        </w:rPr>
        <w:t>Lo que cuesta mandar.</w:t>
      </w:r>
      <w:r>
        <w:t xml:space="preserve"> Los 959 asesores eventuales de los ministerios son un mínimo (</w:t>
      </w:r>
      <w:r>
        <w:t>8.6</w:t>
      </w:r>
      <w:r>
        <w:t>), y la publicidad institucional pasó de 25,9 millones de euros en 2019 a 88,1 millones en 2025 (</w:t>
      </w:r>
      <w:r>
        <w:t>8.5</w:t>
      </w:r>
      <w:r>
        <w:t xml:space="preserve">). La Jefatura del Estado cuesta unos 105 millones de euros al año, según un informe académico con datos de 2021 (nivel B; </w:t>
      </w:r>
      <w:r>
        <w:t>C.2</w:t>
      </w:r>
      <w:r>
        <w:t>), y el Portal de la Transparencia publica 161 puestos de personal civil de la Casa del Rey a 1-X-2026 (</w:t>
      </w:r>
      <w:r>
        <w:t>C.2</w:t>
      </w:r>
      <w:r>
        <w:t>).</w:t>
      </w:r>
    </w:p>
    <w:p>
      <w:r>
        <w:rPr>
          <w:b/>
        </w:rPr>
        <w:t>Dónde aguanta:</w:t>
      </w:r>
      <w:r>
        <w:t xml:space="preserve"> el mandato no imperativo tiene una razón real, la de representar a todos y no a un grupo; la autofijación está autorizada por la propia Constitución; y las correcciones son reales. La objeción a los avales ya se oyó en </w:t>
      </w:r>
      <w:r>
        <w:t>2.4</w:t>
      </w:r>
      <w:r>
        <w:t>.</w:t>
      </w:r>
    </w:p>
    <w:p>
      <w:r>
        <w:rPr>
          <w:b/>
        </w:rPr>
        <w:t>Límite honesto:</w:t>
      </w:r>
      <w:r>
        <w:t xml:space="preserve"> las elecciones son libres y periódicas, y el elector puede cambiar su voto. La obra no prueba que los representantes desobedezcan a sus votantes: prueba que, entre una elección y otra, el votante no tiene ningún medio para pedirles cuentas.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[37.00-8.1 a 8.8, con Mt 20:25-26 en la Reina-Valera Antigua; 00.1-4.18 a 4.25; 00.2-6.9 a 6.12; 10.00-18.8 y 18.9, sin la frase de Rousseau leída como justificación del Terror: sin fila en el registro; 13.00-13.4 y 13.5, sin las sanciones del Tribunal de Cuentas desde 2012 ni la graduación de 2015: sin fila; 13.00-13.8 y 13.9; 13.00-13.14 y 13.15, con los 105 millones de la Jefatura del Estado y la plantilla civil de la Casa del Rey, leídos el 7-oct (C.2); 15.00-17.2 y 17.3; 16.00-13.8 y 13.9; 19.00-35.14 y 35.15, sin «las tres reformas, sin referéndum»: sin fila; 20.00-35.10 y 35.11, con el salario mediano y «casi cuatro veces», leídos el 7-oct (INE). La indemnización, del índice del lote c8b; la Constitución, arts. 6 y 50, leída hoy en local]</w:t>
      </w:r>
    </w:p>
    <w:p>
      <w:pPr>
        <w:pStyle w:val="Heading3"/>
      </w:pPr>
      <w:r>
        <w:t>Cargo 7. Lo legal es lo justo</w:t>
      </w:r>
    </w:p>
    <w:p>
      <w:r>
        <w:rPr>
          <w:b/>
        </w:rPr>
        <w:t>La presunción:</w:t>
      </w:r>
      <w:r>
        <w:t xml:space="preserve"> «Que lo que dice la ley es justo por el hecho de ser ley».</w:t>
      </w:r>
    </w:p>
    <w:p>
      <w:r>
        <w:rPr>
          <w:b/>
        </w:rPr>
        <w:t>La vara.</w:t>
      </w:r>
    </w:p>
    <w:p>
      <w:pPr>
        <w:pStyle w:val="ListBullet"/>
      </w:pPr>
      <w:r>
        <w:rPr>
          <w:i/>
        </w:rPr>
        <w:t>La ley de Dios:</w:t>
      </w:r>
      <w:r>
        <w:t xml:space="preserve"> ¡ay de los que «establecen leyes injustas, y determinando prescriben tiranía»!</w:t>
      </w:r>
      <w:r>
        <w:t xml:space="preserve"> (Is 10:1-2; </w:t>
      </w:r>
      <w:r>
        <w:t>1.1</w:t>
      </w:r>
      <w:r>
        <w:t>)</w:t>
      </w:r>
      <w:r>
        <w:t>; y a los que cumplían la letra: «dejasteis lo que es lo más grave de la ley, es á saber, el juicio y la misericordia y la fe»</w:t>
      </w:r>
      <w:r>
        <w:t xml:space="preserve"> (Mt 23:23)</w:t>
      </w:r>
      <w:r>
        <w:br/>
      </w:r>
      <w:r>
        <w:rPr>
          <w:b/>
        </w:rPr>
        <w:t>leída en su fuente · Mt 23:23</w:t>
      </w:r>
      <w:r>
        <w:br/>
      </w:r>
      <w:r>
        <w:rPr>
          <w:b/>
        </w:rPr>
        <w:t>Archivo leído:</w:t>
      </w:r>
      <w:r>
        <w:t xml:space="preserve"> mt_23_23_rva.html; rvr1960_mt_23_23.html (c9g\mt_23_23_rva.html) · contraste del archivo de pasajes: ✔</w:t>
      </w:r>
      <w:r>
        <w:br/>
      </w:r>
      <w:r>
        <w:rPr>
          <w:b/>
        </w:rPr>
        <w:t>Lugar:</w:t>
      </w:r>
      <w:r>
        <w:t xml:space="preserve"> RVA</w:t>
      </w:r>
      <w:r>
        <w:br/>
      </w:r>
      <w:r>
        <w:rPr>
          <w:b/>
        </w:rPr>
        <w:t>Dirección:</w:t>
      </w:r>
      <w:r>
        <w:t xml:space="preserve"> </w:t>
      </w:r>
      <w:r>
        <w:t>https://www.biblegateway.com/passage/?search=Matthew+23%3A23&amp;version=RVA</w:t>
      </w:r>
      <w:r>
        <w:br/>
      </w:r>
      <w:r>
        <w:rPr>
          <w:b/>
        </w:rPr>
        <w:t>Tal como está en la fuente:</w:t>
      </w:r>
      <w:r>
        <w:t xml:space="preserve"> …y dejasteis lo que es lo más grave de la ley, es á saber, el juicio y la misericordia y la fe: esto era menester hacer, y no dejar lo otro.</w:t>
      </w:r>
      <w:r>
        <w:t>.</w:t>
      </w:r>
    </w:p>
    <w:p>
      <w:pPr>
        <w:pStyle w:val="ListBullet"/>
      </w:pPr>
      <w:r>
        <w:rPr>
          <w:i/>
        </w:rPr>
        <w:t>Las tradiciones:</w:t>
      </w:r>
      <w:r>
        <w:t xml:space="preserve"> la ley humana que se aparta de la ley natural ya no será ley, sino corrupción de la ley: </w:t>
      </w:r>
      <w:r>
        <w:rPr>
          <w:i/>
        </w:rPr>
        <w:t>lex iniusta non est lex</w:t>
      </w:r>
      <w:r>
        <w:t xml:space="preserve">, la ley injusta no es ley (Tomás de Aquino; </w:t>
      </w:r>
      <w:r>
        <w:t>1.6</w:t>
      </w:r>
      <w:r>
        <w:t>).</w:t>
      </w:r>
    </w:p>
    <w:p>
      <w:pPr>
        <w:pStyle w:val="ListBullet"/>
      </w:pPr>
      <w:r>
        <w:rPr>
          <w:i/>
        </w:rPr>
        <w:t>Su propia ley o el dato:</w:t>
      </w:r>
      <w:r>
        <w:t xml:space="preserve"> normas cobradas durante años resultaron contrarias a la Constitución. La amnistía fiscal de 2012 y el cálculo de la plusvalía municipal se anularon con efectos solo hacia delante: lo firme no se revisó (</w:t>
      </w:r>
      <w:r>
        <w:t>5.1</w:t>
      </w:r>
      <w:r>
        <w:t>, n.º 9). Un artículo sancionador se aplicó cuarenta y cuatro años sin la ley que exige el art. 25.1 de la Constitución (</w:t>
      </w:r>
      <w:r>
        <w:t>5.1</w:t>
      </w:r>
      <w:r>
        <w:t>).</w:t>
      </w:r>
    </w:p>
    <w:p>
      <w:r>
        <w:rPr>
          <w:b/>
        </w:rPr>
        <w:t>Dónde está probado:</w:t>
      </w:r>
      <w:r>
        <w:t xml:space="preserve"> lo que se da por supuesto (</w:t>
      </w:r>
      <w:r>
        <w:t>5.1</w:t>
      </w:r>
      <w:r>
        <w:t xml:space="preserve"> y </w:t>
      </w:r>
      <w:r>
        <w:t>5.2</w:t>
      </w:r>
      <w:r>
        <w:t>), la corrupción de la forma (</w:t>
      </w:r>
      <w:r>
        <w:t>7.5</w:t>
      </w:r>
      <w:r>
        <w:t>) y el cobro blindado (</w:t>
      </w:r>
      <w:r>
        <w:t>7.6</w:t>
      </w:r>
      <w:r>
        <w:t>).</w:t>
      </w:r>
    </w:p>
    <w:p>
      <w:r>
        <w:rPr>
          <w:b/>
        </w:rPr>
        <w:t>La pregunta:</w:t>
      </w:r>
      <w:r>
        <w:t xml:space="preserve"> ¿por qué no se devuelve lo cobrado con normas que el Constitucional ha declarado contrarias a la Constitución?</w:t>
      </w:r>
    </w:p>
    <w:p>
      <w:r>
        <w:rPr>
          <w:b/>
        </w:rPr>
        <w:t>La defensa del Estado:</w:t>
      </w:r>
      <w:r>
        <w:t xml:space="preserve"> el sistema no presume que toda ley sea justa: tiene controles, y el Tribunal Constitucional anula normas, como la plusvalía municipal. Que la anulación no sea retroactiva protege la seguridad jurídica y la estabilidad de las cuentas públicas, y quien recurrió a tiempo pudo recuperar lo suyo. Las leyes españolas cumplen las condiciones de Aquino: son obra de la razón, porque se debaten en las Cortes; se dirigen al interés general; las dicta un Parlamento elegido; y se promulgan en el Boletín Oficial del Estado. Los tributos los establece la ley (art. 133.1) según la capacidad de cada uno (art. 31.1). Cuando una norma falla, el sistema la corrige: la Zona de Bajas Emisiones de Madrid se anuló y se restauró (</w:t>
      </w:r>
      <w:r>
        <w:t>7.5</w:t>
      </w:r>
      <w:r>
        <w:t>). La inviolabilidad del Rey la establece la Constitución: «La persona del Rey es inviolable y no está sujeta a responsabilidad» (</w:t>
      </w:r>
      <w:r>
        <w:t>7.2</w:t>
      </w:r>
      <w:r>
        <w:t>). Y fue el propio Estado, con sus leyes, quien abolió la esclavitud: juzgar el pasado con los valores de hoy es un anacronismo.</w:t>
      </w:r>
    </w:p>
    <w:p>
      <w:r>
        <w:rPr>
          <w:b/>
        </w:rPr>
        <w:t>Los contrapuntos de la obra:</w:t>
      </w:r>
    </w:p>
    <w:p>
      <w:pPr>
        <w:spacing w:after="60"/>
        <w:ind w:left="510" w:hanging="397"/>
      </w:pPr>
      <w:r>
        <w:rPr>
          <w:b w:val="0"/>
        </w:rPr>
        <w:t xml:space="preserve">1. </w:t>
      </w:r>
      <w:r>
        <w:rPr>
          <w:i/>
        </w:rPr>
        <w:t>Con su propia ley.</w:t>
      </w:r>
      <w:r>
        <w:t xml:space="preserve"> El Constitucional fijó que es confiscatorio que la cuota supere el «incremento patrimonial realmente obtenido por el contribuyente» (STC 126/2019; </w:t>
      </w:r>
      <w:r>
        <w:t>7.6</w:t>
      </w:r>
      <w:r>
        <w:t>), y aun así lo cobrado y firme no se devolvió (</w:t>
      </w:r>
      <w:r>
        <w:t>5.1</w:t>
      </w:r>
      <w:r>
        <w:t>, n.º 9). La presunción de validez juega a favor del Estado mientras cobra, y la seguridad jurídica, cuando tiene que devolver. Y quien pagó sin recurrir, confiando en que la ley era válida, no recupera lo pagado: la devolución quedó para quien ya había recurrido.</w:t>
      </w:r>
    </w:p>
    <w:p>
      <w:pPr>
        <w:spacing w:after="60"/>
        <w:ind w:left="510" w:hanging="397"/>
      </w:pPr>
      <w:r>
        <w:rPr>
          <w:b w:val="0"/>
        </w:rPr>
        <w:t xml:space="preserve">2. </w:t>
      </w:r>
      <w:r>
        <w:rPr>
          <w:i/>
        </w:rPr>
        <w:t>La corrección llega tarde y hacia delante.</w:t>
      </w:r>
      <w:r>
        <w:t xml:space="preserve"> La Zona de Bajas Emisiones se anuló por la «patente insuficiencia del informe de impacto económico», y se restauró solo hacia el futuro (</w:t>
      </w:r>
      <w:r>
        <w:t>7.5</w:t>
      </w:r>
      <w:r>
        <w:t xml:space="preserve">). El confinamiento de 2020 se declaró inconstitucional cuando ya se había aplicado, y la sentencia no da por sí misma derecho a indemnización (STC 148/2021; </w:t>
      </w:r>
      <w:r>
        <w:t>8.5</w:t>
      </w:r>
      <w:r>
        <w:t>).</w:t>
      </w:r>
    </w:p>
    <w:p>
      <w:pPr>
        <w:spacing w:after="60"/>
        <w:ind w:left="510" w:hanging="397"/>
      </w:pPr>
      <w:r>
        <w:rPr>
          <w:b w:val="0"/>
        </w:rPr>
        <w:t xml:space="preserve">3. </w:t>
      </w:r>
      <w:r>
        <w:rPr>
          <w:i/>
        </w:rPr>
        <w:t>De las condiciones de Aquino, la que se mide es el bien común,</w:t>
      </w:r>
      <w:r>
        <w:t xml:space="preserve"> y ahí el incumplimiento recae en el 62,1 % de los artículos que lo prometen (</w:t>
      </w:r>
      <w:r>
        <w:t>7.4</w:t>
      </w:r>
      <w:r>
        <w:t>).</w:t>
      </w:r>
    </w:p>
    <w:p>
      <w:pPr>
        <w:spacing w:after="60"/>
        <w:ind w:left="510" w:hanging="397"/>
      </w:pPr>
      <w:r>
        <w:rPr>
          <w:b w:val="0"/>
        </w:rPr>
        <w:t xml:space="preserve">4. </w:t>
      </w:r>
      <w:r>
        <w:rPr>
          <w:i/>
        </w:rPr>
        <w:t>Lo legal de ayer.</w:t>
      </w:r>
      <w:r>
        <w:t xml:space="preserve"> La esclavitud fue legal, y el propio poder lo reconoció al abolirla: en las colonias duró hasta 1873 en Puerto Rico y hasta 1886 en Cuba (</w:t>
      </w:r>
      <w:r>
        <w:t>2.2</w:t>
      </w:r>
      <w:r>
        <w:t xml:space="preserve">; </w:t>
      </w:r>
      <w:r>
        <w:t>3.1</w:t>
      </w:r>
      <w:r>
        <w:t>), y el Reino Unido compensó a los propietarios, no a las víctimas (</w:t>
      </w:r>
      <w:r>
        <w:t>3.1</w:t>
      </w:r>
      <w:r>
        <w:t>). Si lo legal de entonces no era justo, lo legal de hoy tampoco prueba por sí solo que lo sea; por eso la obra audita la Constitución artículo por artículo (</w:t>
      </w:r>
      <w:r>
        <w:t>capítulo 7</w:t>
      </w:r>
      <w:r>
        <w:t>).</w:t>
      </w:r>
    </w:p>
    <w:p>
      <w:pPr>
        <w:spacing w:after="60"/>
        <w:ind w:left="510" w:hanging="397"/>
      </w:pPr>
      <w:r>
        <w:rPr>
          <w:b w:val="0"/>
        </w:rPr>
        <w:t xml:space="preserve">5. </w:t>
      </w:r>
      <w:r>
        <w:rPr>
          <w:i/>
        </w:rPr>
        <w:t>La vara, para arriba y para abajo.</w:t>
      </w:r>
      <w:r>
        <w:t xml:space="preserve"> Ningún tribunal ha examinado nada anterior al 19 de junio de 2014 sobre el anterior Jefe del Estado (</w:t>
      </w:r>
      <w:r>
        <w:t>7.2</w:t>
      </w:r>
      <w:r>
        <w:t>). Al ciudadano, en cambio, «La ignorancia de las leyes no excusa de su cumplimiento»</w:t>
      </w:r>
      <w:r>
        <w:t xml:space="preserve"> (Código Civil, art. 6.1)</w:t>
      </w:r>
      <w:r>
        <w:br/>
      </w:r>
      <w:r>
        <w:rPr>
          <w:b/>
        </w:rPr>
        <w:t>leída en su fuente · Código Civil, art. 6.1</w:t>
      </w:r>
      <w:r>
        <w:br/>
      </w:r>
      <w:r>
        <w:rPr>
          <w:b/>
        </w:rPr>
        <w:t>Archivo leído:</w:t>
      </w:r>
      <w:r>
        <w:t xml:space="preserve"> codigo_civil_1889.html (c5\codigo_civil_1889.html) · contraste del archivo de pasajes: ✔</w:t>
      </w:r>
      <w:r>
        <w:br/>
      </w:r>
      <w:r>
        <w:rPr>
          <w:b/>
        </w:rPr>
        <w:t>Lugar:</w:t>
      </w:r>
      <w:r>
        <w:t xml:space="preserve"> Art. 6.1 (#art6)</w:t>
      </w:r>
      <w:r>
        <w:br/>
      </w:r>
      <w:r>
        <w:rPr>
          <w:b/>
        </w:rPr>
        <w:t>Dirección:</w:t>
      </w:r>
      <w:r>
        <w:t xml:space="preserve"> </w:t>
      </w:r>
      <w:r>
        <w:t>https://www.boe.es/buscar/act.php?id=BOE-A-1889-4763</w:t>
      </w:r>
      <w:r>
        <w:br/>
      </w:r>
      <w:r>
        <w:rPr>
          <w:b/>
        </w:rPr>
        <w:t>Tal como está en la fuente:</w:t>
      </w:r>
      <w:r>
        <w:t xml:space="preserve"> 1. La ignorancia de las leyes no excusa de su cumplimiento. El error de derecho producirá únicamente</w:t>
      </w:r>
      <w:r>
        <w:t>. Y Núremberg lo dejó escrito: los crímenes contra el derecho internacional los cometen hombres, «no entidades abstractas» (</w:t>
      </w:r>
      <w:r>
        <w:t>9.1</w:t>
      </w:r>
      <w:r>
        <w:t>).</w:t>
      </w:r>
    </w:p>
    <w:p>
      <w:pPr>
        <w:spacing w:after="60"/>
        <w:ind w:left="510" w:hanging="397"/>
      </w:pPr>
      <w:r>
        <w:rPr>
          <w:b w:val="0"/>
        </w:rPr>
        <w:t xml:space="preserve">6. </w:t>
      </w:r>
      <w:r>
        <w:rPr>
          <w:i/>
        </w:rPr>
        <w:t>Cobros que suben sin ley.</w:t>
      </w:r>
      <w:r>
        <w:t xml:space="preserve"> La escala del IRPF sin actualizar recaudó unos 11.000 millones de más solo en 2023, según el Banco de España (</w:t>
      </w:r>
      <w:r>
        <w:t>5.1</w:t>
      </w:r>
      <w:r>
        <w:t>), y la pérdida de valor del dinero no la vota nadie (</w:t>
      </w:r>
      <w:r>
        <w:t>cargo 4</w:t>
      </w:r>
      <w:r>
        <w:t>).</w:t>
      </w:r>
    </w:p>
    <w:p>
      <w:r>
        <w:rPr>
          <w:b/>
        </w:rPr>
        <w:t>Dónde aguanta:</w:t>
      </w:r>
      <w:r>
        <w:t xml:space="preserve"> los tributos sí necesitan ley, el Constitucional sí anula normas, la esclavitud la abolió el Estado con sus leyes, y la inviolabilidad está escrita en la Constitución. Nada de eso es ilegal: por eso el cargo no es de ilegalidad, sino de que lo legal se presenta como justo.</w:t>
      </w:r>
    </w:p>
    <w:p>
      <w:r>
        <w:rPr>
          <w:b/>
        </w:rPr>
        <w:t>Límite honesto:</w:t>
      </w:r>
      <w:r>
        <w:t xml:space="preserve"> la obra no dice que toda ley sea injusta: la auditoría registra que se cumplen 93 de los 169 artículos (</w:t>
      </w:r>
      <w:r>
        <w:t>7.1</w:t>
      </w:r>
      <w:r>
        <w:t>). {completo} Lo de la expropiación de 2026 en favor de una empresa con monopolio solo se conoce por una fuente secundaria (</w:t>
      </w:r>
      <w:r>
        <w:t>7.5</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[37.00-10.1 a 10.7, con Is 10:1-2 y Mt 23:23 en la Reina-Valera Antigua; 00.1-2.34 a 2.37; 00.2-3.9 a 3.12; 07.00-25.1 y 25.2, sin la abolición en la Península en 1837, fecha que no aparece en la Gaceta (3.1); 11.00-14.2 y 14.3, sin los 40 decretos-leyes, que van al cargo 12; 15.00-17.12 y 17.13; 15.00-17.20 y 17.21; 19.00-35.6 y 35.7; 19.00-35.16 y 35.17; 23.00-6.4 y 6.5]</w:t>
      </w:r>
    </w:p>
    <w:p>
      <w:pPr>
        <w:pStyle w:val="Heading3"/>
      </w:pPr>
      <w:r>
        <w:t>Cargo 8. Todos conocen todas las leyes</w:t>
      </w:r>
    </w:p>
    <w:p>
      <w:r>
        <w:rPr>
          <w:b/>
        </w:rPr>
        <w:t>La presunción:</w:t>
      </w:r>
      <w:r>
        <w:t xml:space="preserve"> «Que cada persona conoce el ordenamiento entero».</w:t>
      </w:r>
    </w:p>
    <w:p>
      <w:r>
        <w:rPr>
          <w:b/>
        </w:rPr>
        <w:t>La vara.</w:t>
      </w:r>
    </w:p>
    <w:p>
      <w:pPr>
        <w:pStyle w:val="ListBullet"/>
      </w:pPr>
      <w:r>
        <w:rPr>
          <w:i/>
        </w:rPr>
        <w:t>La ley de Dios:</w:t>
      </w:r>
      <w:r>
        <w:t xml:space="preserve"> «¡Ay de vosotros también, doctores de la ley! que cargáis á los hombres con cargas que no pueden llevar; mas vosotros ni aun con un dedo tocáis las cargas»</w:t>
      </w:r>
      <w:r>
        <w:t xml:space="preserve"> (Lc 11:46)</w:t>
      </w:r>
      <w:r>
        <w:br/>
      </w:r>
      <w:r>
        <w:rPr>
          <w:b/>
        </w:rPr>
        <w:t>leída en su fuente · Lc 11:46</w:t>
      </w:r>
      <w:r>
        <w:br/>
      </w:r>
      <w:r>
        <w:rPr>
          <w:b/>
        </w:rPr>
        <w:t>Archivo leído:</w:t>
      </w:r>
      <w:r>
        <w:t xml:space="preserve"> lc_11_46_rva.html; rvr1960_lc_11_46.html (c9g\lc_11_46_rva.html) · contraste del archivo de pasajes: ✔</w:t>
      </w:r>
      <w:r>
        <w:br/>
      </w:r>
      <w:r>
        <w:rPr>
          <w:b/>
        </w:rPr>
        <w:t>Lugar:</w:t>
      </w:r>
      <w:r>
        <w:t xml:space="preserve"> RVA</w:t>
      </w:r>
      <w:r>
        <w:br/>
      </w:r>
      <w:r>
        <w:rPr>
          <w:b/>
        </w:rPr>
        <w:t>Dirección:</w:t>
      </w:r>
      <w:r>
        <w:t xml:space="preserve"> </w:t>
      </w:r>
      <w:r>
        <w:t>https://www.biblegateway.com/passage/?search=Luke+11%3A46&amp;version=RVA</w:t>
      </w:r>
      <w:r>
        <w:br/>
      </w:r>
      <w:r>
        <w:rPr>
          <w:b/>
        </w:rPr>
        <w:t>Tal como está en la fuente:</w:t>
      </w:r>
      <w:r>
        <w:t xml:space="preserve"> Y él dijo: ¡Ay de vosotros también, doctores de la ley! que cargáis á los hombres con cargas que no pueden llevar; mas vosotros ni aun con un dedo tocáis las cargas.</w:t>
      </w:r>
      <w:r>
        <w:br/>
      </w:r>
      <w:r>
        <w:rPr>
          <w:b/>
        </w:rPr>
        <w:t>Traducción guardada:</w:t>
      </w:r>
      <w:r>
        <w:t xml:space="preserve"> En el HTML, en lugar de «¡» hay un guion invisible, U+00AD.</w:t>
      </w:r>
      <w:r>
        <w:t>.</w:t>
      </w:r>
    </w:p>
    <w:p>
      <w:pPr>
        <w:pStyle w:val="ListBullet"/>
      </w:pPr>
      <w:r>
        <w:rPr>
          <w:i/>
        </w:rPr>
        <w:t>Las tradiciones:</w:t>
      </w:r>
      <w:r>
        <w:t xml:space="preserve"> «cuantas más prohibiciones, más pobre el pueblo; cuanto más se exhiben las leyes, más ladrones hay» (Laozi, cap. 57); «cuanto más corrupto el Estado, más numerosas las leyes» (Tácito, </w:t>
      </w:r>
      <w:r>
        <w:rPr>
          <w:i/>
        </w:rPr>
        <w:t>Anales</w:t>
      </w:r>
      <w:r>
        <w:t xml:space="preserve"> III, 27) (</w:t>
      </w:r>
      <w:r>
        <w:t>3.2</w:t>
      </w:r>
      <w:r>
        <w:t>).</w:t>
      </w:r>
    </w:p>
    <w:p>
      <w:pPr>
        <w:pStyle w:val="ListBullet"/>
      </w:pPr>
      <w:r>
        <w:rPr>
          <w:i/>
        </w:rPr>
        <w:t>Su propia ley o el dato:</w:t>
      </w:r>
      <w:r>
        <w:t xml:space="preserve"> «La ignorancia de las leyes no excusa de su cumplimiento»</w:t>
      </w:r>
      <w:r>
        <w:t xml:space="preserve"> (Código Civil, art. 6.1)</w:t>
      </w:r>
      <w:r>
        <w:br/>
      </w:r>
      <w:r>
        <w:rPr>
          <w:b/>
        </w:rPr>
        <w:t>leída en su fuente · Código Civil, art. 6.1</w:t>
      </w:r>
      <w:r>
        <w:br/>
      </w:r>
      <w:r>
        <w:rPr>
          <w:b/>
        </w:rPr>
        <w:t>Archivo leído:</w:t>
      </w:r>
      <w:r>
        <w:t xml:space="preserve"> codigo_civil_1889.html (c5\codigo_civil_1889.html) · contraste del archivo de pasajes: ✔</w:t>
      </w:r>
      <w:r>
        <w:br/>
      </w:r>
      <w:r>
        <w:rPr>
          <w:b/>
        </w:rPr>
        <w:t>Lugar:</w:t>
      </w:r>
      <w:r>
        <w:t xml:space="preserve"> Art. 6.1 (#art6)</w:t>
      </w:r>
      <w:r>
        <w:br/>
      </w:r>
      <w:r>
        <w:rPr>
          <w:b/>
        </w:rPr>
        <w:t>Dirección:</w:t>
      </w:r>
      <w:r>
        <w:t xml:space="preserve"> </w:t>
      </w:r>
      <w:r>
        <w:t>https://www.boe.es/buscar/act.php?id=BOE-A-1889-4763</w:t>
      </w:r>
      <w:r>
        <w:br/>
      </w:r>
      <w:r>
        <w:rPr>
          <w:b/>
        </w:rPr>
        <w:t>Tal como está en la fuente:</w:t>
      </w:r>
      <w:r>
        <w:t xml:space="preserve"> 1. La ignorancia de las leyes no excusa de su cumplimiento. El error de derecho producirá únicamente</w:t>
      </w:r>
      <w:r>
        <w:t>. Solo en 2024 se aprobaron 894 normas nuevas, 719 del Estado y 175 de las comunidades autónomas</w:t>
      </w:r>
      <w:r>
        <w:t xml:space="preserve"> (CEOE, «La producción normativa en 2024», estudio privado con datos del BOE y de las comunidades, pp. 2 y 7)</w:t>
      </w:r>
      <w:r>
        <w:t>, y se publicaron 1.298.086 páginas entre el BOE y los boletines autonómicos, unas 3.547 cada día (</w:t>
      </w:r>
      <w:r>
        <w:t>5.2</w:t>
      </w:r>
      <w:r>
        <w:t>). Y lo vigente, recopilado por el propio BOE en sus Códigos electrónicos, ocupa 345 códigos con 396.115 páginas</w:t>
      </w:r>
      <w:r>
        <w:t xml:space="preserve"> (BOE, Biblioteca Jurídica Digital, «Códigos electrónicos», consulta del 5-10-2026)</w:t>
      </w:r>
      <w:r>
        <w:t>: leyendo cien páginas al día, harían falta casi once años (cálculo de la obra; algunas normas se repiten entre códigos).</w:t>
      </w:r>
    </w:p>
    <w:p>
      <w:r>
        <w:rPr>
          <w:b/>
        </w:rPr>
        <w:t>Dónde está probado:</w:t>
      </w:r>
      <w:r>
        <w:t xml:space="preserve"> lo que se da por supuesto (</w:t>
      </w:r>
      <w:r>
        <w:t>5.2</w:t>
      </w:r>
      <w:r>
        <w:t>) y los costes indirectos de cumplir (</w:t>
      </w:r>
      <w:r>
        <w:t>8.4</w:t>
      </w:r>
      <w:r>
        <w:t>).</w:t>
      </w:r>
    </w:p>
    <w:p>
      <w:r>
        <w:rPr>
          <w:b/>
        </w:rPr>
        <w:t>La pregunta:</w:t>
      </w:r>
      <w:r>
        <w:t xml:space="preserve"> ¿cómo se puede exigir conocer todas las normas cuando solo en 2024 se aprobaron 894 nuevas y lo vigente, recopilado por el propio BOE, ocupa 396.115 páginas?</w:t>
      </w:r>
    </w:p>
    <w:p>
      <w:r>
        <w:rPr>
          <w:b/>
        </w:rPr>
        <w:t>La defensa del Estado:</w:t>
      </w:r>
      <w:r>
        <w:t xml:space="preserve"> sin este principio, cualquiera podría eludir cualquier ley alegando que no la conocía. Hoy no hay latín ni secreto: las normas se publican gratis en el Boletín Oficial del Estado, en español. No todo lo publicado es norma: de las 259.445 páginas del BOE de 2024, las disposiciones ocupan 128.071, en torno al 49 %; el resto son nombramientos y oposiciones, la Administración de Justicia y anuncios</w:t>
      </w:r>
      <w:r>
        <w:t xml:space="preserve"> (CEOE, ídem, pp. 5 y 6)</w:t>
      </w:r>
      <w:r>
        <w:t>. Y la ley no es ciega al error: el error de derecho produce los efectos que las leyes determinen (Código Civil, art. 6.1).</w:t>
      </w:r>
    </w:p>
    <w:p>
      <w:r>
        <w:rPr>
          <w:b/>
        </w:rPr>
        <w:t>Los contrapuntos de la obra:</w:t>
      </w:r>
    </w:p>
    <w:p>
      <w:pPr>
        <w:spacing w:after="60"/>
        <w:ind w:left="510" w:hanging="397"/>
      </w:pPr>
      <w:r>
        <w:rPr>
          <w:b w:val="0"/>
        </w:rPr>
        <w:t xml:space="preserve">1. </w:t>
      </w:r>
      <w:r>
        <w:rPr>
          <w:i/>
        </w:rPr>
        <w:t>Con su propia ley.</w:t>
      </w:r>
      <w:r>
        <w:t xml:space="preserve"> Publicar no es poder conocer. Aun quitando los anuncios y los nombramientos, quedan 894 normas nuevas en un año y 396.115 páginas de lo vigente, y la ignorancia de cualquiera de ellas no excusa.</w:t>
      </w:r>
    </w:p>
    <w:p>
      <w:pPr>
        <w:spacing w:after="60"/>
        <w:ind w:left="510" w:hanging="397"/>
      </w:pPr>
      <w:r>
        <w:rPr>
          <w:b w:val="0"/>
        </w:rPr>
        <w:t xml:space="preserve">2. </w:t>
      </w:r>
      <w:r>
        <w:rPr>
          <w:i/>
        </w:rPr>
        <w:t>Cumplir cuesta.</w:t>
      </w:r>
      <w:r>
        <w:t xml:space="preserve"> Para cumplirlas, el ciudadano paga a gestores, asesores y abogados, y nada de eso cuenta como carga (</w:t>
      </w:r>
      <w:r>
        <w:t>8.4</w:t>
      </w:r>
      <w:r>
        <w:t>).</w:t>
      </w:r>
    </w:p>
    <w:p>
      <w:pPr>
        <w:spacing w:after="60"/>
        <w:ind w:left="510" w:hanging="397"/>
      </w:pPr>
      <w:r>
        <w:rPr>
          <w:b w:val="0"/>
        </w:rPr>
        <w:t xml:space="preserve">3. </w:t>
      </w:r>
      <w:r>
        <w:rPr>
          <w:i/>
        </w:rPr>
        <w:t>Las palabras cambian sin aviso.</w:t>
      </w:r>
      <w:r>
        <w:t xml:space="preserve"> La Academia definía la inflación como «Elevación notable del nivel de precios con efectos desfavorables para la economía de un país»; en la edición actual se suprimieron «notable» y «con efectos desfavorables» (</w:t>
      </w:r>
      <w:r>
        <w:t>5.1</w:t>
      </w:r>
      <w:r>
        <w:t>).</w:t>
      </w:r>
    </w:p>
    <w:p>
      <w:pPr>
        <w:spacing w:after="60"/>
        <w:ind w:left="510" w:hanging="397"/>
      </w:pPr>
      <w:r>
        <w:rPr>
          <w:b w:val="0"/>
        </w:rPr>
        <w:t xml:space="preserve">4. </w:t>
      </w:r>
      <w:r>
        <w:rPr>
          <w:i/>
        </w:rPr>
        <w:t>El propio Estado ha reconocido el problema.</w:t>
      </w:r>
      <w:r>
        <w:t xml:space="preserve"> El Consejo de Ministros acordó el 30-XII-2009 constituir una Comisión de Modernización del Lenguaje Jurídico, dentro del Plan Estratégico para la Modernización de la Justicia 2009-2012, contra «las barreras lingüísticas que, en la actualidad, impiden un fluido entendimiento entre el ciudadano y la Administración de Justicia»; y el informe dice que los ciudadanos «tienen derecho no sólo a conocer las resoluciones […] sino que también tienen derecho a comprenderlas»</w:t>
      </w:r>
      <w:r>
        <w:t xml:space="preserve"> (Ministerio de Justicia, «Claridad y derecho a comprender», informe de la Comisión para la modernización del lenguaje jurídico)</w:t>
      </w:r>
      <w:r>
        <w:br/>
      </w:r>
      <w:r>
        <w:rPr>
          <w:b/>
        </w:rPr>
        <w:t>leída en su fuente · Ministerio de Justicia, «Claridad y derecho a comprender», informe de la Comisión para la</w:t>
      </w:r>
      <w:r>
        <w:br/>
      </w:r>
      <w:r>
        <w:rPr>
          <w:b/>
        </w:rPr>
        <w:t>Archivo leído:</w:t>
      </w:r>
      <w:r>
        <w:t xml:space="preserve"> 30.00-35.2_MJusticia_Claridad_y_derecho_a_comprender_Comision_lenguaje_juridico.pdf (flecos3\30.00-35.2_MJusticia_Claridad_y_derecho_a_comprender_Comision_lenguaje_juridico.pdf) · contraste del archivo de pasajes: ✔</w:t>
      </w:r>
      <w:r>
        <w:br/>
      </w:r>
      <w:r>
        <w:rPr>
          <w:b/>
        </w:rPr>
        <w:t>Lugar:</w:t>
      </w:r>
      <w:r>
        <w:t xml:space="preserve"> Ministerio de Justicia, «Claridad y derecho a comprender», informe de la Comisión para la modernización del lenguaje jurídico</w:t>
      </w:r>
      <w:r>
        <w:br/>
      </w:r>
      <w:r>
        <w:rPr>
          <w:b/>
        </w:rPr>
        <w:t>Tal como está en la fuente:</w:t>
      </w:r>
      <w:r>
        <w:t xml:space="preserve"> tienen derecho no sólo a conocer las resoluciones […] sino que también tienen derecho a comprenderlas</w:t>
      </w:r>
      <w:r>
        <w:t>.</w:t>
      </w:r>
    </w:p>
    <w:p>
      <w:r>
        <w:rPr>
          <w:b/>
        </w:rPr>
        <w:t>Dónde aguanta:</w:t>
      </w:r>
      <w:r>
        <w:t xml:space="preserve"> la publicación es real y gratuita, sin el principio nadie estaría obligado por ley alguna, y no todas las páginas de los boletines son normas. La obra concede la publicación; lo que discute es que lo publicado se pueda conocer.</w:t>
      </w:r>
    </w:p>
    <w:p>
      <w:r>
        <w:rPr>
          <w:b/>
        </w:rPr>
        <w:t>Límite honesto:</w:t>
      </w:r>
      <w:r>
        <w:t xml:space="preserve"> las cifras de normas y de páginas de 2024 son de un estudio privado hecho con datos del BOE y de las comunidades, y el número de códigos cuenta algunas normas más de una vez.</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[37.00-11.1 a 11.8, con Lc 11:46 en la Reina-Valera Antigua, y la pregunta con las páginas en lugar de las 259 normas del Consejo de Ministros: sin fila en el registro; 00.2-9.5 a 9.8; 07.00-28.1 y 28.2, sin los nueve códigos con sus páginas, la sentencia de las cláusulas suelo, los siete años de BOSCO ni la plantilla de la Casa del Rey (leída después, C.2): sin fila o sin leer; 30.00-35.2, la Comisión de Modernización del Lenguaje Jurídico, leída el 7-oct en el informe del Ministerio de Justicia. Los 396.115, del índice del lote c5. Las 894 normas (719 y 175) y las 128.071 páginas de disposiciones, leídas hoy en el informe de la CEOE ya bajado (c5): en ese informe, el 259 de la Biblioteca solo sale como los reales decretos de 2023 (fila «2023 4 13 259 8 0 399 683» de su cuadro), no como normas de 2024 fuera del Plan Anual Normativo]</w:t>
      </w:r>
    </w:p>
    <w:p>
      <w:pPr>
        <w:pStyle w:val="Heading3"/>
      </w:pPr>
      <w:r>
        <w:t>Cargo 9. El consentimiento de los que vienen</w:t>
      </w:r>
    </w:p>
    <w:p>
      <w:r>
        <w:rPr>
          <w:b/>
        </w:rPr>
        <w:t>La presunción:</w:t>
      </w:r>
      <w:r>
        <w:t xml:space="preserve"> «Que las generaciones futuras aceptan pagar lo que hoy se debe».</w:t>
      </w:r>
    </w:p>
    <w:p>
      <w:r>
        <w:rPr>
          <w:b/>
        </w:rPr>
        <w:t>La vara.</w:t>
      </w:r>
    </w:p>
    <w:p>
      <w:pPr>
        <w:pStyle w:val="ListBullet"/>
      </w:pPr>
      <w:r>
        <w:rPr>
          <w:i/>
        </w:rPr>
        <w:t>La ley de Dios:</w:t>
      </w:r>
      <w:r>
        <w:t xml:space="preserve"> «En aquellos días no dirán más: Los padres comieron las uvas agraces, y los dientes de los hijos tienen la dentera. Sino que cada cual morirá por su maldad»</w:t>
      </w:r>
      <w:r>
        <w:t xml:space="preserve"> (Jer 31:29-30)</w:t>
      </w:r>
      <w:r>
        <w:br/>
      </w:r>
      <w:r>
        <w:rPr>
          <w:b/>
        </w:rPr>
        <w:t>leída en su fuente · Jer 31:29-30</w:t>
      </w:r>
      <w:r>
        <w:br/>
      </w:r>
      <w:r>
        <w:rPr>
          <w:b/>
        </w:rPr>
        <w:t>Archivo leído:</w:t>
      </w:r>
      <w:r>
        <w:t xml:space="preserve"> jer_31_29-30_rva.html; jer_31_29-30_rvr1960.html (c9h\jer_31_29-30_rva.html; c9h\jer_31_29-30_rvr1960.html) · contraste del archivo de pasajes: ✔</w:t>
      </w:r>
      <w:r>
        <w:br/>
      </w:r>
      <w:r>
        <w:rPr>
          <w:b/>
        </w:rPr>
        <w:t>Lugar:</w:t>
      </w:r>
      <w:r>
        <w:t xml:space="preserve"> RVA, v. 29</w:t>
      </w:r>
      <w:r>
        <w:br/>
      </w:r>
      <w:r>
        <w:rPr>
          <w:b/>
        </w:rPr>
        <w:t>Dirección:</w:t>
      </w:r>
      <w:r>
        <w:t xml:space="preserve"> </w:t>
      </w:r>
      <w:r>
        <w:t>https://www.biblegateway.com/passage/?search=Jeremiah+31%3A29-30&amp;version=RVA</w:t>
      </w:r>
      <w:r>
        <w:t xml:space="preserve"> ; </w:t>
      </w:r>
      <w:r>
        <w:t>…&amp;version=RVR1960</w:t>
      </w:r>
      <w:r>
        <w:br/>
      </w:r>
      <w:r>
        <w:rPr>
          <w:b/>
        </w:rPr>
        <w:t>Tal como está en la fuente:</w:t>
      </w:r>
      <w:r>
        <w:t xml:space="preserve"> En aquellos días no dirán más: Los padres comieron las uvas agraces, y los dientes de los hijos tienen la dentera.</w:t>
      </w:r>
      <w:r>
        <w:t xml:space="preserve">. Y «el hijo no llevará por el pecado del padre» (Ez 18:20; </w:t>
      </w:r>
      <w:r>
        <w:t>2.3</w:t>
      </w:r>
      <w:r>
        <w:t>).</w:t>
      </w:r>
    </w:p>
    <w:p>
      <w:pPr>
        <w:pStyle w:val="ListBullet"/>
      </w:pPr>
      <w:r>
        <w:rPr>
          <w:i/>
        </w:rPr>
        <w:t>Las tradiciones:</w:t>
      </w:r>
      <w:r>
        <w:t xml:space="preserve"> cada uno responde de lo suyo (</w:t>
      </w:r>
      <w:r>
        <w:t>3.2</w:t>
      </w:r>
      <w:r>
        <w:t>).</w:t>
      </w:r>
    </w:p>
    <w:p>
      <w:pPr>
        <w:pStyle w:val="ListBullet"/>
      </w:pPr>
      <w:r>
        <w:rPr>
          <w:i/>
        </w:rPr>
        <w:t>Su propia ley o el dato:</w:t>
      </w:r>
      <w:r>
        <w:t xml:space="preserve"> las pensiones ya prometidas sumaban 6,13 billones de euros a finales de 2021, y no figuran en la deuda oficial, que en 2025 rondaba 1,7 billones (</w:t>
      </w:r>
      <w:r>
        <w:t>5.1</w:t>
      </w:r>
      <w:r>
        <w:t>, n.º 24). Quienes las pagarán no han votado nada.</w:t>
      </w:r>
    </w:p>
    <w:p>
      <w:r>
        <w:rPr>
          <w:b/>
        </w:rPr>
        <w:t>Dónde está probado:</w:t>
      </w:r>
      <w:r>
        <w:t xml:space="preserve"> lo que se da por supuesto (</w:t>
      </w:r>
      <w:r>
        <w:t>5.1</w:t>
      </w:r>
      <w:r>
        <w:t>, n.º 24), la hucha y la deuda (</w:t>
      </w:r>
      <w:r>
        <w:t>8.6</w:t>
      </w:r>
      <w:r>
        <w:t>) y la quiebra camuflada (</w:t>
      </w:r>
      <w:r>
        <w:t>9.1</w:t>
      </w:r>
      <w:r>
        <w:t>).</w:t>
      </w:r>
    </w:p>
    <w:p>
      <w:r>
        <w:rPr>
          <w:b/>
        </w:rPr>
        <w:t>La pregunta:</w:t>
      </w:r>
      <w:r>
        <w:t xml:space="preserve"> ¿en virtud de qué consentimiento se carga la deuda pública y las pensiones ya prometidas a quienes aún no han nacido?</w:t>
      </w:r>
    </w:p>
    <w:p>
      <w:r>
        <w:rPr>
          <w:b/>
        </w:rPr>
        <w:t>La defensa del Estado:</w:t>
      </w:r>
      <w:r>
        <w:t xml:space="preserve"> las generaciones futuras heredan también las carreteras, los hospitales y la educación que esa deuda financió, y el sistema de pensiones es solidaridad entre generaciones. Sin deuda habría que recortar pensiones, sanidad y educación: la deuda permite sostener los servicios públicos en los años malos. Y los 6,13 billones no son una deuda que venza hoy: el propio INE dice que es «el valor presente de una suma de cantidades futuras» (</w:t>
      </w:r>
      <w:r>
        <w:t>5.1</w:t>
      </w:r>
      <w:r>
        <w:t>, n.º 24).</w:t>
      </w:r>
    </w:p>
    <w:p>
      <w:r>
        <w:rPr>
          <w:b/>
        </w:rPr>
        <w:t>Los contrapuntos de la obra:</w:t>
      </w:r>
    </w:p>
    <w:p>
      <w:pPr>
        <w:spacing w:after="60"/>
        <w:ind w:left="510" w:hanging="397"/>
      </w:pPr>
      <w:r>
        <w:rPr>
          <w:b w:val="0"/>
        </w:rPr>
        <w:t xml:space="preserve">1. </w:t>
      </w:r>
      <w:r>
        <w:rPr>
          <w:i/>
        </w:rPr>
        <w:t>Los que vienen ya pagan.</w:t>
      </w:r>
      <w:r>
        <w:t xml:space="preserve"> La fecundidad está en 1,10 hijos por mujer, y una vivienda cuesta 8,36 años de la renta bruta de un hogar mediano (</w:t>
      </w:r>
      <w:r>
        <w:t>8.8</w:t>
      </w:r>
      <w:r>
        <w:t>); el 33,8 % de los menores de 18 años estaba en 2025 en riesgo de pobreza o exclusión social (</w:t>
      </w:r>
      <w:r>
        <w:t>7.5</w:t>
      </w:r>
      <w:r>
        <w:t>).</w:t>
      </w:r>
    </w:p>
    <w:p>
      <w:pPr>
        <w:spacing w:after="60"/>
        <w:ind w:left="510" w:hanging="397"/>
      </w:pPr>
      <w:r>
        <w:rPr>
          <w:b w:val="0"/>
        </w:rPr>
        <w:t xml:space="preserve">2. </w:t>
      </w:r>
      <w:r>
        <w:rPr>
          <w:i/>
        </w:rPr>
        <w:t>La carga más grande no se publica.</w:t>
      </w:r>
      <w:r>
        <w:t xml:space="preserve"> Los 6,13 billones no figuran en la deuda oficial (</w:t>
      </w:r>
      <w:r>
        <w:t>5.1</w:t>
      </w:r>
      <w:r>
        <w:t>, n.º 24).</w:t>
      </w:r>
    </w:p>
    <w:p>
      <w:pPr>
        <w:spacing w:after="60"/>
        <w:ind w:left="510" w:hanging="397"/>
      </w:pPr>
      <w:r>
        <w:rPr>
          <w:b w:val="0"/>
        </w:rPr>
        <w:t xml:space="preserve">3. </w:t>
      </w:r>
      <w:r>
        <w:rPr>
          <w:i/>
        </w:rPr>
        <w:t>El sistema depende de quien viene detrás.</w:t>
      </w:r>
      <w:r>
        <w:t xml:space="preserve"> Hay unos dos afiliados por cada pensión (</w:t>
      </w:r>
      <w:r>
        <w:t>8.6</w:t>
      </w:r>
      <w:r>
        <w:t>).</w:t>
      </w:r>
    </w:p>
    <w:p>
      <w:pPr>
        <w:spacing w:after="60"/>
        <w:ind w:left="510" w:hanging="397"/>
      </w:pPr>
      <w:r>
        <w:rPr>
          <w:b w:val="0"/>
        </w:rPr>
        <w:t xml:space="preserve">4. </w:t>
      </w:r>
      <w:r>
        <w:rPr>
          <w:i/>
        </w:rPr>
        <w:t>Y la pérdida de valor ayuda al que debe:</w:t>
      </w:r>
      <w:r>
        <w:t xml:space="preserve"> entre 2021 y 2025 rebajó la deuda pública, en términos reales, en 306.760 millones de euros (</w:t>
      </w:r>
      <w:r>
        <w:t>cargo 4</w:t>
      </w:r>
      <w:r>
        <w:t>).</w:t>
      </w:r>
    </w:p>
    <w:p>
      <w:pPr>
        <w:spacing w:after="60"/>
        <w:ind w:left="510" w:hanging="397"/>
      </w:pPr>
      <w:r>
        <w:rPr>
          <w:b w:val="0"/>
        </w:rPr>
        <w:t xml:space="preserve">5. </w:t>
      </w:r>
      <w:r>
        <w:rPr>
          <w:i/>
        </w:rPr>
        <w:t>La pregunta no es si el Estado debe endeudarse alguna vez,</w:t>
      </w:r>
      <w:r>
        <w:t xml:space="preserve"> sino quién decide la carga y quién la paga: hoy, la deciden unos y la pagan otros.</w:t>
      </w:r>
    </w:p>
    <w:p>
      <w:r>
        <w:rPr>
          <w:b/>
        </w:rPr>
        <w:t>Dónde aguanta:</w:t>
      </w:r>
      <w:r>
        <w:t xml:space="preserve"> quien viene detrás hereda también lo que la deuda construyó, y la solidaridad entre generaciones es real. La deuda de pensiones no vence hoy; esa defensa se oye entera frente al dictamen (</w:t>
      </w:r>
      <w:r>
        <w:t>11.4</w:t>
      </w:r>
      <w:r>
        <w:t>).</w:t>
      </w:r>
    </w:p>
    <w:p>
      <w:r>
        <w:rPr>
          <w:b/>
        </w:rPr>
        <w:t>Límite honesto:</w:t>
      </w:r>
      <w:r>
        <w:t xml:space="preserve"> no se puede preguntar a quien no ha nacido. La obra no propone dejar de pagar: pregunta en virtud de qué se le carga.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[37.00-12.1 a 12.7, con Jer 31:29-30 en la Reina-Valera Antigua y la vivienda con el dato de junio de 2026; 00.2-18.1 a 18.4; 24.00-9.8 y 9.9]</w:t>
      </w:r>
    </w:p>
    <w:p>
      <w:pPr>
        <w:pStyle w:val="Heading3"/>
      </w:pPr>
      <w:r>
        <w:t>Cargo 10. El Estado social</w:t>
      </w:r>
    </w:p>
    <w:p>
      <w:r>
        <w:rPr>
          <w:b/>
        </w:rPr>
        <w:t>La presunción:</w:t>
      </w:r>
      <w:r>
        <w:t xml:space="preserve"> «Que el Estado cumple lo que la Constitución promete».</w:t>
      </w:r>
    </w:p>
    <w:p>
      <w:r>
        <w:rPr>
          <w:b/>
        </w:rPr>
        <w:t>La vara.</w:t>
      </w:r>
    </w:p>
    <w:p>
      <w:pPr>
        <w:pStyle w:val="ListBullet"/>
      </w:pPr>
      <w:r>
        <w:rPr>
          <w:i/>
        </w:rPr>
        <w:t>La ley de Dios:</w:t>
      </w:r>
      <w:r>
        <w:t xml:space="preserve"> «Así también la fe, si no tuviere obras, es muerta en sí misma»</w:t>
      </w:r>
      <w:r>
        <w:t xml:space="preserve"> (Stg 2:17)</w:t>
      </w:r>
      <w:r>
        <w:br/>
      </w:r>
      <w:r>
        <w:rPr>
          <w:b/>
        </w:rPr>
        <w:t>leída en su fuente · Stg 2:17</w:t>
      </w:r>
      <w:r>
        <w:br/>
      </w:r>
      <w:r>
        <w:rPr>
          <w:b/>
        </w:rPr>
        <w:t>Archivo leído:</w:t>
      </w:r>
      <w:r>
        <w:t xml:space="preserve"> stg_2_17_rva.html; rvr1960_stg_2_17.html (c9g\stg_2_17_rva.html) · contraste del archivo de pasajes: ✔</w:t>
      </w:r>
      <w:r>
        <w:br/>
      </w:r>
      <w:r>
        <w:rPr>
          <w:b/>
        </w:rPr>
        <w:t>Lugar:</w:t>
      </w:r>
      <w:r>
        <w:t xml:space="preserve"> RVA</w:t>
      </w:r>
      <w:r>
        <w:br/>
      </w:r>
      <w:r>
        <w:rPr>
          <w:b/>
        </w:rPr>
        <w:t>Dirección:</w:t>
      </w:r>
      <w:r>
        <w:t xml:space="preserve"> </w:t>
      </w:r>
      <w:r>
        <w:t>https://www.biblegateway.com/passage/?search=James+2%3A17&amp;version=RVA</w:t>
      </w:r>
      <w:r>
        <w:br/>
      </w:r>
      <w:r>
        <w:rPr>
          <w:b/>
        </w:rPr>
        <w:t>Tal como está en la fuente:</w:t>
      </w:r>
      <w:r>
        <w:t xml:space="preserve"> Así también la fe, si no tuviere obras, es muerta en sí misma.</w:t>
      </w:r>
      <w:r>
        <w:t xml:space="preserve">; y «Por sus frutos los conoceréis» (Mt 7:16; </w:t>
      </w:r>
      <w:r>
        <w:t>0.5</w:t>
      </w:r>
      <w:r>
        <w:t>).</w:t>
      </w:r>
    </w:p>
    <w:p>
      <w:pPr>
        <w:pStyle w:val="ListBullet"/>
      </w:pPr>
      <w:r>
        <w:rPr>
          <w:i/>
        </w:rPr>
        <w:t>Las tradiciones:</w:t>
      </w:r>
      <w:r>
        <w:t xml:space="preserve"> «El pueblo pasa hambre porque los de arriba consumen demasiados impuestos» (Laozi; </w:t>
      </w:r>
      <w:r>
        <w:t>3.2</w:t>
      </w:r>
      <w:r>
        <w:t>). Y en las Analectas de Confucio, el emperador Yao advierte a quien le sucede: «si hay angustia y necesidad dentro de los cuatro mares, la renta del Cielo llegará a su fin para siempre»</w:t>
      </w:r>
      <w:r>
        <w:t xml:space="preserve"> [original: «If there shall be distress and want within the four seas, the Heavenly revenue will come to a perpetual end»]</w:t>
      </w:r>
      <w:r>
        <w:t xml:space="preserve"> (Analectas XX, 1, en la traducción inglesa de Legge)</w:t>
      </w:r>
      <w:r>
        <w:br/>
      </w:r>
      <w:r>
        <w:rPr>
          <w:b/>
        </w:rPr>
        <w:t>leída en su fuente · Analectas XX, 1, en la traducción inglesa de Legge</w:t>
      </w:r>
      <w:r>
        <w:br/>
      </w:r>
      <w:r>
        <w:rPr>
          <w:b/>
        </w:rPr>
        <w:t>Archivo leído:</w:t>
      </w:r>
      <w:r>
        <w:t xml:space="preserve"> ya descargado: ídem (líneas 3141-3144) · contraste del archivo de pasajes: sin archivo</w:t>
      </w:r>
      <w:r>
        <w:br/>
      </w:r>
      <w:r>
        <w:rPr>
          <w:b/>
        </w:rPr>
        <w:t>Lugar:</w:t>
      </w:r>
      <w:r>
        <w:t xml:space="preserve"> Libro XX, cap. I, § 1</w:t>
      </w:r>
      <w:r>
        <w:br/>
      </w:r>
      <w:r>
        <w:rPr>
          <w:b/>
        </w:rPr>
        <w:t>Tal como está en la fuente:</w:t>
      </w:r>
      <w:r>
        <w:t xml:space="preserve"> ¡Oh, tú, Shun! El orden de sucesión que el Cielo determina descansa ahora en tu persona. Mantén con sinceridad el justo medio. Si hay angustia y necesidad dentro de los cuatro mares, la renta del Cielo llegará a su fin para siempre</w:t>
      </w:r>
      <w:r>
        <w:t>.</w:t>
      </w:r>
    </w:p>
    <w:p>
      <w:pPr>
        <w:pStyle w:val="ListBullet"/>
      </w:pPr>
      <w:r>
        <w:rPr>
          <w:i/>
        </w:rPr>
        <w:t>Su propia ley o el dato:</w:t>
      </w:r>
      <w:r>
        <w:t xml:space="preserve"> la Constitución promete: «Todos los españoles tienen derecho a disfrutar de una vivienda digna y adecuada» (art. 47), y «Los poderes públicos aseguran la protección social, económica y jurídica de la familia» (art. 39.1; </w:t>
      </w:r>
      <w:r>
        <w:t>7.6</w:t>
      </w:r>
      <w:r>
        <w:t>). En lo que dispone sobre el bien común, el incumplimiento es del 62,1 % (41 de 66 artículos), frente al 27,2 % en lo que regula el organigrama del poder (</w:t>
      </w:r>
      <w:r>
        <w:t>7.4</w:t>
      </w:r>
      <w:r>
        <w:t>).</w:t>
      </w:r>
    </w:p>
    <w:p>
      <w:r>
        <w:rPr>
          <w:b/>
        </w:rPr>
        <w:t>Dónde está probado:</w:t>
      </w:r>
      <w:r>
        <w:t xml:space="preserve"> lo que se da por supuesto (</w:t>
      </w:r>
      <w:r>
        <w:t>5.1</w:t>
      </w:r>
      <w:r>
        <w:t>, n.º 16 y 20), la auditoría (</w:t>
      </w:r>
      <w:r>
        <w:t>7.4</w:t>
      </w:r>
      <w:r>
        <w:t xml:space="preserve">, </w:t>
      </w:r>
      <w:r>
        <w:t>7.5</w:t>
      </w:r>
      <w:r>
        <w:t xml:space="preserve"> y </w:t>
      </w:r>
      <w:r>
        <w:t>7.6</w:t>
      </w:r>
      <w:r>
        <w:t>) y los frutos (</w:t>
      </w:r>
      <w:r>
        <w:t>capítulo 8</w:t>
      </w:r>
      <w:r>
        <w:t>).</w:t>
      </w:r>
    </w:p>
    <w:p>
      <w:r>
        <w:rPr>
          <w:b/>
        </w:rPr>
        <w:t>La pregunta:</w:t>
      </w:r>
      <w:r>
        <w:t xml:space="preserve"> ¿qué artículos de la Constitución sobre el bien común se consideran cumplidos, y con qué dato?</w:t>
      </w:r>
    </w:p>
    <w:p>
      <w:r>
        <w:rPr>
          <w:b/>
        </w:rPr>
        <w:t>La defensa del Estado:</w:t>
      </w:r>
      <w:r>
        <w:t xml:space="preserve"> los derechos sociales son principios rectores, y la Constitución es clara: «Sólo podrán ser alegados ante la Jurisdicción ordinaria de acuerdo con lo que dispongan las leyes que los desarrollen»</w:t>
      </w:r>
      <w:r>
        <w:t xml:space="preserve"> (Constitución, art. 53.3)</w:t>
      </w:r>
      <w:r>
        <w:br/>
      </w:r>
      <w:r>
        <w:rPr>
          <w:b/>
        </w:rPr>
        <w:t>leída en su fuente · Constitución, art. 53.3</w:t>
      </w:r>
      <w:r>
        <w:br/>
      </w:r>
      <w:r>
        <w:rPr>
          <w:b/>
        </w:rPr>
        <w:t>Archivo leído:</w:t>
      </w:r>
      <w:r>
        <w:t xml:space="preserve"> constitucion_1978.html (c5\constitucion_1978.html) · contraste del archivo de pasajes: ✔</w:t>
      </w:r>
      <w:r>
        <w:br/>
      </w:r>
      <w:r>
        <w:rPr>
          <w:b/>
        </w:rPr>
        <w:t>Lugar:</w:t>
      </w:r>
      <w:r>
        <w:t xml:space="preserve"> Art. 53.3 (#a53)</w:t>
      </w:r>
      <w:r>
        <w:br/>
      </w:r>
      <w:r>
        <w:rPr>
          <w:b/>
        </w:rPr>
        <w:t>Dirección:</w:t>
      </w:r>
      <w:r>
        <w:t xml:space="preserve"> </w:t>
      </w:r>
      <w:r>
        <w:t>https://www.boe.es/buscar/act.php?id=BOE-A-1978-31229</w:t>
      </w:r>
      <w:r>
        <w:br/>
      </w:r>
      <w:r>
        <w:rPr>
          <w:b/>
        </w:rPr>
        <w:t>Tal como está en la fuente:</w:t>
      </w:r>
      <w:r>
        <w:t xml:space="preserve"> Sólo podrán ser alegados ante la Jurisdicción ordinaria de acuerdo con lo que dispongan</w:t>
      </w:r>
      <w:r>
        <w:t>. Son mandatos al legislador, objetivos en curso, y dependen de unos recursos que son limitados. Y se cumplen: España tiene sanidad universal, una pensión que la OCDE calcula en el 80,4 % del salario, frente al 52,0 % de su media (</w:t>
      </w:r>
      <w:r>
        <w:t>8.4</w:t>
      </w:r>
      <w:r>
        <w:t>), y una esperanza de vida de 84 años (</w:t>
      </w:r>
      <w:r>
        <w:t>capítulo 9</w:t>
      </w:r>
      <w:r>
        <w:t>). De cada 100 euros del gasto público, 64 van a protección social, sanidad y educación (</w:t>
      </w:r>
      <w:r>
        <w:t>8.6</w:t>
      </w:r>
      <w:r>
        <w:t xml:space="preserve">): es un Estado que redistribuye. Cada artículo de la Declaración Universal tiene su ancla en la Constitución, que manda interpretar los derechos conforme a ella (art. 10.2). Las libertades públicas están protegidas por el recurso de amparo, y el cuerpo, por la propia Constitución: el derecho «a la vida y a la integridad física y moral» y el </w:t>
      </w:r>
      <w:r>
        <w:rPr>
          <w:i/>
        </w:rPr>
        <w:t>habeas corpus</w:t>
      </w:r>
      <w:r>
        <w:t xml:space="preserve"> (arts. 15 y 17.4; </w:t>
      </w:r>
      <w:r>
        <w:t>2.4</w:t>
      </w:r>
      <w:r>
        <w:t>).</w:t>
      </w:r>
    </w:p>
    <w:p>
      <w:r>
        <w:rPr>
          <w:b/>
        </w:rPr>
        <w:t>Los contrapuntos de la obra:</w:t>
      </w:r>
    </w:p>
    <w:p>
      <w:pPr>
        <w:spacing w:after="60"/>
        <w:ind w:left="510" w:hanging="397"/>
      </w:pPr>
      <w:r>
        <w:rPr>
          <w:b w:val="0"/>
        </w:rPr>
        <w:t xml:space="preserve">1. </w:t>
      </w:r>
      <w:r>
        <w:rPr>
          <w:i/>
        </w:rPr>
        <w:t>Con su propia ley.</w:t>
      </w:r>
      <w:r>
        <w:t xml:space="preserve"> La Constitución llama derecho a lo que luego no deja exigir: la vivienda es un «derecho» (art. 47), pero solo se puede alegar según las leyes que lo desarrollen (art. 53.3), mientras el pago de la deuda «gozará de prioridad absoluta» (art. 135.3). El cobro queda blindado y el deber, aplazado (</w:t>
      </w:r>
      <w:r>
        <w:t>7.6</w:t>
      </w:r>
      <w:r>
        <w:t>). Y la mitad que organiza el poder sí se cumple: el incumplimiento es del 62,1 % en lo que promete al ciudadano y del 27,2 % en lo que organiza el poder; cuando otro poder corrige, protege al ciudadano en el 4,65 % de los casos y frena al poder en el 26,32 % (</w:t>
      </w:r>
      <w:r>
        <w:t>7.4</w:t>
      </w:r>
      <w:r>
        <w:t>).</w:t>
      </w:r>
    </w:p>
    <w:p>
      <w:pPr>
        <w:spacing w:after="60"/>
        <w:ind w:left="510" w:hanging="397"/>
      </w:pPr>
      <w:r>
        <w:rPr>
          <w:b w:val="0"/>
        </w:rPr>
        <w:t xml:space="preserve">2. </w:t>
      </w:r>
      <w:r>
        <w:rPr>
          <w:i/>
        </w:rPr>
        <w:t>No faltan recursos para todo por igual.</w:t>
      </w:r>
      <w:r>
        <w:t xml:space="preserve"> De cada jornada de ocho horas de un asalariado medio, 3 horas y 19 minutos se van en IRPF y cotizaciones (</w:t>
      </w:r>
      <w:r>
        <w:t>8.3</w:t>
      </w:r>
      <w:r>
        <w:t>), y aun así se incumple el 62,1 % de los artículos que afectan al ciudadano (</w:t>
      </w:r>
      <w:r>
        <w:t>7.4</w:t>
      </w:r>
      <w:r>
        <w:t>). Los intereses de la deuda, 38.793 millones en 2024, superaron lo que se gastó en defensa, vivienda y medio ambiente juntos: 37.385 millones (</w:t>
      </w:r>
      <w:r>
        <w:t>8.6</w:t>
      </w:r>
      <w:r>
        <w:t>; suma de la obra). Solo en 2023, el IRPF recaudó unos 11.000 millones de más por no actualizar su escala (</w:t>
      </w:r>
      <w:r>
        <w:t>8.3</w:t>
      </w:r>
      <w:r>
        <w:t>). Y la publicidad institucional pasó de 25,9 millones en 2019 a 88,1 millones en 2025</w:t>
      </w:r>
      <w:r>
        <w:t xml:space="preserve"> (Comisión de Publicidad y Comunicación Institucional, informes anuales de 2019 y 2025)</w:t>
      </w:r>
      <w:r>
        <w:t>, mientras 32.704 personas murieron en 2025 esperando una respuesta del sistema de dependencia (</w:t>
      </w:r>
      <w:r>
        <w:t>8.5</w:t>
      </w:r>
      <w:r>
        <w:t>).</w:t>
      </w:r>
    </w:p>
    <w:p>
      <w:pPr>
        <w:spacing w:after="60"/>
        <w:ind w:left="510" w:hanging="397"/>
      </w:pPr>
      <w:r>
        <w:rPr>
          <w:b w:val="0"/>
        </w:rPr>
        <w:t xml:space="preserve">3. </w:t>
      </w:r>
      <w:r>
        <w:rPr>
          <w:i/>
        </w:rPr>
        <w:t>Los frutos.</w:t>
      </w:r>
      <w:r>
        <w:t xml:space="preserve"> Una vivienda cuesta 8,36 años de la renta bruta de un hogar mediano, y con lo que de verdad se puede ahorrar, unos 25 años solo para la entrada (</w:t>
      </w:r>
      <w:r>
        <w:t>8.8</w:t>
      </w:r>
      <w:r>
        <w:t xml:space="preserve">; </w:t>
      </w:r>
      <w:r>
        <w:t>cargo 4</w:t>
      </w:r>
      <w:r>
        <w:t>). En 2025, el 33,8 % de los menores de 18 años estaba en riesgo de pobreza o exclusión social, frente al 25,7 % del conjunto (</w:t>
      </w:r>
      <w:r>
        <w:t>7.5</w:t>
      </w:r>
      <w:r>
        <w:t>). Solo el 14,5 % de los jóvenes estaba emancipado, la edad media de emancipación es de 30,2 años, y alquilar en solitario supone «el 98,7 % del salario de una persona joven» (</w:t>
      </w:r>
      <w:r>
        <w:t>7.2</w:t>
      </w:r>
      <w:r>
        <w:t>). Y la fecundidad está en 1,10 hijos por mujer, el mínimo de la serie (</w:t>
      </w:r>
      <w:r>
        <w:t>8.8</w:t>
      </w:r>
      <w:r>
        <w:t>).</w:t>
      </w:r>
    </w:p>
    <w:p>
      <w:pPr>
        <w:spacing w:after="60"/>
        <w:ind w:left="510" w:hanging="397"/>
      </w:pPr>
      <w:r>
        <w:rPr>
          <w:b w:val="0"/>
        </w:rPr>
        <w:t xml:space="preserve">4. </w:t>
      </w:r>
      <w:r>
        <w:rPr>
          <w:i/>
        </w:rPr>
        <w:t>El ancla está en el papel; los frutos son otros.</w:t>
      </w:r>
      <w:r>
        <w:t xml:space="preserve"> Con la serie actual de la OCDE, el salario medio real subió de 1993 a 2023 un 4,0 % en España, frente al 28,1 % en Francia y el 21,0 % en Alemania</w:t>
      </w:r>
      <w:r>
        <w:t xml:space="preserve"> (OCDE, «Average annual wages» (salarios medios anuales); fe de erratas, 20.00-35.5)</w:t>
      </w:r>
      <w:r>
        <w:t>.</w:t>
      </w:r>
    </w:p>
    <w:p>
      <w:pPr>
        <w:spacing w:after="60"/>
        <w:ind w:left="510" w:hanging="397"/>
      </w:pPr>
      <w:r>
        <w:rPr>
          <w:b w:val="0"/>
        </w:rPr>
        <w:t xml:space="preserve">5. </w:t>
      </w:r>
      <w:r>
        <w:rPr>
          <w:i/>
        </w:rPr>
        <w:t>La redistribución tiene otra cara.</w:t>
      </w:r>
      <w:r>
        <w:t xml:space="preserve"> Lo que se reparte salió antes de la gente (contrapunto 2). Las pensiones, la mayor partida, las pagan sobre todo las cotizaciones de quienes trabajan hoy, en un sistema de reparto (</w:t>
      </w:r>
      <w:r>
        <w:t>8.6</w:t>
      </w:r>
      <w:r>
        <w:t>), y dentro de la protección social unos 16.400 millones son gestión, no prestaciones (</w:t>
      </w:r>
      <w:r>
        <w:t>5.1</w:t>
      </w:r>
      <w:r>
        <w:t>, n.º 23). Mientras, en 2025 las administraciones pagaron 40.314 millones de euros en intereses e invirtieron 49.632: por cada 5 euros que se invierten, se pagan unos 4 en intereses (</w:t>
      </w:r>
      <w:r>
        <w:t>7.2</w:t>
      </w:r>
      <w:r>
        <w:t>, n.º 4). Con la escala del IRPF sin actualizar, quien gana lo mismo en poder de compra paga más (</w:t>
      </w:r>
      <w:r>
        <w:t>8.3</w:t>
      </w:r>
      <w:r>
        <w:t>); y la pérdida de valor del dinero rebajó la deuda pública, en términos reales, en 306.760 millones de euros entre 2021 y 2025 (</w:t>
      </w:r>
      <w:r>
        <w:t>cargo 4</w:t>
      </w:r>
      <w:r>
        <w:t>): lo que pierde quien ahorra lo gana, en buena parte, quien debe.</w:t>
      </w:r>
    </w:p>
    <w:p>
      <w:pPr>
        <w:spacing w:after="60"/>
        <w:ind w:left="510" w:hanging="397"/>
      </w:pPr>
      <w:r>
        <w:rPr>
          <w:b w:val="0"/>
        </w:rPr>
        <w:t xml:space="preserve">6. </w:t>
      </w:r>
      <w:r>
        <w:rPr>
          <w:i/>
        </w:rPr>
        <w:t>Las libertades, cuando incomodan.</w:t>
      </w:r>
      <w:r>
        <w:t xml:space="preserve"> La crítica al Jefe del Estado tuvo que defenderla un tribunal de fuera: el Tribunal Europeo de Derechos Humanos condenó a España en 2018 por castigar a dos personas que quemaron una fotografía de los Reyes (</w:t>
      </w:r>
      <w:r>
        <w:t>7.2</w:t>
      </w:r>
      <w:r>
        <w:t>, n.º 8). En 2025, el Constitucional admitió 59 de 9.089 recursos de amparo (</w:t>
      </w:r>
      <w:r>
        <w:t>5.1</w:t>
      </w:r>
      <w:r>
        <w:t>, n.º 19). Y el estado de alarma «no permite la suspensión de ningún derecho fundamental», pero el confinamiento de 2020 fue, según el propio Constitucional, «una suspensión del derecho» (</w:t>
      </w:r>
      <w:r>
        <w:t>7.2</w:t>
      </w:r>
      <w:r>
        <w:t>, n.º 9).</w:t>
      </w:r>
    </w:p>
    <w:p>
      <w:r>
        <w:rPr>
          <w:b/>
        </w:rPr>
        <w:t>Las demás defensas de este cargo.</w:t>
      </w:r>
    </w:p>
    <w:p>
      <w:pPr>
        <w:pStyle w:val="ListBullet"/>
      </w:pPr>
      <w:r>
        <w:rPr>
          <w:i/>
        </w:rPr>
        <w:t>«El Estado moderno adoptó todo el programa ilustrado»:</w:t>
      </w:r>
      <w:r>
        <w:t xml:space="preserve"> derechos, separación de poderes, soberanía popular e igualdad ante la ley. </w:t>
      </w:r>
      <w:r>
        <w:rPr>
          <w:i/>
        </w:rPr>
        <w:t>Respuesta:</w:t>
      </w:r>
      <w:r>
        <w:t xml:space="preserve"> la auditoría lo mide: se cumple lo que organiza el poder y se incumple lo que lo limita y lo que promete al pueblo (</w:t>
      </w:r>
      <w:r>
        <w:t>7.4</w:t>
      </w:r>
      <w:r>
        <w:t>); y la soberanía popular se presume (</w:t>
      </w:r>
      <w:r>
        <w:t>cargo 3</w:t>
      </w:r>
      <w:r>
        <w:t>).</w:t>
      </w:r>
    </w:p>
    <w:p>
      <w:pPr>
        <w:pStyle w:val="ListBullet"/>
      </w:pPr>
      <w:r>
        <w:rPr>
          <w:i/>
        </w:rPr>
        <w:t>«El delito de injurias a la Corona protege el símbolo, no a la persona, y lo aplicaron los tribunales».</w:t>
      </w:r>
      <w:r>
        <w:t xml:space="preserve"> </w:t>
      </w:r>
      <w:r>
        <w:rPr>
          <w:i/>
        </w:rPr>
        <w:t>Respuesta:</w:t>
      </w:r>
      <w:r>
        <w:t xml:space="preserve"> el tribunal europeo dijo que fue «una crítica a lo que el Rey representa», no un ataque personal (</w:t>
      </w:r>
      <w:r>
        <w:t>7.2</w:t>
      </w:r>
      <w:r>
        <w:t>, n.º 8).</w:t>
      </w:r>
    </w:p>
    <w:p>
      <w:pPr>
        <w:pStyle w:val="ListBullet"/>
      </w:pPr>
      <w:r>
        <w:rPr>
          <w:i/>
        </w:rPr>
        <w:t>«La Constitución ampara y respeta los derechos históricos de los territorios forales»</w:t>
      </w:r>
      <w:r>
        <w:t xml:space="preserve"> (Constitución, disposición adicional primera)</w:t>
      </w:r>
      <w:r>
        <w:t xml:space="preserve">: el Concierto vasco y el Convenio navarro son constitucionales. </w:t>
      </w:r>
      <w:r>
        <w:rPr>
          <w:i/>
        </w:rPr>
        <w:t>Respuesta:</w:t>
      </w:r>
      <w:r>
        <w:t xml:space="preserve"> la misma Constitución dice que «Todos los españoles tienen los mismos derechos y obligaciones en cualquier parte del territorio del Estado»</w:t>
      </w:r>
      <w:r>
        <w:t xml:space="preserve"> (art. 139.1)</w:t>
      </w:r>
      <w:r>
        <w:br/>
      </w:r>
      <w:r>
        <w:rPr>
          <w:b/>
        </w:rPr>
        <w:t>leída en su fuente · art. 139.1</w:t>
      </w:r>
      <w:r>
        <w:br/>
      </w:r>
      <w:r>
        <w:rPr>
          <w:b/>
        </w:rPr>
        <w:t>Archivo leído:</w:t>
      </w:r>
      <w:r>
        <w:t xml:space="preserve"> ce.html (ant\c1\ce.html) · contraste del archivo de pasajes: ✔</w:t>
      </w:r>
      <w:r>
        <w:br/>
      </w:r>
      <w:r>
        <w:rPr>
          <w:b/>
        </w:rPr>
        <w:t>Lugar:</w:t>
      </w:r>
      <w:r>
        <w:t xml:space="preserve"> art. 139.1</w:t>
      </w:r>
      <w:r>
        <w:br/>
      </w:r>
      <w:r>
        <w:rPr>
          <w:b/>
        </w:rPr>
        <w:t>Tal como está en la fuente:</w:t>
      </w:r>
      <w:r>
        <w:t xml:space="preserve"> Todos los españoles tienen los mismos derechos y obligaciones en cualquier parte del territorio del Estado</w:t>
      </w:r>
      <w:r>
        <w:t>, y el mismo derecho a operarse espera 50 días de media en Madrid y 173 en Andalucía (</w:t>
      </w:r>
      <w:r>
        <w:t>8.4</w:t>
      </w:r>
      <w:r>
        <w:t>).</w:t>
      </w:r>
    </w:p>
    <w:p>
      <w:pPr>
        <w:pStyle w:val="ListBullet"/>
      </w:pPr>
      <w:r>
        <w:rPr>
          <w:i/>
        </w:rPr>
        <w:t>«El Estado aprueba ayudas y planes de vivienda para jóvenes, y la ley de vivienda protege al inquilino en las zonas tensionadas».</w:t>
      </w:r>
      <w:r>
        <w:t xml:space="preserve"> </w:t>
      </w:r>
      <w:r>
        <w:rPr>
          <w:i/>
        </w:rPr>
        <w:t>Respuesta:</w:t>
      </w:r>
      <w:r>
        <w:t xml:space="preserve"> en Cataluña, la primera en declararlas, los contratos de alquiler con fianza bajaron de 152.770 en 2022 a unos 108.057 en 2025, aunque la caída empezó antes de la declaración (</w:t>
      </w:r>
      <w:r>
        <w:t>8.7</w:t>
      </w:r>
      <w:r>
        <w:t>); y el derecho sigue sin poder exigirse ante un juez (art. 53.3).</w:t>
      </w:r>
    </w:p>
    <w:p>
      <w:pPr>
        <w:pStyle w:val="ListBullet"/>
      </w:pPr>
      <w:r>
        <w:rPr>
          <w:i/>
        </w:rPr>
        <w:t>«La sentencia del 25 % de castellano en la escuela es firme, y el Supremo inadmitió el recurso de la Generalitat».</w:t>
      </w:r>
      <w:r>
        <w:t xml:space="preserve"> </w:t>
      </w:r>
      <w:r>
        <w:rPr>
          <w:i/>
        </w:rPr>
        <w:t>Respuesta:</w:t>
      </w:r>
      <w:r>
        <w:t xml:space="preserve"> la obra lo concede; pero el Tribunal Superior de Cataluña constató que la Generalitat «no había ejecutado la sentencia en el plazo voluntario», y tras un decreto ley y una ley catalanas dejó el pleito «en suspenso», con una cuestión ante el Constitucional que a 6 de octubre de 2026 no estaba resuelta (</w:t>
      </w:r>
      <w:r>
        <w:t>7.3</w:t>
      </w:r>
      <w:r>
        <w:t>). La Constitución dice: «Es obligado cumplir las sentencias y demás resoluciones firmes de los Jueces y Tribunales»</w:t>
      </w:r>
      <w:r>
        <w:t xml:space="preserve"> (Constitución, art. 118)</w:t>
      </w:r>
      <w:r>
        <w:br/>
      </w:r>
      <w:r>
        <w:rPr>
          <w:b/>
        </w:rPr>
        <w:t>leída en su fuente · Constitución, art. 118</w:t>
      </w:r>
      <w:r>
        <w:br/>
      </w:r>
      <w:r>
        <w:rPr>
          <w:b/>
        </w:rPr>
        <w:t>Archivo leído:</w:t>
      </w:r>
      <w:r>
        <w:t xml:space="preserve"> ce.html (ant\c1\ce.html) · contraste del archivo de pasajes: ✔</w:t>
      </w:r>
      <w:r>
        <w:br/>
      </w:r>
      <w:r>
        <w:rPr>
          <w:b/>
        </w:rPr>
        <w:t>Lugar:</w:t>
      </w:r>
      <w:r>
        <w:t xml:space="preserve"> Constitución, art. 118</w:t>
      </w:r>
      <w:r>
        <w:br/>
      </w:r>
      <w:r>
        <w:rPr>
          <w:b/>
        </w:rPr>
        <w:t>Tal como está en la fuente:</w:t>
      </w:r>
      <w:r>
        <w:t xml:space="preserve"> Es obligado cumplir las sentencias y demás resoluciones firmes de los Jueces y Tribunales</w:t>
      </w:r>
      <w:r>
        <w:t>. Cuando el ciudadano no cumple, la Administración ejecuta sin juez (</w:t>
      </w:r>
      <w:r>
        <w:t>cargo 13</w:t>
      </w:r>
      <w:r>
        <w:t>); cuando no cumple una Administración, la sentencia espera.</w:t>
      </w:r>
    </w:p>
    <w:p>
      <w:pPr>
        <w:pStyle w:val="ListBullet"/>
      </w:pPr>
      <w:r>
        <w:rPr>
          <w:i/>
        </w:rPr>
        <w:t>«Los desahucios bajan»:</w:t>
      </w:r>
      <w:r>
        <w:t xml:space="preserve"> 24.540 lanzamientos en 2025, un 11 % menos (</w:t>
      </w:r>
      <w:r>
        <w:t>7.3</w:t>
      </w:r>
      <w:r>
        <w:t>), y 4.005 en el primer trimestre de 2026, un 45,4 % menos que un año antes</w:t>
      </w:r>
      <w:r>
        <w:t xml:space="preserve"> (CGPJ, datos del primer trimestre de 2026)</w:t>
      </w:r>
      <w:r>
        <w:t xml:space="preserve">. </w:t>
      </w:r>
      <w:r>
        <w:rPr>
          <w:i/>
        </w:rPr>
        <w:t>Respuesta:</w:t>
      </w:r>
      <w:r>
        <w:t xml:space="preserve"> la obra recoge la bajada; pero las ejecuciones hipotecarias presentadas pasaron de 23.164 a 31.416 en 2025 (</w:t>
      </w:r>
      <w:r>
        <w:t>7.3</w:t>
      </w:r>
      <w:r>
        <w:t>), un 35,6 % más</w:t>
      </w:r>
      <w:r>
        <w:t xml:space="preserve"> (CGPJ, nota de 20-3-2026)</w:t>
      </w:r>
      <w:r>
        <w:t>.</w:t>
      </w:r>
    </w:p>
    <w:p>
      <w:pPr>
        <w:pStyle w:val="ListBullet"/>
      </w:pPr>
      <w:r>
        <w:rPr>
          <w:i/>
        </w:rPr>
        <w:t>«El esfuerzo de hoy es menor que el de otros momentos»:</w:t>
      </w:r>
      <w:r>
        <w:t xml:space="preserve"> el máximo fueron 9,46 años de renta en 2007, y la primera cuota se llevaba el 72,47 % de la renta disponible en 1990, frente al 38,01 % de junio de 2026 (</w:t>
      </w:r>
      <w:r>
        <w:t>8.8</w:t>
      </w:r>
      <w:r>
        <w:t xml:space="preserve">). </w:t>
      </w:r>
      <w:r>
        <w:rPr>
          <w:i/>
        </w:rPr>
        <w:t>Respuesta:</w:t>
      </w:r>
      <w:r>
        <w:t xml:space="preserve"> es renta bruta, antes de impuestos y cotizaciones; con lo que de verdad se ahorra, unos 25 años para la entrada y más de 80 para el precio entero (</w:t>
      </w:r>
      <w:r>
        <w:t>8.8</w:t>
      </w:r>
      <w:r>
        <w:t>); y el dato de 2026 es el más alto desde 2011.</w:t>
      </w:r>
    </w:p>
    <w:p>
      <w:pPr>
        <w:pStyle w:val="ListBullet"/>
      </w:pPr>
      <w:r>
        <w:rPr>
          <w:i/>
        </w:rPr>
        <w:t>«Que las instituciones funcionen es una garantía de estabilidad democrática».</w:t>
      </w:r>
      <w:r>
        <w:t xml:space="preserve"> </w:t>
      </w:r>
      <w:r>
        <w:rPr>
          <w:i/>
        </w:rPr>
        <w:t>Respuesta:</w:t>
      </w:r>
      <w:r>
        <w:t xml:space="preserve"> funcionan, en buena parte para sí mismas: los representantes fijan su asignación (art. 71.4), un senador de fuera de Madrid cobra unos 78.555 euros (</w:t>
      </w:r>
      <w:r>
        <w:t>8.6</w:t>
      </w:r>
      <w:r>
        <w:t>), y el Consejo General del Poder Judicial estuvo cinco años y medio sin renovarse (</w:t>
      </w:r>
      <w:r>
        <w:t>7.4</w:t>
      </w:r>
      <w:r>
        <w:t>).</w:t>
      </w:r>
    </w:p>
    <w:p>
      <w:pPr>
        <w:pStyle w:val="ListBullet"/>
      </w:pPr>
      <w:r>
        <w:rPr>
          <w:i/>
        </w:rPr>
        <w:t>«La pobreza infantil depende de muchos factores, no de un acto concreto del Estado, y ninguna sentencia la declara incumplimiento».</w:t>
      </w:r>
      <w:r>
        <w:t xml:space="preserve"> </w:t>
      </w:r>
      <w:r>
        <w:rPr>
          <w:i/>
        </w:rPr>
        <w:t>Respuesta:</w:t>
      </w:r>
      <w:r>
        <w:t xml:space="preserve"> por eso la obra no la llama ilegalidad, sino incumplimiento sin un acto que recurrir; el resultado se mide: el 33,8 % de los menores, frente al 25,7 % del conjunto (</w:t>
      </w:r>
      <w:r>
        <w:t>7.5</w:t>
      </w:r>
      <w:r>
        <w:t>).</w:t>
      </w:r>
    </w:p>
    <w:p>
      <w:pPr>
        <w:pStyle w:val="ListBullet"/>
      </w:pPr>
      <w:r>
        <w:rPr>
          <w:i/>
        </w:rPr>
        <w:t>«Las muertes en espera de la dependencia bajan»:</w:t>
      </w:r>
      <w:r>
        <w:t xml:space="preserve"> 40.447 en 2023, 34.252 en 2024 y 32.704 en 2025 (</w:t>
      </w:r>
      <w:r>
        <w:t>8.5</w:t>
      </w:r>
      <w:r>
        <w:t xml:space="preserve">). </w:t>
      </w:r>
      <w:r>
        <w:rPr>
          <w:i/>
        </w:rPr>
        <w:t>Respuesta:</w:t>
      </w:r>
      <w:r>
        <w:t xml:space="preserve"> la obra recoge la bajada; aun así, en 2025, 17.994 personas murieron sin que se les hubiera resuelto el grado y 14.710 con el grado reconocido, esperando la prestación (</w:t>
      </w:r>
      <w:r>
        <w:t>8.5</w:t>
      </w:r>
      <w:r>
        <w:t xml:space="preserve">); y la ley de Dios manda honrar el rostro del anciano (Lv 19:32; </w:t>
      </w:r>
      <w:r>
        <w:t>5.2</w:t>
      </w:r>
      <w:r>
        <w:t>).</w:t>
      </w:r>
    </w:p>
    <w:p>
      <w:pPr>
        <w:pStyle w:val="ListBullet"/>
      </w:pPr>
      <w:r>
        <w:rPr>
          <w:i/>
        </w:rPr>
        <w:t>«España tiene sanidad universal y dedica a ella el 14,2 % del gasto público»</w:t>
      </w:r>
      <w:r>
        <w:t xml:space="preserve"> (</w:t>
      </w:r>
      <w:r>
        <w:t>8.6</w:t>
      </w:r>
      <w:r>
        <w:t xml:space="preserve">). </w:t>
      </w:r>
      <w:r>
        <w:rPr>
          <w:i/>
        </w:rPr>
        <w:t>Respuesta:</w:t>
      </w:r>
      <w:r>
        <w:t xml:space="preserve"> a 31 de diciembre de 2025, 853.509 pacientes esperaban una operación, con 121 días de media, y el 21,6 % llevaba más de seis meses (</w:t>
      </w:r>
      <w:r>
        <w:t>8.4</w:t>
      </w:r>
      <w:r>
        <w:t>).</w:t>
      </w:r>
    </w:p>
    <w:p>
      <w:pPr>
        <w:pStyle w:val="ListBullet"/>
      </w:pPr>
      <w:r>
        <w:rPr>
          <w:i/>
        </w:rPr>
        <w:t>«Lo que se recibe a cambio»:</w:t>
      </w:r>
      <w:r>
        <w:t xml:space="preserve"> la pensión, el 80,4 % del salario, y la de jubilación se resolvió en abril de 2026 en 9,28 días de media (</w:t>
      </w:r>
      <w:r>
        <w:t>8.4</w:t>
      </w:r>
      <w:r>
        <w:t xml:space="preserve">). </w:t>
      </w:r>
      <w:r>
        <w:rPr>
          <w:i/>
        </w:rPr>
        <w:t>Respuesta:</w:t>
      </w:r>
      <w:r>
        <w:t xml:space="preserve"> se paga en un sistema de reparto con unos dos afiliados por pensión y una fecundidad de 1,10 (</w:t>
      </w:r>
      <w:r>
        <w:t>8.6</w:t>
      </w:r>
      <w:r>
        <w:t xml:space="preserve"> y </w:t>
      </w:r>
      <w:r>
        <w:t>8.8</w:t>
      </w:r>
      <w:r>
        <w:t>), y las pensiones ya prometidas, 6,13 billones, no figuran en la deuda oficial (</w:t>
      </w:r>
      <w:r>
        <w:t>cargo 9</w:t>
      </w:r>
      <w:r>
        <w:t>).</w:t>
      </w:r>
    </w:p>
    <w:p>
      <w:r>
        <w:rPr>
          <w:b/>
        </w:rPr>
        <w:t>Dónde aguanta:</w:t>
      </w:r>
      <w:r>
        <w:t xml:space="preserve"> hay frutos que se reconocen: sanidad universal, una pensión alta en comparación y una esperanza de vida de las mayores. Las libertades tienen su freno: el Constitucional anuló el inciso «no autorizado» de la ley de seguridad ciudadana, y la multa ante el Parlamento castiga la perturbación grave, no la protesta pacífica (</w:t>
      </w:r>
      <w:r>
        <w:t>7.3</w:t>
      </w:r>
      <w:r>
        <w:t>). La caída de la fecundidad es europea y su causa no está probada; los 58 años de la hostelería de Madrid son el ejemplo de un sindicato, parte interesada, y no se comparan con la media nacional; y que la vivienda suba y los hijos bajen a la vez no prueba que lo uno cause lo otro (</w:t>
      </w:r>
      <w:r>
        <w:t>8.8</w:t>
      </w:r>
      <w:r>
        <w:t>).</w:t>
      </w:r>
    </w:p>
    <w:p>
      <w:r>
        <w:rPr>
          <w:b/>
        </w:rPr>
        <w:t>Límite honesto:</w:t>
      </w:r>
      <w:r>
        <w:t xml:space="preserve"> de los doce principios rectores, solo la infancia y la vivienda tienen dato propio en la auditoría; afirmar que los otros diez fallan igual sería sobreafirmar (</w:t>
      </w:r>
      <w:r>
        <w:t>7.6</w:t>
      </w:r>
      <w:r>
        <w:t>). Y la obra mide el incumplimiento;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[37.00-13.1 a 13.8, con Stg 2:17 en la Reina-Valera Antigua y la frase de las Analectas en boca de Yao, como dice el texto (c9h); 00.1-4.14 a 4.17 y 4.31 a 4.34; 00.2-21.9 a 21.12; 03.00-34.2 a 34.7, el salario real de la OCDE con la serie actual (07, 20.00-35.5); sin 06.00-8.4 a 8.7: la pieza se retiró de la edición por consenso, por no concluyente, y sus defensas no se recuperan (Kiko, 7-oct); 08.00-7.2 y 7.3; 10.00-18.16 y 18.17; 14.00-8.12 y 8.13; 15.00-17.16, 17.17 y 17.24 a 17.27, sin los doce años de la financiación autonómica: sin fila; 16.00-13.2 a 13.5, la sentencia del 25 % con lo leído en 7.3 y el art. 118 con su fila; 16.00-13.12 y 13.13; 18.00-7.4 a 7.7, sin el 68,0 % ni los 40 decretos-leyes; 19.00-35.12 y 35.13, sin el 1,5 % y el 2,4 % del PIB: sin fuente leída; 20.00-35.8 y 35.9; 21.00-14.12 a 14.15, sin el plan vencido en 2023; 22.00-13.14 y 13.15; 26.00-8.10 y 8.11; 27.00-7.2 a 7.11, sin los tipos al 17 %; 34.00-13.2 y 13.3, sin «vuelven a la gente»: la tabla de 8.6 dice a qué va el gasto, no lo que se devuelve; y con los cuatro euros de intereses por cada euro invertido de 7.2, n.º 4 (Kiko, 7-oct). La Constitución, art. 139.1 y disposición adicional primera, leída hoy en local]</w:t>
      </w:r>
    </w:p>
    <w:p>
      <w:pPr>
        <w:pStyle w:val="Heading3"/>
      </w:pPr>
      <w:r>
        <w:t>Cargo 11. El contrato social</w:t>
      </w:r>
    </w:p>
    <w:p>
      <w:r>
        <w:rPr>
          <w:b/>
        </w:rPr>
        <w:t>La presunción:</w:t>
      </w:r>
      <w:r>
        <w:t xml:space="preserve"> «Que existe un pacto que todos aceptamos».</w:t>
      </w:r>
    </w:p>
    <w:p>
      <w:r>
        <w:rPr>
          <w:b/>
        </w:rPr>
        <w:t>La vara.</w:t>
      </w:r>
    </w:p>
    <w:p>
      <w:pPr>
        <w:pStyle w:val="ListBullet"/>
      </w:pPr>
      <w:r>
        <w:rPr>
          <w:i/>
        </w:rPr>
        <w:t>La ley de Dios:</w:t>
      </w:r>
      <w:r>
        <w:t xml:space="preserve"> «Mas sea vuestro hablar: Sí, sí; No, no; porque lo que es más de esto, de mal procede»</w:t>
      </w:r>
      <w:r>
        <w:t xml:space="preserve"> (Mt 5:37)</w:t>
      </w:r>
      <w:r>
        <w:br/>
      </w:r>
      <w:r>
        <w:rPr>
          <w:b/>
        </w:rPr>
        <w:t>leída en su fuente · Mt 5:37</w:t>
      </w:r>
      <w:r>
        <w:br/>
      </w:r>
      <w:r>
        <w:rPr>
          <w:b/>
        </w:rPr>
        <w:t>Archivo leído:</w:t>
      </w:r>
      <w:r>
        <w:t xml:space="preserve"> mt_5_37_rva.html; rvr1960_mt_5_37.html (c9g\mt_5_37_rva.html) · contraste del archivo de pasajes: ✔</w:t>
      </w:r>
      <w:r>
        <w:br/>
      </w:r>
      <w:r>
        <w:rPr>
          <w:b/>
        </w:rPr>
        <w:t>Lugar:</w:t>
      </w:r>
      <w:r>
        <w:t xml:space="preserve"> RVA</w:t>
      </w:r>
      <w:r>
        <w:br/>
      </w:r>
      <w:r>
        <w:rPr>
          <w:b/>
        </w:rPr>
        <w:t>Dirección:</w:t>
      </w:r>
      <w:r>
        <w:t xml:space="preserve"> </w:t>
      </w:r>
      <w:r>
        <w:t>https://www.biblegateway.com/passage/?search=Matthew+5%3A37&amp;version=RVA</w:t>
      </w:r>
      <w:r>
        <w:br/>
      </w:r>
      <w:r>
        <w:rPr>
          <w:b/>
        </w:rPr>
        <w:t>Tal como está en la fuente:</w:t>
      </w:r>
      <w:r>
        <w:t xml:space="preserve"> Mas sea vuestro hablar: Sí, sí; No, no; porque lo que es más de esto, de mal procede.</w:t>
      </w:r>
      <w:r>
        <w:t>. La presunción da por dado un sí que nadie pronunció (</w:t>
      </w:r>
      <w:r>
        <w:t>5.2</w:t>
      </w:r>
      <w:r>
        <w:t>).</w:t>
      </w:r>
    </w:p>
    <w:p>
      <w:pPr>
        <w:pStyle w:val="ListBullet"/>
      </w:pPr>
      <w:r>
        <w:rPr>
          <w:i/>
        </w:rPr>
        <w:t>Su propia ley o el dato:</w:t>
      </w:r>
      <w:r>
        <w:t xml:space="preserve"> «No hay contrato sino cuando concurren los requisitos siguientes: 1.º Consentimiento de los contratantes. 2.º Objeto cierto que sea materia del contrato. 3.º Causa de la obligación que se establezca»</w:t>
      </w:r>
      <w:r>
        <w:t xml:space="preserve"> (Código Civil, art. 1261)</w:t>
      </w:r>
      <w:r>
        <w:br/>
      </w:r>
      <w:r>
        <w:rPr>
          <w:b/>
        </w:rPr>
        <w:t>leída en su fuente · Código Civil, art. 1261</w:t>
      </w:r>
      <w:r>
        <w:br/>
      </w:r>
      <w:r>
        <w:rPr>
          <w:b/>
        </w:rPr>
        <w:t>Archivo leído:</w:t>
      </w:r>
      <w:r>
        <w:t xml:space="preserve"> codigo_civil_1889.html (c5\codigo_civil_1889.html) · contraste del archivo de pasajes: ✔</w:t>
      </w:r>
      <w:r>
        <w:br/>
      </w:r>
      <w:r>
        <w:rPr>
          <w:b/>
        </w:rPr>
        <w:t>Dirección:</w:t>
      </w:r>
      <w:r>
        <w:t xml:space="preserve"> </w:t>
      </w:r>
      <w:r>
        <w:t>https://www.boe.es/buscar/act.php?id=BOE-A-1889-4763</w:t>
      </w:r>
      <w:r>
        <w:br/>
      </w:r>
      <w:r>
        <w:rPr>
          <w:b/>
        </w:rPr>
        <w:t>Tal como está en la fuente:</w:t>
      </w:r>
      <w:r>
        <w:t xml:space="preserve"> Artículo 1261. No hay contrato sino cuando concurren los requisitos siguientes: 1.º Consentimiento de los contratantes. 2.º Objeto cierto que sea materia del contrato. 3.º Causa de la obligación que se establezca.</w:t>
      </w:r>
      <w:r>
        <w:t>. Nadie firmó este. Y sus propios teóricos lo presentan como una idea, no como un hecho: para Kant, el contrato originario «de ningún modo es necesario suponerlo como un hecho», y es «una mera idea de la razón» (</w:t>
      </w:r>
      <w:r>
        <w:t>6.1</w:t>
      </w:r>
      <w:r>
        <w:t>).</w:t>
      </w:r>
    </w:p>
    <w:p>
      <w:r>
        <w:rPr>
          <w:b/>
        </w:rPr>
        <w:t>Dónde está probado:</w:t>
      </w:r>
      <w:r>
        <w:t xml:space="preserve"> lo que se da por supuesto (</w:t>
      </w:r>
      <w:r>
        <w:t>5.1</w:t>
      </w:r>
      <w:r>
        <w:t xml:space="preserve">, n.º 13; </w:t>
      </w:r>
      <w:r>
        <w:t>5.4</w:t>
      </w:r>
      <w:r>
        <w:t>) y el contrato que nadie firmó (</w:t>
      </w:r>
      <w:r>
        <w:t>6.1</w:t>
      </w:r>
      <w:r>
        <w:t>).</w:t>
      </w:r>
    </w:p>
    <w:p>
      <w:r>
        <w:rPr>
          <w:b/>
        </w:rPr>
        <w:t>La pregunta:</w:t>
      </w:r>
      <w:r>
        <w:t xml:space="preserve"> ¿en qué documento y en qué fecha consta el consentimiento personal de cada ciudadano a las obligaciones que se le imponen?</w:t>
      </w:r>
    </w:p>
    <w:p>
      <w:r>
        <w:rPr>
          <w:b/>
        </w:rPr>
        <w:t>La defensa del Estado:</w:t>
      </w:r>
      <w:r>
        <w:t xml:space="preserve"> el contrato social es una metáfora filosófica, no un contrato civil: la legitimidad no viene de una firma individual, sino de los procedimientos democráticos, y vivir en sociedad exige normas comunes. Tampoco hace falta firma: basta el consentimiento tácito. Locke lo dejó escrito: quien disfruta de cualquier parte de los dominios de un gobierno «da con ello su consentimiento tácito», aunque sea por «un alojamiento por una semana» (</w:t>
      </w:r>
      <w:r>
        <w:t>6.1</w:t>
      </w:r>
      <w:r>
        <w:t>). Y el pacto existe y está escrito: la Constitución de 1978, fruto del consenso, ratificada en referéndum y reformada cuatro veces, la última en 2026 (</w:t>
      </w:r>
      <w:r>
        <w:t>7.2</w:t>
      </w:r>
      <w:r>
        <w:t>, n.º 14). Sin una autoridad común no hay paz, sino la guerra de todos contra todos de Hobbes (</w:t>
      </w:r>
      <w:r>
        <w:t>6.1</w:t>
      </w:r>
      <w:r>
        <w:t>). Y medir la Constitución con el contrato social mezcla planos: una es una norma jurídica; el otro, una idea.</w:t>
      </w:r>
    </w:p>
    <w:p>
      <w:r>
        <w:rPr>
          <w:b/>
        </w:rPr>
        <w:t>Los contrapuntos de la obra:</w:t>
      </w:r>
    </w:p>
    <w:p>
      <w:pPr>
        <w:spacing w:after="60"/>
        <w:ind w:left="510" w:hanging="397"/>
      </w:pPr>
      <w:r>
        <w:rPr>
          <w:b w:val="0"/>
        </w:rPr>
        <w:t xml:space="preserve">1. </w:t>
      </w:r>
      <w:r>
        <w:rPr>
          <w:i/>
        </w:rPr>
        <w:t>Con su propia ley.</w:t>
      </w:r>
      <w:r>
        <w:t xml:space="preserve"> Si no es un contrato, como reconoce la defensa, no puede invocarse para exigir obligaciones como si se hubieran consentido: el Código Civil no admite contrato sin «Consentimiento de los contratantes» (art. 1261). Y si el contrato es la Constitución, se le puede pedir que se cumpla: incumple el 62,1 % de lo que promete sobre el bien común (</w:t>
      </w:r>
      <w:r>
        <w:t>7.4</w:t>
      </w:r>
      <w:r>
        <w:t xml:space="preserve">; </w:t>
      </w:r>
      <w:r>
        <w:t>cargo 10</w:t>
      </w:r>
      <w:r>
        <w:t>). El Estado no puede tener las dos cosas: invocar el pacto para exigir y negar que lo sea para responder.</w:t>
      </w:r>
    </w:p>
    <w:p>
      <w:pPr>
        <w:spacing w:after="60"/>
        <w:ind w:left="510" w:hanging="397"/>
      </w:pPr>
      <w:r>
        <w:rPr>
          <w:b w:val="0"/>
        </w:rPr>
        <w:t xml:space="preserve">2. </w:t>
      </w:r>
      <w:r>
        <w:rPr>
          <w:i/>
        </w:rPr>
        <w:t>El consentimiento tácito ya tuvo respuesta.</w:t>
      </w:r>
      <w:r>
        <w:t xml:space="preserve"> Hume: «¿Podemos decir en serio que un pobre campesino o artesano tiene libertad para elegir dejar su país […]?». Sería como decir que consiente el mando del capitán quien sigue en un barco, aunque lo subieron a bordo dormido y tendría que saltar al océano para dejarlo (</w:t>
      </w:r>
      <w:r>
        <w:t>6.1</w:t>
      </w:r>
      <w:r>
        <w:t>).</w:t>
      </w:r>
    </w:p>
    <w:p>
      <w:pPr>
        <w:spacing w:after="60"/>
        <w:ind w:left="510" w:hanging="397"/>
      </w:pPr>
      <w:r>
        <w:rPr>
          <w:b w:val="0"/>
        </w:rPr>
        <w:t xml:space="preserve">3. </w:t>
      </w:r>
      <w:r>
        <w:rPr>
          <w:i/>
        </w:rPr>
        <w:t>El referéndum de 1978 no lo votaron quienes no tenían edad, ni los nacidos después</w:t>
      </w:r>
      <w:r>
        <w:t xml:space="preserve"> (</w:t>
      </w:r>
      <w:r>
        <w:t>cargo 3</w:t>
      </w:r>
      <w:r>
        <w:t xml:space="preserve">; </w:t>
      </w:r>
      <w:r>
        <w:t>5.2</w:t>
      </w:r>
      <w:r>
        <w:t>). Y la obligación empieza antes de que nadie pueda consentir: el día en que se nace (</w:t>
      </w:r>
      <w:r>
        <w:t>5.4</w:t>
      </w:r>
      <w:r>
        <w:t xml:space="preserve">; </w:t>
      </w:r>
      <w:r>
        <w:t>cargo 16</w:t>
      </w:r>
      <w:r>
        <w:t>).</w:t>
      </w:r>
    </w:p>
    <w:p>
      <w:pPr>
        <w:spacing w:after="60"/>
        <w:ind w:left="510" w:hanging="397"/>
      </w:pPr>
      <w:r>
        <w:rPr>
          <w:b w:val="0"/>
        </w:rPr>
        <w:t xml:space="preserve">4. </w:t>
      </w:r>
      <w:r>
        <w:rPr>
          <w:i/>
        </w:rPr>
        <w:t>El miedo no es consentimiento.</w:t>
      </w:r>
      <w:r>
        <w:t xml:space="preserve"> La obra no propone el caos ni la desobediencia: propone la constancia escrita, el Registro de los frutos y este juicio de opinión (</w:t>
      </w:r>
      <w:r>
        <w:t>0.2</w:t>
      </w:r>
      <w:r>
        <w:t xml:space="preserve">; </w:t>
      </w:r>
      <w:r>
        <w:t>10.1</w:t>
      </w:r>
      <w:r>
        <w:t>). Y el miedo que funda el Leviatán no explica el cobro con recargo ni la deuda cargada a quien no ha nacido (cargos 13 y 9).</w:t>
      </w:r>
    </w:p>
    <w:p>
      <w:r>
        <w:rPr>
          <w:b/>
        </w:rPr>
        <w:t>Dónde aguanta:</w:t>
      </w:r>
      <w:r>
        <w:t xml:space="preserve"> el pacto de 1978 fue real: lo redactó una ponencia de siete diputados, lo votó una amplia mayoría y se ratificó en referéndum (</w:t>
      </w:r>
      <w:r>
        <w:t>capítulo 6</w:t>
      </w:r>
      <w:r>
        <w:t>). Y la propia tradición del contrato le da un uso honrado: para Kant, obliga a cada legislador a dictar sus leyes como si hubieran podido nacer de la voluntad unida de todo un pueblo (</w:t>
      </w:r>
      <w:r>
        <w:t>6.1</w:t>
      </w:r>
      <w:r>
        <w:t>). La obra concede el consenso; discute que obligue a quien no lo votó.</w:t>
      </w:r>
    </w:p>
    <w:p>
      <w:r>
        <w:rPr>
          <w:b/>
        </w:rPr>
        <w:t>Límite honesto:</w:t>
      </w:r>
      <w:r>
        <w:t xml:space="preserve"> la obra no puede probar que la mayoría rechazaría hoy el pacto (</w:t>
      </w:r>
      <w:r>
        <w:t>cargo 3</w:t>
      </w:r>
      <w:r>
        <w:t>). Prueba que el consentimiento de quien no votó se presume.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[37.00-15.1 a 15.7, con Mt 5:37 en la Reina-Valera Antigua; 00.1-4.1 a 4.4; 00.2-6.5 a 6.8; 10.00-18.2 a 18.7, sin que Locke «y no Hobbes» sea la fuente de las rupturas históricas: no se ha leído así en 6.1; 14.00-8.2 y 8.3; 15.00-17.28 y 17.29, sin «las cuatro, sin referéndum», sin «autobloqueo» y sin que la revisión total «nunca» se haya activado en «cuarenta y ocho años»: sin fila]</w:t>
      </w:r>
    </w:p>
    <w:p>
      <w:pPr>
        <w:pStyle w:val="Heading3"/>
      </w:pPr>
      <w:r>
        <w:t>Cargo 12. La urgencia</w:t>
      </w:r>
    </w:p>
    <w:p>
      <w:r>
        <w:rPr>
          <w:b/>
        </w:rPr>
        <w:t>La presunción:</w:t>
      </w:r>
      <w:r>
        <w:t xml:space="preserve"> «Que el Gobierno legisla por decreto solo cuando hay urgencia».</w:t>
      </w:r>
    </w:p>
    <w:p>
      <w:r>
        <w:rPr>
          <w:b/>
        </w:rPr>
        <w:t>La vara.</w:t>
      </w:r>
    </w:p>
    <w:p>
      <w:pPr>
        <w:pStyle w:val="ListBullet"/>
      </w:pPr>
      <w:r>
        <w:rPr>
          <w:i/>
        </w:rPr>
        <w:t>La ley de Dios:</w:t>
      </w:r>
      <w:r>
        <w:t xml:space="preserve"> «todo presuroso, indefectiblemente á pobreza»</w:t>
      </w:r>
      <w:r>
        <w:t xml:space="preserve"> (Pr 21:5)</w:t>
      </w:r>
      <w:r>
        <w:br/>
      </w:r>
      <w:r>
        <w:rPr>
          <w:b/>
        </w:rPr>
        <w:t>leída en su fuente · Pr 21:5</w:t>
      </w:r>
      <w:r>
        <w:br/>
      </w:r>
      <w:r>
        <w:rPr>
          <w:b/>
        </w:rPr>
        <w:t>Archivo leído:</w:t>
      </w:r>
      <w:r>
        <w:t xml:space="preserve"> pr_21_5_rva.html; rvr1960_pr_21_5.html (c9g\pr_21_5_rva.html) · contraste del archivo de pasajes: ✔</w:t>
      </w:r>
      <w:r>
        <w:br/>
      </w:r>
      <w:r>
        <w:rPr>
          <w:b/>
        </w:rPr>
        <w:t>Lugar:</w:t>
      </w:r>
      <w:r>
        <w:t xml:space="preserve"> RVA</w:t>
      </w:r>
      <w:r>
        <w:br/>
      </w:r>
      <w:r>
        <w:rPr>
          <w:b/>
        </w:rPr>
        <w:t>Dirección:</w:t>
      </w:r>
      <w:r>
        <w:t xml:space="preserve"> </w:t>
      </w:r>
      <w:r>
        <w:t>https://www.biblegateway.com/passage/?search=Proverbs+21%3A5&amp;version=RVA</w:t>
      </w:r>
      <w:r>
        <w:br/>
      </w:r>
      <w:r>
        <w:rPr>
          <w:b/>
        </w:rPr>
        <w:t>Tal como está en la fuente:</w:t>
      </w:r>
      <w:r>
        <w:t xml:space="preserve"> Los pensamientos del solícito ciertamente van á abundancia; Mas todo presuroso, indefectiblemente á pobreza.</w:t>
      </w:r>
      <w:r>
        <w:t>.</w:t>
      </w:r>
    </w:p>
    <w:p>
      <w:pPr>
        <w:pStyle w:val="ListBullet"/>
      </w:pPr>
      <w:r>
        <w:rPr>
          <w:i/>
        </w:rPr>
        <w:t>Su propia ley:</w:t>
      </w:r>
      <w:r>
        <w:t xml:space="preserve"> «En caso de extraordinaria y urgente necesidad, el Gobierno podrá dictar disposiciones legislativas provisionales que tomarán la forma de Decretos-leyes»</w:t>
      </w:r>
      <w:r>
        <w:t xml:space="preserve"> (Constitución, art. 86.1)</w:t>
      </w:r>
      <w:r>
        <w:br/>
      </w:r>
      <w:r>
        <w:rPr>
          <w:b/>
        </w:rPr>
        <w:t>leída en su fuente · Constitución, art. 86.1</w:t>
      </w:r>
      <w:r>
        <w:br/>
      </w:r>
      <w:r>
        <w:rPr>
          <w:b/>
        </w:rPr>
        <w:t>Archivo leído:</w:t>
      </w:r>
      <w:r>
        <w:t xml:space="preserve"> constitucion_1978.html (c5\constitucion_1978.html) · contraste del archivo de pasajes: ✔</w:t>
      </w:r>
      <w:r>
        <w:br/>
      </w:r>
      <w:r>
        <w:rPr>
          <w:b/>
        </w:rPr>
        <w:t>Lugar:</w:t>
      </w:r>
      <w:r>
        <w:t xml:space="preserve"> Art. 86.1 (#a86)</w:t>
      </w:r>
      <w:r>
        <w:br/>
      </w:r>
      <w:r>
        <w:rPr>
          <w:b/>
        </w:rPr>
        <w:t>Dirección:</w:t>
      </w:r>
      <w:r>
        <w:t xml:space="preserve"> </w:t>
      </w:r>
      <w:r>
        <w:t>https://www.boe.es/buscar/act.php?id=BOE-A-1978-31229</w:t>
      </w:r>
      <w:r>
        <w:br/>
      </w:r>
      <w:r>
        <w:rPr>
          <w:b/>
        </w:rPr>
        <w:t>Tal como está en la fuente:</w:t>
      </w:r>
      <w:r>
        <w:t xml:space="preserve"> 1. En caso de extraordinaria y urgente necesidad, el Gobierno podrá dictar disposiciones legislativas</w:t>
      </w:r>
      <w:r>
        <w:t>. Es la excepción: las leyes las hacen las Cortes.</w:t>
      </w:r>
    </w:p>
    <w:p>
      <w:pPr>
        <w:pStyle w:val="ListBullet"/>
      </w:pPr>
      <w:r>
        <w:rPr>
          <w:i/>
        </w:rPr>
        <w:t>El dato:</w:t>
      </w:r>
      <w:r>
        <w:t xml:space="preserve"> en 2024 se aprobaron 11 decretos-leyes y 13 leyes, 6 orgánicas y 7 ordinarias; en 2020, 39 decretos-leyes y 14 leyes</w:t>
      </w:r>
      <w:r>
        <w:t xml:space="preserve"> (CEOE, «La producción normativa en 2024», estudio privado con datos del BOE, p. 3)</w:t>
      </w:r>
      <w:r>
        <w:t>. De 2013 a 2024, 230 decretos-leyes y 314 leyes (suma de la obra con ese cuadro).</w:t>
      </w:r>
    </w:p>
    <w:p>
      <w:r>
        <w:rPr>
          <w:b/>
        </w:rPr>
        <w:t>Dónde está probado:</w:t>
      </w:r>
      <w:r>
        <w:t xml:space="preserve"> lo que se da por supuesto (</w:t>
      </w:r>
      <w:r>
        <w:t>5.1</w:t>
      </w:r>
      <w:r>
        <w:t xml:space="preserve">, n.º 14); la serie, con su cautela, en el </w:t>
      </w:r>
      <w:r>
        <w:t>anexo A</w:t>
      </w:r>
      <w:r>
        <w:t xml:space="preserve"> (art. 86).</w:t>
      </w:r>
    </w:p>
    <w:p>
      <w:r>
        <w:rPr>
          <w:b/>
        </w:rPr>
        <w:t>La pregunta:</w:t>
      </w:r>
      <w:r>
        <w:t xml:space="preserve"> ¿qué urgencia concreta justificó cada decreto-ley de esta legislatura?</w:t>
      </w:r>
    </w:p>
    <w:p>
      <w:r>
        <w:rPr>
          <w:b/>
        </w:rPr>
        <w:t>La defensa del Estado:</w:t>
      </w:r>
      <w:r>
        <w:t xml:space="preserve"> gobernar hoy exige agilidad, y el decreto-ley tiene control. «Los Decretos-leyes deberán ser inmediatamente sometidos a debate y votación de totalidad al Congreso de los Diputados […] en el plazo de los treinta días siguientes a su promulgación»</w:t>
      </w:r>
      <w:r>
        <w:t xml:space="preserve"> (Constitución, art. 86.2)</w:t>
      </w:r>
      <w:r>
        <w:br/>
      </w:r>
      <w:r>
        <w:rPr>
          <w:b/>
        </w:rPr>
        <w:t>leída en su fuente · Constitución, art. 86.2</w:t>
      </w:r>
      <w:r>
        <w:br/>
      </w:r>
      <w:r>
        <w:rPr>
          <w:b/>
        </w:rPr>
        <w:t>Archivo leído:</w:t>
      </w:r>
      <w:r>
        <w:t xml:space="preserve"> constitucion_1978.html (c5\constitucion_1978.html) · contraste del archivo de pasajes: ✔</w:t>
      </w:r>
      <w:r>
        <w:br/>
      </w:r>
      <w:r>
        <w:rPr>
          <w:b/>
        </w:rPr>
        <w:t>Lugar:</w:t>
      </w:r>
      <w:r>
        <w:t xml:space="preserve"> Art. 86.2</w:t>
      </w:r>
      <w:r>
        <w:br/>
      </w:r>
      <w:r>
        <w:rPr>
          <w:b/>
        </w:rPr>
        <w:t>Dirección:</w:t>
      </w:r>
      <w:r>
        <w:t xml:space="preserve"> </w:t>
      </w:r>
      <w:r>
        <w:t>https://www.boe.es/buscar/act.php?id=BOE-A-1978-31229</w:t>
      </w:r>
      <w:r>
        <w:br/>
      </w:r>
      <w:r>
        <w:rPr>
          <w:b/>
        </w:rPr>
        <w:t>Tal como está en la fuente:</w:t>
      </w:r>
      <w:r>
        <w:t xml:space="preserve"> 2. Los Decretos-leyes deberán ser inmediatamente sometidos a debate y votación de totalidad</w:t>
      </w:r>
      <w:r>
        <w:t>, y en ese plazo las Cortes «podrán tramitarlos como proyectos de ley por el procedimiento de urgencia»</w:t>
      </w:r>
      <w:r>
        <w:t xml:space="preserve"> (art. 86.3)</w:t>
      </w:r>
      <w:r>
        <w:br/>
      </w:r>
      <w:r>
        <w:rPr>
          <w:b/>
        </w:rPr>
        <w:t>leída en su fuente · art. 86.3</w:t>
      </w:r>
      <w:r>
        <w:br/>
      </w:r>
      <w:r>
        <w:rPr>
          <w:b/>
        </w:rPr>
        <w:t>Archivo leído:</w:t>
      </w:r>
      <w:r>
        <w:t xml:space="preserve"> ce.html (ant\c1\ce.html) · contraste del archivo de pasajes: ✔</w:t>
      </w:r>
      <w:r>
        <w:br/>
      </w:r>
      <w:r>
        <w:rPr>
          <w:b/>
        </w:rPr>
        <w:t>Lugar:</w:t>
      </w:r>
      <w:r>
        <w:t xml:space="preserve"> art. 86.3</w:t>
      </w:r>
      <w:r>
        <w:br/>
      </w:r>
      <w:r>
        <w:rPr>
          <w:b/>
        </w:rPr>
        <w:t>Tal como está en la fuente:</w:t>
      </w:r>
      <w:r>
        <w:t xml:space="preserve"> podrán tramitarlos como proyectos de ley por el procedimiento de urgencia</w:t>
      </w:r>
      <w:r>
        <w:t>. El Constitucional vigila el límite y anula lo que no se justifica. Y en la pandemia, el Gobierno usó con urgencia la herramienta legal que tenía, el estado de alarma, ante una emergencia sanitaria sin precedentes.</w:t>
      </w:r>
    </w:p>
    <w:p>
      <w:r>
        <w:rPr>
          <w:b/>
        </w:rPr>
        <w:t>Los contrapuntos de la obra:</w:t>
      </w:r>
    </w:p>
    <w:p>
      <w:pPr>
        <w:spacing w:after="60"/>
        <w:ind w:left="510" w:hanging="397"/>
      </w:pPr>
      <w:r>
        <w:rPr>
          <w:b w:val="0"/>
        </w:rPr>
        <w:t xml:space="preserve">1. </w:t>
      </w:r>
      <w:r>
        <w:rPr>
          <w:i/>
        </w:rPr>
        <w:t>Con su propia ley.</w:t>
      </w:r>
      <w:r>
        <w:t xml:space="preserve"> El Constitucional ha anulado decretos-leyes por no justificar la urgencia: en 2018, varias disposiciones del Real Decreto-ley 5/2013, «para cuya aprobación no se ha acreditado la concurrencia del presupuesto habilitante de la extraordinaria y urgente necesidad»</w:t>
      </w:r>
      <w:r>
        <w:t xml:space="preserve"> (STC 61/2018, síntesis y fallo)</w:t>
      </w:r>
      <w:r>
        <w:br/>
      </w:r>
      <w:r>
        <w:rPr>
          <w:b/>
        </w:rPr>
        <w:t>leída en su fuente · STC 61/2018, síntesis y fallo</w:t>
      </w:r>
      <w:r>
        <w:br/>
      </w:r>
      <w:r>
        <w:rPr>
          <w:b/>
        </w:rPr>
        <w:t>Archivo leído:</w:t>
      </w:r>
      <w:r>
        <w:t xml:space="preserve"> stc_61_2018.html (c10\stc_61_2018.html) · contraste del archivo de pasajes: ✔</w:t>
      </w:r>
      <w:r>
        <w:br/>
      </w:r>
      <w:r>
        <w:rPr>
          <w:b/>
        </w:rPr>
        <w:t>Lugar:</w:t>
      </w:r>
      <w:r>
        <w:t xml:space="preserve"> STC 61/2018, síntesis y fallo</w:t>
      </w:r>
      <w:r>
        <w:br/>
      </w:r>
      <w:r>
        <w:rPr>
          <w:b/>
        </w:rPr>
        <w:t>Tal como está en la fuente:</w:t>
      </w:r>
      <w:r>
        <w:t xml:space="preserve"> para cuya aprobación no se ha acreditado la concurrencia del presupuesto habilitante de la extraordinaria y urgente necesidad</w:t>
      </w:r>
      <w:r>
        <w:t>. Y el decreto-ley tiene otro límite, que tampoco se respetó: no puede afectar a los deberes de los ciudadanos. Por eso se anuló la amnistía fiscal de 2012: «uno de los deberes cuya afectación está vedada al decreto-ley es el deber de contribuir al sostenimiento de los gastos públicos»</w:t>
      </w:r>
      <w:r>
        <w:t xml:space="preserve"> (STC 73/2017)</w:t>
      </w:r>
      <w:r>
        <w:br/>
      </w:r>
      <w:r>
        <w:rPr>
          <w:b/>
        </w:rPr>
        <w:t>leída en su fuente · STC 73/2017</w:t>
      </w:r>
      <w:r>
        <w:br/>
      </w:r>
      <w:r>
        <w:rPr>
          <w:b/>
        </w:rPr>
        <w:t>Archivo leído:</w:t>
      </w:r>
      <w:r>
        <w:t xml:space="preserve"> rdl16_2025_prorroga_vulnerabilidad.html (c10\rdl16_2025_prorroga_vulnerabilidad.html) · contraste del archivo de pasajes: ✔</w:t>
      </w:r>
      <w:r>
        <w:br/>
      </w:r>
      <w:r>
        <w:rPr>
          <w:b/>
        </w:rPr>
        <w:t>Lugar:</w:t>
      </w:r>
      <w:r>
        <w:t xml:space="preserve"> STC 73/2017</w:t>
      </w:r>
      <w:r>
        <w:br/>
      </w:r>
      <w:r>
        <w:rPr>
          <w:b/>
        </w:rPr>
        <w:t>Tal como está en la fuente:</w:t>
      </w:r>
      <w:r>
        <w:t xml:space="preserve"> uno de los deberes cuya afectación está vedada al decreto-ley es el deber de contribuir al sostenimiento de los gastos públicos</w:t>
      </w:r>
      <w:r>
        <w:t>.</w:t>
      </w:r>
    </w:p>
    <w:p>
      <w:pPr>
        <w:spacing w:after="60"/>
        <w:ind w:left="510" w:hanging="397"/>
      </w:pPr>
      <w:r>
        <w:rPr>
          <w:b w:val="0"/>
        </w:rPr>
        <w:t xml:space="preserve">2. </w:t>
      </w:r>
      <w:r>
        <w:rPr>
          <w:i/>
        </w:rPr>
        <w:t>La excepción, convertida en costumbre.</w:t>
      </w:r>
      <w:r>
        <w:t xml:space="preserve"> De cada diez normas con rango de ley aprobadas entre 2013 y 2024, unas cuatro fueron decretos-leyes; en 2020, casi tres decretos-leyes por cada ley (el dato, arriba).</w:t>
      </w:r>
    </w:p>
    <w:p>
      <w:pPr>
        <w:spacing w:after="60"/>
        <w:ind w:left="510" w:hanging="397"/>
      </w:pPr>
      <w:r>
        <w:rPr>
          <w:b w:val="0"/>
        </w:rPr>
        <w:t xml:space="preserve">3. </w:t>
      </w:r>
      <w:r>
        <w:rPr>
          <w:i/>
        </w:rPr>
        <w:t>Convalidar no es legislar.</w:t>
      </w:r>
      <w:r>
        <w:t xml:space="preserve"> La votación de los treinta días es «de totalidad» (art. 86.2): sí o no a un texto que ya está en vigor, sin enmiendas en ese trámite. Tramitarlo como ley es posible, pero no obligado: «podrán» (art. 86.3).</w:t>
      </w:r>
    </w:p>
    <w:p>
      <w:pPr>
        <w:spacing w:after="60"/>
        <w:ind w:left="510" w:hanging="397"/>
      </w:pPr>
      <w:r>
        <w:rPr>
          <w:b w:val="0"/>
        </w:rPr>
        <w:t xml:space="preserve">4. </w:t>
      </w:r>
      <w:r>
        <w:rPr>
          <w:i/>
        </w:rPr>
        <w:t>La urgencia no cambia la Constitución.</w:t>
      </w:r>
      <w:r>
        <w:t xml:space="preserve"> El estado de alarma «no permite la suspensión de ningún derecho fundamental», y el Constitucional concluyó que el confinamiento general de 2020 «supone un vaciamiento de hecho o, si se quiere, una suspensión del derecho»; del segundo estado de alarma anuló, entre otros, la delegación en las autoridades autonómicas (</w:t>
      </w:r>
      <w:r>
        <w:t>7.2</w:t>
      </w:r>
      <w:r>
        <w:t>, n.º 9).</w:t>
      </w:r>
    </w:p>
    <w:p>
      <w:r>
        <w:rPr>
          <w:b/>
        </w:rPr>
        <w:t>Dónde aguanta:</w:t>
      </w:r>
      <w:r>
        <w:t xml:space="preserve"> el decreto-ley es constitucional y tiene control: el Congreso lo convalida o lo deroga en treinta días, puede tramitarlo como ley, y el Constitucional anula lo que no se justifica, y lo ha hecho. El Congreso también deroga: entre enero de 2024 y septiembre de 2026 derogó al menos siete reales decretos-leyes (7/2023, 9/2024, 7/2025, 16/2025, 2/2026, 8/2026 y 21/2026)</w:t>
      </w:r>
      <w:r>
        <w:t xml:space="preserve"> (BOE, «Referencias posteriores» de cada decreto-ley)</w:t>
      </w:r>
      <w:r>
        <w:t>. Y hay urgencias reales: una pandemia lo es. Lo que la obra discute es la frecuencia, no la figura.</w:t>
      </w:r>
    </w:p>
    <w:p>
      <w:r>
        <w:rPr>
          <w:b/>
        </w:rPr>
        <w:t>Límite honesto:</w:t>
      </w:r>
      <w:r>
        <w:t xml:space="preserve"> la obra no ha examinado la urgencia de cada decreto-ley: por eso la pregunta pide la de cada uno. Las cifras de normas son de un estudio privado hecho con datos del BOE.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[37.00-16.1 a 16.7, con Pr 21:5 en la Reina-Valera Antigua, sin los 40 decretos-leyes frente a 74 leyes (sin fuente oficial: la propia pieza 17.00 avisa de que la cifra «no se desglosa siempre igual entre fuentes») y con la amnistía fiscal corregida: no se anuló por falta de urgencia, sino por afectar al deber de contribuir (STC 73/2017; errata nueva, para aprobar); 00.1-4.5 a 4.8; 00.2-12.14 a 12.17, con la misma corrección; 11.00-9.1 y 9.2; 15.00-17.18 y 17.19; 00.00-6.2, con al menos siete decretos-leyes derogados entre 2024 y 2026 (no tres), leídos en el BOE el 7-oct. Las cifras de 2013 a 2024, leídas hoy en el informe de la CEOE ya bajado (c5, p. 3); la Constitución, art. 86, leída hoy en local; la STC 61/2018, con la versión del 07]</w:t>
      </w:r>
    </w:p>
    <w:p>
      <w:pPr>
        <w:pStyle w:val="Heading3"/>
      </w:pPr>
      <w:r>
        <w:t>Cargo 13. El cobro sin juez</w:t>
      </w:r>
    </w:p>
    <w:p>
      <w:r>
        <w:rPr>
          <w:b/>
        </w:rPr>
        <w:t>La presunción:</w:t>
      </w:r>
      <w:r>
        <w:t xml:space="preserve"> «Que el Estado puede ejecutar por sí mismo lo que reclama».</w:t>
      </w:r>
    </w:p>
    <w:p>
      <w:r>
        <w:rPr>
          <w:b/>
        </w:rPr>
        <w:t>La vara.</w:t>
      </w:r>
    </w:p>
    <w:p>
      <w:pPr>
        <w:pStyle w:val="ListBullet"/>
      </w:pPr>
      <w:r>
        <w:rPr>
          <w:i/>
        </w:rPr>
        <w:t>La ley de Dios:</w:t>
      </w:r>
      <w:r>
        <w:t xml:space="preserve"> «Cuando dieres á tu prójimo alguna cosa emprestada, no entrarás en su casa para tomarle prenda: Fuera estarás»</w:t>
      </w:r>
      <w:r>
        <w:t xml:space="preserve"> (Dt 24:10-11)</w:t>
      </w:r>
      <w:r>
        <w:br/>
      </w:r>
      <w:r>
        <w:rPr>
          <w:b/>
        </w:rPr>
        <w:t>leída en su fuente · Dt 24:10-11</w:t>
      </w:r>
      <w:r>
        <w:br/>
      </w:r>
      <w:r>
        <w:rPr>
          <w:b/>
        </w:rPr>
        <w:t>Archivo leído:</w:t>
      </w:r>
      <w:r>
        <w:t xml:space="preserve"> dt_24_10-11_rva.html (c9g\dt_24_10-11_rva.html) · contraste del archivo de pasajes: ✔</w:t>
      </w:r>
      <w:r>
        <w:br/>
      </w:r>
      <w:r>
        <w:rPr>
          <w:b/>
        </w:rPr>
        <w:t>Lugar:</w:t>
      </w:r>
      <w:r>
        <w:t xml:space="preserve"> Dt 24:10-11 (RVA)</w:t>
      </w:r>
      <w:r>
        <w:br/>
      </w:r>
      <w:r>
        <w:rPr>
          <w:b/>
        </w:rPr>
        <w:t>Tal como está en la fuente:</w:t>
      </w:r>
      <w:r>
        <w:t xml:space="preserve"> Cuando dieres á tu prójimo alguna cosa emprestada, no entrarás en su casa para tomarle prenda: 11 Fuera estarás, y el hombre á quien prestaste, te sacará afuera la prenda</w:t>
      </w:r>
      <w:r>
        <w:t>. Ni al acreedor deja entrar en casa del deudor (</w:t>
      </w:r>
      <w:r>
        <w:t>5.2</w:t>
      </w:r>
      <w:r>
        <w:t>).</w:t>
      </w:r>
    </w:p>
    <w:p>
      <w:pPr>
        <w:pStyle w:val="ListBullet"/>
      </w:pPr>
      <w:r>
        <w:rPr>
          <w:i/>
        </w:rPr>
        <w:t>Las tradiciones:</w:t>
      </w:r>
      <w:r>
        <w:t xml:space="preserve"> gobernar con humanidad es «ser parco en castigos y multas, y aligerar impuestos y tributos» (Mencio; </w:t>
      </w:r>
      <w:r>
        <w:t>3.2</w:t>
      </w:r>
      <w:r>
        <w:t>). Y en Roma, un decreto de Marco Aurelio: «hay violencia también siempre que alguien reclama sin juez lo que cree que se le debe» (</w:t>
      </w:r>
      <w:r>
        <w:t>8.5</w:t>
      </w:r>
      <w:r>
        <w:t>).</w:t>
      </w:r>
    </w:p>
    <w:p>
      <w:pPr>
        <w:pStyle w:val="ListBullet"/>
      </w:pPr>
      <w:r>
        <w:rPr>
          <w:i/>
        </w:rPr>
        <w:t>Su propia ley:</w:t>
      </w:r>
      <w:r>
        <w:t xml:space="preserve"> los actos de la Administración «serán inmediatamente ejecutivos»</w:t>
      </w:r>
      <w:r>
        <w:t xml:space="preserve"> (Ley 39/2015, art. 98.1)</w:t>
      </w:r>
      <w:r>
        <w:br/>
      </w:r>
      <w:r>
        <w:rPr>
          <w:b/>
        </w:rPr>
        <w:t>leída en su fuente · art. 98.1</w:t>
      </w:r>
      <w:r>
        <w:br/>
      </w:r>
      <w:r>
        <w:rPr>
          <w:b/>
        </w:rPr>
        <w:t>Archivo leído:</w:t>
      </w:r>
      <w:r>
        <w:t xml:space="preserve"> ley39_2015_procedimiento.html (c5\ley39_2015_procedimiento.html) · contraste del archivo de pasajes: ✔</w:t>
      </w:r>
      <w:r>
        <w:br/>
      </w:r>
      <w:r>
        <w:rPr>
          <w:b/>
        </w:rPr>
        <w:t>Lugar:</w:t>
      </w:r>
      <w:r>
        <w:t xml:space="preserve"> Art. 98.1 (#a98)</w:t>
      </w:r>
      <w:r>
        <w:br/>
      </w:r>
      <w:r>
        <w:rPr>
          <w:b/>
        </w:rPr>
        <w:t>Dirección:</w:t>
      </w:r>
      <w:r>
        <w:t xml:space="preserve"> </w:t>
      </w:r>
      <w:r>
        <w:t>https://www.boe.es/buscar/act.php?id=BOE-A-2015-10565</w:t>
      </w:r>
      <w:r>
        <w:br/>
      </w:r>
      <w:r>
        <w:rPr>
          <w:b/>
        </w:rPr>
        <w:t>Tal como está en la fuente:</w:t>
      </w:r>
      <w:r>
        <w:t xml:space="preserve"> 1. Los actos de las Administraciones Públicas sujetos al Derecho Administrativo serán inmediatamente ejecutivos</w:t>
      </w:r>
      <w:r>
        <w:t xml:space="preserve">, y ella misma puede ejecutarlos, incluido el «apremio sobre el patrimonio» (arts. 99 y 100.1.a; </w:t>
      </w:r>
      <w:r>
        <w:t>7.6</w:t>
      </w:r>
      <w:r>
        <w:t>). Un particular necesita siempre un título: «La acción ejecutiva deberá fundarse en un título que tenga aparejada ejecución»</w:t>
      </w:r>
      <w:r>
        <w:t xml:space="preserve"> (Ley de Enjuiciamiento Civil, art. 517.1)</w:t>
      </w:r>
      <w:r>
        <w:br/>
      </w:r>
      <w:r>
        <w:rPr>
          <w:b/>
        </w:rPr>
        <w:t>leída en su fuente · Ley de Enjuiciamiento Civil, art. 517.1</w:t>
      </w:r>
      <w:r>
        <w:br/>
      </w:r>
      <w:r>
        <w:rPr>
          <w:b/>
        </w:rPr>
        <w:t>Archivo leído:</w:t>
      </w:r>
      <w:r>
        <w:t xml:space="preserve"> lec_ley1_2000.html (c5\lec_ley1_2000.html) · contraste del archivo de pasajes: ✔</w:t>
      </w:r>
      <w:r>
        <w:br/>
      </w:r>
      <w:r>
        <w:rPr>
          <w:b/>
        </w:rPr>
        <w:t>Lugar:</w:t>
      </w:r>
      <w:r>
        <w:t xml:space="preserve"> Art. 517.1 (#a517)</w:t>
      </w:r>
      <w:r>
        <w:br/>
      </w:r>
      <w:r>
        <w:rPr>
          <w:b/>
        </w:rPr>
        <w:t>Dirección:</w:t>
      </w:r>
      <w:r>
        <w:t xml:space="preserve"> </w:t>
      </w:r>
      <w:r>
        <w:t>https://www.boe.es/buscar/act.php?id=BOE-A-2000-323</w:t>
      </w:r>
      <w:r>
        <w:br/>
      </w:r>
      <w:r>
        <w:rPr>
          <w:b/>
        </w:rPr>
        <w:t>Tal como está en la fuente:</w:t>
      </w:r>
      <w:r>
        <w:t xml:space="preserve"> 1. La acción ejecutiva deberá fundarse en un título que tenga aparejada ejecución.</w:t>
      </w:r>
      <w:r>
        <w:t xml:space="preserve">. Al que paga tarde se le aplica un recargo del 5, el 10 o el 20 % (Ley General Tributaria, art. 28); a Hacienda, cuando devuelve tarde, el interés, pero ningún recargo (art. 31.2; </w:t>
      </w:r>
      <w:r>
        <w:t>7.6</w:t>
      </w:r>
      <w:r>
        <w:t>).</w:t>
      </w:r>
    </w:p>
    <w:p>
      <w:r>
        <w:rPr>
          <w:b/>
        </w:rPr>
        <w:t>Dónde está probado:</w:t>
      </w:r>
      <w:r>
        <w:t xml:space="preserve"> lo que se da por supuesto (</w:t>
      </w:r>
      <w:r>
        <w:t>5.1</w:t>
      </w:r>
      <w:r>
        <w:t>, n.º 15 y 25) y el cobro blindado y el deber aplazado (</w:t>
      </w:r>
      <w:r>
        <w:t>7.6</w:t>
      </w:r>
      <w:r>
        <w:t>).</w:t>
      </w:r>
    </w:p>
    <w:p>
      <w:r>
        <w:rPr>
          <w:b/>
        </w:rPr>
        <w:t>La pregunta:</w:t>
      </w:r>
      <w:r>
        <w:t xml:space="preserve"> ¿por qué el recargo de apremio se aplica al ciudadano y no a Hacienda cuando devuelve tarde, y cuánto se recaudó por recargos en 2025?</w:t>
      </w:r>
    </w:p>
    <w:p>
      <w:r>
        <w:rPr>
          <w:b/>
        </w:rPr>
        <w:t>La defensa del Estado:</w:t>
      </w:r>
      <w:r>
        <w:t xml:space="preserve"> la Administración defiende intereses generales, no particulares; si tuviera que acudir a un juez para cada cobro, el sistema se colapsaría. Su ejecución está sujeta a recurso y a control judicial, puede suspenderse aportando garantía, y contra la providencia de apremio caben los motivos de oposición que fija la ley (Ley General Tributaria, art. 167.3; </w:t>
      </w:r>
      <w:r>
        <w:t>7.6</w:t>
      </w:r>
      <w:r>
        <w:t>). El recargo es un incentivo para pagar en plazo, y el interés de demora es el mismo para los dos (art. 31.2). La propiedad está reconocida: «Se reconoce el derecho a la propiedad privada y a la herencia»</w:t>
      </w:r>
      <w:r>
        <w:t xml:space="preserve"> (Constitución, art. 33.1)</w:t>
      </w:r>
      <w:r>
        <w:br/>
      </w:r>
      <w:r>
        <w:rPr>
          <w:b/>
        </w:rPr>
        <w:t>leída en su fuente · Constitución, art. 33.1</w:t>
      </w:r>
      <w:r>
        <w:br/>
      </w:r>
      <w:r>
        <w:rPr>
          <w:b/>
        </w:rPr>
        <w:t>Archivo leído:</w:t>
      </w:r>
      <w:r>
        <w:t xml:space="preserve"> constitucion_1978.html (c5\constitucion_1978.html) · contraste del archivo de pasajes: ✔</w:t>
      </w:r>
      <w:r>
        <w:br/>
      </w:r>
      <w:r>
        <w:rPr>
          <w:b/>
        </w:rPr>
        <w:t>Lugar:</w:t>
      </w:r>
      <w:r>
        <w:t xml:space="preserve"> Art. 33</w:t>
      </w:r>
      <w:r>
        <w:br/>
      </w:r>
      <w:r>
        <w:rPr>
          <w:b/>
        </w:rPr>
        <w:t>Dirección:</w:t>
      </w:r>
      <w:r>
        <w:t xml:space="preserve"> </w:t>
      </w:r>
      <w:r>
        <w:t>https://www.boe.es/buscar/act.php?id=BOE-A-1978-31229</w:t>
      </w:r>
      <w:r>
        <w:br/>
      </w:r>
      <w:r>
        <w:rPr>
          <w:b/>
        </w:rPr>
        <w:t>Tal como está en la fuente:</w:t>
      </w:r>
      <w:r>
        <w:t xml:space="preserve"> 1. Se reconoce el derecho a la propiedad privada y a la herencia. 2. La función social de estos derechos delimitará su contenido, de acuerdo con las leyes.</w:t>
      </w:r>
      <w:r>
        <w:t>, y desde 1811 el poder de gobernar y la propiedad son cosas distintas (</w:t>
      </w:r>
      <w:r>
        <w:t>6.3</w:t>
      </w:r>
      <w:r>
        <w:t>). La ley de la usura de 1908 regula los préstamos, no los tributos: el impuesto no es un préstamo (</w:t>
      </w:r>
      <w:r>
        <w:t>3.3</w:t>
      </w:r>
      <w:r>
        <w:t>). Y el silencio administrativo es una garantía para el ciudadano: le permite recurrir sin esperar indefinidamente.</w:t>
      </w:r>
    </w:p>
    <w:p>
      <w:r>
        <w:rPr>
          <w:b/>
        </w:rPr>
        <w:t>Los contrapuntos de la obra:</w:t>
      </w:r>
    </w:p>
    <w:p>
      <w:pPr>
        <w:spacing w:after="60"/>
        <w:ind w:left="510" w:hanging="397"/>
      </w:pPr>
      <w:r>
        <w:rPr>
          <w:b w:val="0"/>
        </w:rPr>
        <w:t xml:space="preserve">1. </w:t>
      </w:r>
      <w:r>
        <w:rPr>
          <w:i/>
        </w:rPr>
        <w:t>Con su propia ley.</w:t>
      </w:r>
      <w:r>
        <w:t xml:space="preserve"> La asimetría está en el recargo, no en el interés: el ciudadano paga recargo e intereses; Hacienda, solo el interés (</w:t>
      </w:r>
      <w:r>
        <w:t>7.6</w:t>
      </w:r>
      <w:r>
        <w:t>), que debe pagar «sin necesidad de que el obligado lo solicite»</w:t>
      </w:r>
      <w:r>
        <w:t xml:space="preserve"> (Ley General Tributaria, art. 31.2)</w:t>
      </w:r>
      <w:r>
        <w:br/>
      </w:r>
      <w:r>
        <w:rPr>
          <w:b/>
        </w:rPr>
        <w:t>leída en su fuente · ídem, arts. 31.2 y 32.2</w:t>
      </w:r>
      <w:r>
        <w:br/>
      </w:r>
      <w:r>
        <w:rPr>
          <w:b/>
        </w:rPr>
        <w:t>Archivo leído:</w:t>
      </w:r>
      <w:r>
        <w:t xml:space="preserve"> lgt_ley58_2003.html (c5\lgt_ley58_2003.html) · contraste del archivo de pasajes: ✔</w:t>
      </w:r>
      <w:r>
        <w:br/>
      </w:r>
      <w:r>
        <w:rPr>
          <w:b/>
        </w:rPr>
        <w:t>Lugar:</w:t>
      </w:r>
      <w:r>
        <w:t xml:space="preserve"> Ley General Tributaria, art. 31.2</w:t>
      </w:r>
      <w:r>
        <w:br/>
      </w:r>
      <w:r>
        <w:rPr>
          <w:b/>
        </w:rPr>
        <w:t>Tal como está en la fuente:</w:t>
      </w:r>
      <w:r>
        <w:t xml:space="preserve"> sin necesidad de que el obligado lo solicite</w:t>
      </w:r>
      <w:r>
        <w:t>.</w:t>
      </w:r>
    </w:p>
    <w:p>
      <w:pPr>
        <w:spacing w:after="60"/>
        <w:ind w:left="510" w:hanging="397"/>
      </w:pPr>
      <w:r>
        <w:rPr>
          <w:b w:val="0"/>
        </w:rPr>
        <w:t xml:space="preserve">2. </w:t>
      </w:r>
      <w:r>
        <w:rPr>
          <w:i/>
        </w:rPr>
        <w:t>El silencio pesa distinto.</w:t>
      </w:r>
      <w:r>
        <w:t xml:space="preserve"> La Administración «está obligada a dictar resolución expresa y a notificarla en todos los procedimientos» (Ley 39/2015, art. 21.1). Pero cuando el ciudadano calla, el sistema tiene recargo, sanción, apremio, caducidad y pérdida del plazo; cuando calla el sistema, el ciudadano tiene que acudir a un tribunal y esperar años (</w:t>
      </w:r>
      <w:r>
        <w:t>5.1</w:t>
      </w:r>
      <w:r>
        <w:t>, n.º 25).</w:t>
      </w:r>
    </w:p>
    <w:p>
      <w:pPr>
        <w:spacing w:after="60"/>
        <w:ind w:left="510" w:hanging="397"/>
      </w:pPr>
      <w:r>
        <w:rPr>
          <w:b w:val="0"/>
        </w:rPr>
        <w:t xml:space="preserve">3. </w:t>
      </w:r>
      <w:r>
        <w:rPr>
          <w:i/>
        </w:rPr>
        <w:t>El interés general cobra con recargo y se paga con la pérdida de valor.</w:t>
      </w:r>
      <w:r>
        <w:t xml:space="preserve"> La hucha de los trabajadores está invertida por ley en deuda del propio Estado, y en diez años rindió un 0,12 % al año, con los precios al 2,39 % (</w:t>
      </w:r>
      <w:r>
        <w:t>cargo 15</w:t>
      </w:r>
      <w:r>
        <w:t>). La pérdida de valor del dinero rebajó la deuda pública en 306.760 millones entre 2021 y 2025 (</w:t>
      </w:r>
      <w:r>
        <w:t>cargo 4</w:t>
      </w:r>
      <w:r>
        <w:t>). Y del rescate bancario, con 50.621 millones de recursos públicos empleados, el Banco de España daba en 2019 5.225 millones recuperados (</w:t>
      </w:r>
      <w:r>
        <w:t>7.2</w:t>
      </w:r>
      <w:r>
        <w:t>): al ciudadano que debe se le embarga sin juez; al rescatado no se le embargó.</w:t>
      </w:r>
    </w:p>
    <w:p>
      <w:pPr>
        <w:spacing w:after="60"/>
        <w:ind w:left="510" w:hanging="397"/>
      </w:pPr>
      <w:r>
        <w:rPr>
          <w:b w:val="0"/>
        </w:rPr>
        <w:t xml:space="preserve">4. </w:t>
      </w:r>
      <w:r>
        <w:rPr>
          <w:i/>
        </w:rPr>
        <w:t>La propiedad, con condiciones.</w:t>
      </w:r>
      <w:r>
        <w:t xml:space="preserve"> La misma Constitución dice: «La función social de estos derechos delimitará su contenido, de acuerdo con las leyes»</w:t>
      </w:r>
      <w:r>
        <w:t xml:space="preserve"> (art. 33.2)</w:t>
      </w:r>
      <w:r>
        <w:br/>
      </w:r>
      <w:r>
        <w:rPr>
          <w:b/>
        </w:rPr>
        <w:t>leída en su fuente · art. 33.2</w:t>
      </w:r>
      <w:r>
        <w:br/>
      </w:r>
      <w:r>
        <w:rPr>
          <w:b/>
        </w:rPr>
        <w:t>Archivo leído:</w:t>
      </w:r>
      <w:r>
        <w:t xml:space="preserve"> constitucion_1978.html (c5\constitucion_1978.html) · contraste del archivo de pasajes: ✔</w:t>
      </w:r>
      <w:r>
        <w:br/>
      </w:r>
      <w:r>
        <w:rPr>
          <w:b/>
        </w:rPr>
        <w:t>Lugar:</w:t>
      </w:r>
      <w:r>
        <w:t xml:space="preserve"> Art. 33</w:t>
      </w:r>
      <w:r>
        <w:br/>
      </w:r>
      <w:r>
        <w:rPr>
          <w:b/>
        </w:rPr>
        <w:t>Dirección:</w:t>
      </w:r>
      <w:r>
        <w:t xml:space="preserve"> </w:t>
      </w:r>
      <w:r>
        <w:t>https://www.boe.es/buscar/act.php?id=BOE-A-1978-31229</w:t>
      </w:r>
      <w:r>
        <w:br/>
      </w:r>
      <w:r>
        <w:rPr>
          <w:b/>
        </w:rPr>
        <w:t>Tal como está en la fuente:</w:t>
      </w:r>
      <w:r>
        <w:t xml:space="preserve"> 1. Se reconoce el derecho a la propiedad privada y a la herencia. 2. La función social de estos derechos delimitará su contenido, de acuerdo con las leyes.</w:t>
      </w:r>
      <w:r>
        <w:t>. La línea entre gobernar y poseer la sigue trazando quien gobierna (</w:t>
      </w:r>
      <w:r>
        <w:t>6.3</w:t>
      </w:r>
      <w:r>
        <w:t>); el mismo patrimonio pasa por varias capas de impuestos sin coordinación entre ellas (</w:t>
      </w:r>
      <w:r>
        <w:t>7.6</w:t>
      </w:r>
      <w:r>
        <w:t>); y la propiedad más común, el ahorro, pierde valor sin que nadie lo vote: 100 euros guardados el 1 de enero de 1971 compran hoy lo que entonces 3,90 (</w:t>
      </w:r>
      <w:r>
        <w:t>8.3</w:t>
      </w:r>
      <w:r>
        <w:t>).</w:t>
      </w:r>
    </w:p>
    <w:p>
      <w:pPr>
        <w:spacing w:after="60"/>
        <w:ind w:left="510" w:hanging="397"/>
      </w:pPr>
      <w:r>
        <w:rPr>
          <w:b w:val="0"/>
        </w:rPr>
        <w:t xml:space="preserve">5. </w:t>
      </w:r>
      <w:r>
        <w:rPr>
          <w:i/>
        </w:rPr>
        <w:t>La usura y el impuesto.</w:t>
      </w:r>
      <w:r>
        <w:t xml:space="preserve"> La obra concede que la ley de 1908 no se aplica a los tributos; su valor es de coherencia: el ordenamiento anula el cobro desproporcionado cuando lo hace un banco (</w:t>
      </w:r>
      <w:r>
        <w:t>3.3</w:t>
      </w:r>
      <w:r>
        <w:t>), y el Estado recaudó solo en 2023 unos 11.000 millones de más por no actualizar la escala del IRPF, sin que se votara una subida (</w:t>
      </w:r>
      <w:r>
        <w:t>8.3</w:t>
      </w:r>
      <w:r>
        <w:t>).</w:t>
      </w:r>
    </w:p>
    <w:p>
      <w:r>
        <w:rPr>
          <w:b/>
        </w:rPr>
        <w:t>Dónde aguanta:</w:t>
      </w:r>
      <w:r>
        <w:t xml:space="preserve"> la autotutela tiene un fin declarado, el interés general, y está sujeta a recurso y a suspensión con garantía; el interés de demora es el mismo para los dos; la separación de 1811 es un avance real; la ley de la usura no se aplica a los impuestos; y el sistema se frena alguna vez: la plusvalía municipal se anuló cuando la cuota superaba la ganancia (</w:t>
      </w:r>
      <w:r>
        <w:t>7.6</w:t>
      </w:r>
      <w:r>
        <w:t>).</w:t>
      </w:r>
    </w:p>
    <w:p>
      <w:r>
        <w:rPr>
          <w:b/>
        </w:rPr>
        <w:t>Límite honesto:</w:t>
      </w:r>
      <w:r>
        <w:t xml:space="preserve"> la obra no ha hallado una justificación oficial de por qué el recargo existe en una sola dirección, ni sabe cuánto se recauda por recargos: por eso lo pregunta. Y no prueba que la asimetría se busque: es la acumulación de capas creadas en momentos distintos (</w:t>
      </w:r>
      <w:r>
        <w:t>7.6</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[37.00-18.1 a 18.8, con Dt 24:10-11 en la Reina-Valera Antigua; 00.1-4.9 a 4.13, sin que «casi nadie» reclame los intereses ni que el Banco de España «dejó de publicar» su nota: sin fila; 00.1-6.17 a 6.20; 00.2-12.9 a 12.13; 03.00-34.8 y 34.9, sin el IBI: sin fila; 07.00-26.1 y 26.2; 10.00-18.14 y 18.15, sin la expropiación «a favor de un monopolio» como prueba: el Supremo la avaló (10.7); 21.00-14.6 y 14.7; 22.00-13.2 a 13.5, sin las multas de Madrid, ya en 9.1; 23.00-6.2 y 6.3. La Constitución, art. 33, leída hoy en local]</w:t>
      </w:r>
    </w:p>
    <w:p>
      <w:pPr>
        <w:pStyle w:val="Heading3"/>
      </w:pPr>
      <w:r>
        <w:t>Cargo 14. La deuda</w:t>
      </w:r>
    </w:p>
    <w:p>
      <w:r>
        <w:rPr>
          <w:b/>
        </w:rPr>
        <w:t>La presunción:</w:t>
      </w:r>
      <w:r>
        <w:t xml:space="preserve"> «Que la deuda del Estado es un gasto más».</w:t>
      </w:r>
    </w:p>
    <w:p>
      <w:r>
        <w:rPr>
          <w:b/>
        </w:rPr>
        <w:t>La vara.</w:t>
      </w:r>
    </w:p>
    <w:p>
      <w:pPr>
        <w:pStyle w:val="ListBullet"/>
      </w:pPr>
      <w:r>
        <w:rPr>
          <w:i/>
        </w:rPr>
        <w:t>La ley de Dios:</w:t>
      </w:r>
      <w:r>
        <w:t xml:space="preserve"> «AL cabo de siete años harás remisión. Y esta es la manera de la remisión: perdonará á su deudor todo aquél que hizo empréstito» (Dt 15:1-2; </w:t>
      </w:r>
      <w:r>
        <w:t>3.3</w:t>
      </w:r>
      <w:r>
        <w:t>); y «el que toma prestado, siervo es del que empresta»</w:t>
      </w:r>
      <w:r>
        <w:t xml:space="preserve"> (Pr 22:7)</w:t>
      </w:r>
      <w:r>
        <w:br/>
      </w:r>
      <w:r>
        <w:rPr>
          <w:b/>
        </w:rPr>
        <w:t>leída en su fuente · Pr 22:7</w:t>
      </w:r>
      <w:r>
        <w:br/>
      </w:r>
      <w:r>
        <w:rPr>
          <w:b/>
        </w:rPr>
        <w:t>Archivo leído:</w:t>
      </w:r>
      <w:r>
        <w:t xml:space="preserve"> pr_22_7_rva.html (c9a\pr_22_7_rva.html) · contraste del archivo de pasajes: ✔</w:t>
      </w:r>
      <w:r>
        <w:br/>
      </w:r>
      <w:r>
        <w:rPr>
          <w:b/>
        </w:rPr>
        <w:t>Lugar:</w:t>
      </w:r>
      <w:r>
        <w:t xml:space="preserve"> passage-text, v. 7</w:t>
      </w:r>
      <w:r>
        <w:br/>
      </w:r>
      <w:r>
        <w:rPr>
          <w:b/>
        </w:rPr>
        <w:t>Dirección:</w:t>
      </w:r>
      <w:r>
        <w:t xml:space="preserve"> </w:t>
      </w:r>
      <w:r>
        <w:t>https://www.biblegateway.com/passage/?search=Proverbs+22%3A7&amp;version=RVA</w:t>
      </w:r>
      <w:r>
        <w:br/>
      </w:r>
      <w:r>
        <w:rPr>
          <w:b/>
        </w:rPr>
        <w:t>Tal como está en la fuente:</w:t>
      </w:r>
      <w:r>
        <w:t xml:space="preserve"> El rico se enseñoreará de los pobres; Y el que toma prestado, siervo es del que empresta.</w:t>
      </w:r>
      <w:r>
        <w:t>.</w:t>
      </w:r>
    </w:p>
    <w:p>
      <w:pPr>
        <w:pStyle w:val="ListBullet"/>
      </w:pPr>
      <w:r>
        <w:rPr>
          <w:i/>
        </w:rPr>
        <w:t>Las tradiciones:</w:t>
      </w:r>
      <w:r>
        <w:t xml:space="preserve"> hacia el 2350 a. C., sobre el que vivía endeudado, el rey Urukagina «vació su prisión y estableció su remisión» (</w:t>
      </w:r>
      <w:r>
        <w:t>3.3</w:t>
      </w:r>
      <w:r>
        <w:t>).</w:t>
      </w:r>
    </w:p>
    <w:p>
      <w:pPr>
        <w:pStyle w:val="ListBullet"/>
      </w:pPr>
      <w:r>
        <w:rPr>
          <w:i/>
        </w:rPr>
        <w:t>Su propia ley:</w:t>
      </w:r>
      <w:r>
        <w:t xml:space="preserve"> el pago de la deuda «gozará de prioridad absoluta», y sus créditos «no podrán ser objeto de enmienda o modificación, mientras se ajusten a las condiciones de la ley de emisión»</w:t>
      </w:r>
      <w:r>
        <w:t xml:space="preserve"> (Constitución, art. 135.3)</w:t>
      </w:r>
      <w:r>
        <w:br/>
      </w:r>
      <w:r>
        <w:rPr>
          <w:b/>
        </w:rPr>
        <w:t>leída en su fuente · Constitución, art. 135.3</w:t>
      </w:r>
      <w:r>
        <w:br/>
      </w:r>
      <w:r>
        <w:rPr>
          <w:b/>
        </w:rPr>
        <w:t>Archivo leído:</w:t>
      </w:r>
      <w:r>
        <w:t xml:space="preserve"> ce.html (ant\c1\ce.html) · contraste del archivo de pasajes: ✔</w:t>
      </w:r>
      <w:r>
        <w:br/>
      </w:r>
      <w:r>
        <w:rPr>
          <w:b/>
        </w:rPr>
        <w:t>Lugar:</w:t>
      </w:r>
      <w:r>
        <w:t xml:space="preserve"> Constitución, art. 135.3</w:t>
      </w:r>
      <w:r>
        <w:br/>
      </w:r>
      <w:r>
        <w:rPr>
          <w:b/>
        </w:rPr>
        <w:t>Tal como está en la fuente:</w:t>
      </w:r>
      <w:r>
        <w:t xml:space="preserve"> no podrán ser objeto de enmienda o modificación, mientras se ajusten a las condiciones de la ley de emisión</w:t>
      </w:r>
      <w:r>
        <w:t>. Ningún otro gasto tiene esa prioridad escrita en la Constitución.</w:t>
      </w:r>
    </w:p>
    <w:p>
      <w:r>
        <w:rPr>
          <w:b/>
        </w:rPr>
        <w:t>Dónde está probado:</w:t>
      </w:r>
      <w:r>
        <w:t xml:space="preserve"> lo que se da por supuesto (</w:t>
      </w:r>
      <w:r>
        <w:t>5.1</w:t>
      </w:r>
      <w:r>
        <w:t>, n.º 8 y 24), la deuda primero (</w:t>
      </w:r>
      <w:r>
        <w:t>7.2</w:t>
      </w:r>
      <w:r>
        <w:t xml:space="preserve">, n.º 4; </w:t>
      </w:r>
      <w:r>
        <w:t>8.1</w:t>
      </w:r>
      <w:r>
        <w:t>), a dónde va cada euro (</w:t>
      </w:r>
      <w:r>
        <w:t>8.6</w:t>
      </w:r>
      <w:r>
        <w:t>) y la quiebra camuflada (</w:t>
      </w:r>
      <w:r>
        <w:t>9.1</w:t>
      </w:r>
      <w:r>
        <w:t>).</w:t>
      </w:r>
    </w:p>
    <w:p>
      <w:r>
        <w:rPr>
          <w:b/>
        </w:rPr>
        <w:t>La pregunta:</w:t>
      </w:r>
      <w:r>
        <w:t xml:space="preserve"> ¿cuánto ha rebajado la inflación desde 2021 el valor real de la deuda pública, y cuánto ha costado esa inflación a los ahorradores y al Fondo de Reserva?</w:t>
      </w:r>
    </w:p>
    <w:p>
      <w:r>
        <w:rPr>
          <w:b/>
        </w:rPr>
        <w:t>La defensa del Estado:</w:t>
      </w:r>
      <w:r>
        <w:t xml:space="preserve"> la deuda financia inversiones y permitió responder a crisis como la pandemia; la prioridad absoluta da confianza a quien presta y abarata los intereses, y las reglas europeas limitan el déficit. La reforma del art. 135 se hizo en plena crisis de la deuda, respondió a un compromiso europeo y tuvo un consenso muy amplio: 316 votos a favor y 5 en contra en el Congreso (</w:t>
      </w:r>
      <w:r>
        <w:t>8.1</w:t>
      </w:r>
      <w:r>
        <w:t>). La deuda pública se mide con la metodología europea, igual en todos los países, y las pensiones futuras son compromisos, no una deuda que venza hoy, como advierte el propio INE (</w:t>
      </w:r>
      <w:r>
        <w:t>5.1</w:t>
      </w:r>
      <w:r>
        <w:t>, n.º 24). Y el rescate bancario evitó el hundimiento del sistema financiero y protegió a los depositantes, garantizados hasta 100.000 euros (</w:t>
      </w:r>
      <w:r>
        <w:t>cargo 4</w:t>
      </w:r>
      <w:r>
        <w:t>).</w:t>
      </w:r>
    </w:p>
    <w:p>
      <w:r>
        <w:rPr>
          <w:b/>
        </w:rPr>
        <w:t>Los contrapuntos de la obra:</w:t>
      </w:r>
    </w:p>
    <w:p>
      <w:pPr>
        <w:spacing w:after="60"/>
        <w:ind w:left="510" w:hanging="397"/>
      </w:pPr>
      <w:r>
        <w:rPr>
          <w:b w:val="0"/>
        </w:rPr>
        <w:t xml:space="preserve">1. </w:t>
      </w:r>
      <w:r>
        <w:rPr>
          <w:i/>
        </w:rPr>
        <w:t>Con su propia ley.</w:t>
      </w:r>
      <w:r>
        <w:t xml:space="preserve"> La prioridad absoluta se aprobó por lectura única y sin referéndum: la Constitución solo lo exige si lo pide una décima parte de los miembros de una Cámara, y no se pidió (</w:t>
      </w:r>
      <w:r>
        <w:t>8.1</w:t>
      </w:r>
      <w:r>
        <w:t xml:space="preserve">). El acreedor pasó por delante de todo lo demás sin preguntar al pueblo, mientras la vivienda y el bien común son principios que no se pueden reclamar ante un juez (art. 53.3; </w:t>
      </w:r>
      <w:r>
        <w:t>cargo 10</w:t>
      </w:r>
      <w:r>
        <w:t>).</w:t>
      </w:r>
    </w:p>
    <w:p>
      <w:pPr>
        <w:spacing w:after="60"/>
        <w:ind w:left="510" w:hanging="397"/>
      </w:pPr>
      <w:r>
        <w:rPr>
          <w:b w:val="0"/>
        </w:rPr>
        <w:t xml:space="preserve">2. </w:t>
      </w:r>
      <w:r>
        <w:rPr>
          <w:i/>
        </w:rPr>
        <w:t>Lo que cuesta cada año.</w:t>
      </w:r>
      <w:r>
        <w:t xml:space="preserve"> En 2025, las administraciones pagaron 40.314 millones en intereses e invirtieron 49.632: por cada 5 euros que se invierten, se pagan unos 4 en intereses (</w:t>
      </w:r>
      <w:r>
        <w:t>7.2</w:t>
      </w:r>
      <w:r>
        <w:t>, n.º 4). Los intereses de 2024, 38.793 millones, superaron lo gastado en defensa, vivienda y medio ambiente juntos (</w:t>
      </w:r>
      <w:r>
        <w:t>cargo 10</w:t>
      </w:r>
      <w:r>
        <w:t>). Y en 2025 faltaron 40.330 millones, casi lo mismo que se pagó en intereses: cada año se pide prestado, más o menos, lo que cuestan los intereses de lo ya pedido (</w:t>
      </w:r>
      <w:r>
        <w:t>8.6</w:t>
      </w:r>
      <w:r>
        <w:t>).</w:t>
      </w:r>
    </w:p>
    <w:p>
      <w:pPr>
        <w:spacing w:after="60"/>
        <w:ind w:left="510" w:hanging="397"/>
      </w:pPr>
      <w:r>
        <w:rPr>
          <w:b w:val="0"/>
        </w:rPr>
        <w:t xml:space="preserve">3. </w:t>
      </w:r>
      <w:r>
        <w:rPr>
          <w:i/>
        </w:rPr>
        <w:t>Quién la paga.</w:t>
      </w:r>
      <w:r>
        <w:t xml:space="preserve"> La pérdida de valor del dinero la rebajó en 306.760 millones entre 2021 y 2025, más que los 172.603 millones de intereses pagados: la pagaron, en buena parte, los ahorradores (</w:t>
      </w:r>
      <w:r>
        <w:t>cargo 4</w:t>
      </w:r>
      <w:r>
        <w:t>).</w:t>
      </w:r>
    </w:p>
    <w:p>
      <w:pPr>
        <w:spacing w:after="60"/>
        <w:ind w:left="510" w:hanging="397"/>
      </w:pPr>
      <w:r>
        <w:rPr>
          <w:b w:val="0"/>
        </w:rPr>
        <w:t xml:space="preserve">4. </w:t>
      </w:r>
      <w:r>
        <w:rPr>
          <w:i/>
        </w:rPr>
        <w:t>La que no se publica.</w:t>
      </w:r>
      <w:r>
        <w:t xml:space="preserve"> Las pensiones ya prometidas sumaban 6,13 billones a finales de 2021, más de cuatro veces la deuda oficial de aquel año, y no figuran en ella (</w:t>
      </w:r>
      <w:r>
        <w:t>5.1</w:t>
      </w:r>
      <w:r>
        <w:t xml:space="preserve">, n.º 24; </w:t>
      </w:r>
      <w:r>
        <w:t>9.1</w:t>
      </w:r>
      <w:r>
        <w:t>). Y la Seguridad Social debe al Estado 126.170 millones en préstamos (</w:t>
      </w:r>
      <w:r>
        <w:t>9.1</w:t>
      </w:r>
      <w:r>
        <w:t>).</w:t>
      </w:r>
    </w:p>
    <w:p>
      <w:pPr>
        <w:spacing w:after="60"/>
        <w:ind w:left="510" w:hanging="397"/>
      </w:pPr>
      <w:r>
        <w:rPr>
          <w:b w:val="0"/>
        </w:rPr>
        <w:t xml:space="preserve">5. </w:t>
      </w:r>
      <w:r>
        <w:rPr>
          <w:i/>
        </w:rPr>
        <w:t>El rescate.</w:t>
      </w:r>
      <w:r>
        <w:t xml:space="preserve"> Costó 71.833 millones a 31 de diciembre de 2021, con 50.621 millones de recursos públicos empleados; en 2019, el Banco de España daba 5.225 millones recuperados (</w:t>
      </w:r>
      <w:r>
        <w:t>7.2</w:t>
      </w:r>
      <w:r>
        <w:t>).</w:t>
      </w:r>
    </w:p>
    <w:p>
      <w:pPr>
        <w:spacing w:after="60"/>
        <w:ind w:left="510" w:hanging="397"/>
      </w:pPr>
      <w:r>
        <w:rPr>
          <w:b w:val="0"/>
        </w:rPr>
        <w:t xml:space="preserve">6. </w:t>
      </w:r>
      <w:r>
        <w:rPr>
          <w:i/>
        </w:rPr>
        <w:t>Las tradiciones ponen un límite a la deuda</w:t>
      </w:r>
      <w:r>
        <w:t xml:space="preserve"> (Mesopotamia, Israel, Atenas y el islam): en Israel, cada siete años, remisión, y cada cincuenta, jubileo. El sistema hace lo contrario: no hay remisión periódica, y la deuda del Estado se paga con deuda nueva (</w:t>
      </w:r>
      <w:r>
        <w:t>3.3</w:t>
      </w:r>
      <w:r>
        <w:t xml:space="preserve">; </w:t>
      </w:r>
      <w:r>
        <w:t>9.1</w:t>
      </w:r>
      <w:r>
        <w:t>).</w:t>
      </w:r>
    </w:p>
    <w:p>
      <w:r>
        <w:rPr>
          <w:b/>
        </w:rPr>
        <w:t>Dónde aguanta:</w:t>
      </w:r>
      <w:r>
        <w:t xml:space="preserve"> la deuda financió la respuesta a crisis reales, la reforma de 2011 tuvo una mayoría muy amplia, y los depósitos están garantizados. La deuda de pensiones no vence hoy: esa defensa se oye entera frente al dictamen (</w:t>
      </w:r>
      <w:r>
        <w:t>11.4</w:t>
      </w:r>
      <w:r>
        <w:t>).</w:t>
      </w:r>
    </w:p>
    <w:p>
      <w:r>
        <w:rPr>
          <w:b/>
        </w:rPr>
        <w:t>Límite honesto:</w:t>
      </w:r>
      <w:r>
        <w:t xml:space="preserve"> la obra no puede probar cuánto más caros habrían sido los intereses sin la prioridad absoluta; prueba el orden escrito y lo que cuesta cada año. Y no prueba que la pérdida de valor se busque (</w:t>
      </w:r>
      <w:r>
        <w:t>cargo 4</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[37.00-19.1 a 19.7, con Dt 15:1-2 y Pr 22:7 en la Reina-Valera Antigua, y sin «en menos de dos semanas»: la obra tiene las fechas de las votaciones (8.1), no la de la propuesta; 00.1-2.30 a 2.33; 00.1-6.13 a 6.16, sin «casi cuatro veces»: el dato es «más de cuatro veces» la deuda de 2021 (9.1); 00.2-15.22 a 15.25; 15.00-17.8 a 17.11, sin que el Banco de España «dejó de publicar» su nota: sin fila; 22.00-13.12 y 13.13; 24.00-9.6 y 9.7. Que «prioridad absoluta» solo aparece en el art. 135.3, comprobado hoy en el texto local de la Constitución]</w:t>
      </w:r>
    </w:p>
    <w:p>
      <w:pPr>
        <w:pStyle w:val="Heading3"/>
      </w:pPr>
      <w:r>
        <w:t>Cargo 15. La hucha</w:t>
      </w:r>
    </w:p>
    <w:p>
      <w:r>
        <w:rPr>
          <w:b/>
        </w:rPr>
        <w:t>La presunción:</w:t>
      </w:r>
      <w:r>
        <w:t xml:space="preserve"> «Que se cotiza para la propia jubilación y que la hucha la guarda».</w:t>
      </w:r>
    </w:p>
    <w:p>
      <w:r>
        <w:rPr>
          <w:b/>
        </w:rPr>
        <w:t>La vara.</w:t>
      </w:r>
    </w:p>
    <w:p>
      <w:pPr>
        <w:pStyle w:val="ListBullet"/>
      </w:pPr>
      <w:r>
        <w:rPr>
          <w:i/>
        </w:rPr>
        <w:t>La ley de Dios:</w:t>
      </w:r>
      <w:r>
        <w:t xml:space="preserve"> quien retuvo «el depósito que se le encomendó […] lo restituirá, pues, por entero, y añadirá á ello la quinta parte»</w:t>
      </w:r>
      <w:r>
        <w:t xml:space="preserve"> (Lv 6:4-5)</w:t>
      </w:r>
      <w:r>
        <w:br/>
      </w:r>
      <w:r>
        <w:rPr>
          <w:b/>
        </w:rPr>
        <w:t>leída en su fuente · Lv 6:4-5</w:t>
      </w:r>
      <w:r>
        <w:br/>
      </w:r>
      <w:r>
        <w:rPr>
          <w:b/>
        </w:rPr>
        <w:t>Archivo leído:</w:t>
      </w:r>
      <w:r>
        <w:t xml:space="preserve"> lv_6_4-5_rva.html; rvr1960_lv_6_4-5.html (c9g\lv_6_4-5_rva.html) · contraste del archivo de pasajes: ✔</w:t>
      </w:r>
      <w:r>
        <w:br/>
      </w:r>
      <w:r>
        <w:rPr>
          <w:b/>
        </w:rPr>
        <w:t>Lugar:</w:t>
      </w:r>
      <w:r>
        <w:t xml:space="preserve"> RVA v. 4-5</w:t>
      </w:r>
      <w:r>
        <w:br/>
      </w:r>
      <w:r>
        <w:rPr>
          <w:b/>
        </w:rPr>
        <w:t>Dirección:</w:t>
      </w:r>
      <w:r>
        <w:t xml:space="preserve"> </w:t>
      </w:r>
      <w:r>
        <w:t>https://www.biblegateway.com/passage/?search=Leviticus+6%3A4-5&amp;version=RVA</w:t>
      </w:r>
      <w:r>
        <w:br/>
      </w:r>
      <w:r>
        <w:rPr>
          <w:b/>
        </w:rPr>
        <w:t>Tal como está en la fuente:</w:t>
      </w:r>
      <w:r>
        <w:t xml:space="preserve"> …restituirá aquello que robó, ó por el daño de la calumnia, ó el depósito que se le encomendó, ó lo perdido que halló, O todo aquello sobre que hubiere jurado falsamente; lo restituirá, pues, por entero, y añadirá á ello la quinta parte, que ha de pagar á aquel á quien pertenece en el día de su expiación.</w:t>
      </w:r>
      <w:r>
        <w:t>.</w:t>
      </w:r>
    </w:p>
    <w:p>
      <w:pPr>
        <w:pStyle w:val="ListBullet"/>
      </w:pPr>
      <w:r>
        <w:rPr>
          <w:i/>
        </w:rPr>
        <w:t>Las tradiciones:</w:t>
      </w:r>
      <w:r>
        <w:t xml:space="preserve"> «Alá os ordena que restituyáis los depósitos a sus propietarios»</w:t>
      </w:r>
      <w:r>
        <w:t xml:space="preserve"> (Corán 4:58, traducción de Julio Cortés)</w:t>
      </w:r>
      <w:r>
        <w:br/>
      </w:r>
      <w:r>
        <w:rPr>
          <w:b/>
        </w:rPr>
        <w:t>leída en su fuente · Corán 4:58, traducción de Julio Cortés</w:t>
      </w:r>
      <w:r>
        <w:br/>
      </w:r>
      <w:r>
        <w:rPr>
          <w:b/>
        </w:rPr>
        <w:t>Archivo leído:</w:t>
      </w:r>
      <w:r>
        <w:t xml:space="preserve"> 07.00-20.3_Coran_4-58_alquran-cloud.json (c4\coran_cortes_tanzil_completo.txt) · contraste del archivo de pasajes: ✔</w:t>
      </w:r>
      <w:r>
        <w:br/>
      </w:r>
      <w:r>
        <w:rPr>
          <w:b/>
        </w:rPr>
        <w:t>Dirección:</w:t>
      </w:r>
      <w:r>
        <w:t xml:space="preserve"> </w:t>
      </w:r>
      <w:r>
        <w:t>https://tanzil.net/trans/es.cortes</w:t>
      </w:r>
      <w:r>
        <w:br/>
      </w:r>
      <w:r>
        <w:rPr>
          <w:b/>
        </w:rPr>
        <w:t>Tal como está en la fuente:</w:t>
      </w:r>
      <w:r>
        <w:t xml:space="preserve"> Alá os ordena que restituyáis los depósitos a sus propietarios y que cuando decidáis entre los hombres lo hagáis con justicia.</w:t>
      </w:r>
      <w:r>
        <w:t>; y en las Leyes de Manu, «como se entregó el depósito, así debe devolverse» (</w:t>
      </w:r>
      <w:r>
        <w:t>3.2</w:t>
      </w:r>
      <w:r>
        <w:t>).</w:t>
      </w:r>
    </w:p>
    <w:p>
      <w:pPr>
        <w:pStyle w:val="ListBullet"/>
      </w:pPr>
      <w:r>
        <w:rPr>
          <w:i/>
        </w:rPr>
        <w:t>Su propia ley:</w:t>
      </w:r>
      <w:r>
        <w:t xml:space="preserve"> «El sistema financiero de todos los regímenes que integran el sistema de la Seguridad Social será el de reparto»</w:t>
      </w:r>
      <w:r>
        <w:t xml:space="preserve"> (Ley General de la Seguridad Social, art. 110.1)</w:t>
      </w:r>
      <w:r>
        <w:br/>
      </w:r>
      <w:r>
        <w:rPr>
          <w:b/>
        </w:rPr>
        <w:t>leída en su fuente · Ley General de la Seguridad Social, art. 110.1</w:t>
      </w:r>
      <w:r>
        <w:br/>
      </w:r>
      <w:r>
        <w:rPr>
          <w:b/>
        </w:rPr>
        <w:t>Archivo leído:</w:t>
      </w:r>
      <w:r>
        <w:t xml:space="preserve"> lgss_rdl8_2015.html (c5\lgss_rdl8_2015.html) · contraste del archivo de pasajes: ✔</w:t>
      </w:r>
      <w:r>
        <w:br/>
      </w:r>
      <w:r>
        <w:rPr>
          <w:b/>
        </w:rPr>
        <w:t>Lugar:</w:t>
      </w:r>
      <w:r>
        <w:t xml:space="preserve"> Art. 110.1 (#a110)</w:t>
      </w:r>
      <w:r>
        <w:br/>
      </w:r>
      <w:r>
        <w:rPr>
          <w:b/>
        </w:rPr>
        <w:t>Dirección:</w:t>
      </w:r>
      <w:r>
        <w:t xml:space="preserve"> </w:t>
      </w:r>
      <w:r>
        <w:t>https://www.boe.es/buscar/act.php?id=BOE-A-2015-11724</w:t>
      </w:r>
      <w:r>
        <w:br/>
      </w:r>
      <w:r>
        <w:rPr>
          <w:b/>
        </w:rPr>
        <w:t>Tal como está en la fuente:</w:t>
      </w:r>
      <w:r>
        <w:t xml:space="preserve"> 1. El sistema financiero de todos los regímenes que integran el sistema de la Seguridad Social será el de reparto</w:t>
      </w:r>
      <w:r>
        <w:t>: lo que se cotiza hoy paga las pensiones de hoy. Y la hucha, el Fondo de Reserva, se invierte por ley en títulos públicos (art. 122): hoy «está compuesta, exclusivamente, por deuda pública española» (</w:t>
      </w:r>
      <w:r>
        <w:t>5.1</w:t>
      </w:r>
      <w:r>
        <w:t>, n.º 2).</w:t>
      </w:r>
    </w:p>
    <w:p>
      <w:r>
        <w:rPr>
          <w:b/>
        </w:rPr>
        <w:t>Dónde está probado:</w:t>
      </w:r>
      <w:r>
        <w:t xml:space="preserve"> lo que se da por supuesto (</w:t>
      </w:r>
      <w:r>
        <w:t>5.1</w:t>
      </w:r>
      <w:r>
        <w:t>, n.º 1 y 2), el Fondo de Reserva en la auditoría (</w:t>
      </w:r>
      <w:r>
        <w:t>7.5</w:t>
      </w:r>
      <w:r>
        <w:t>) y la hucha (</w:t>
      </w:r>
      <w:r>
        <w:t>8.6</w:t>
      </w:r>
      <w:r>
        <w:t>).</w:t>
      </w:r>
    </w:p>
    <w:p>
      <w:r>
        <w:rPr>
          <w:b/>
        </w:rPr>
        <w:t>La pregunta:</w:t>
      </w:r>
      <w:r>
        <w:t xml:space="preserve"> ¿qué rentabilidad real ha obtenido el Fondo de Reserva en los últimos diez años, y por qué la ley impide invertirlo en otros activos?</w:t>
      </w:r>
    </w:p>
    <w:p>
      <w:r>
        <w:rPr>
          <w:b/>
        </w:rPr>
        <w:t>La defensa del Estado:</w:t>
      </w:r>
      <w:r>
        <w:t xml:space="preserve"> la pensión es contributiva: su cuantía depende de lo cotizado y de los años cotizados, y el Estado la garantiza: los poderes públicos garantizarán pensiones «adecuadas y periódicamente actualizadas» (Constitución, art. 50; </w:t>
      </w:r>
      <w:r>
        <w:t>cargo 4</w:t>
      </w:r>
      <w:r>
        <w:t>). La ley exige que el Fondo sea seguro y líquido, y la deuda pública española es lo más seguro y líquido disponible; el Fondo es un colchón, no un fondo de capitalización. Se creó para usarlo en años de déficit y se usó para pagar pensiones: no fue apropiación. Y se recupera: a 31 de marzo de 2026 tenía 15.267 millones, su máximo en diez años (</w:t>
      </w:r>
      <w:r>
        <w:t>7.5</w:t>
      </w:r>
      <w:r>
        <w:t>).</w:t>
      </w:r>
    </w:p>
    <w:p>
      <w:r>
        <w:rPr>
          <w:b/>
        </w:rPr>
        <w:t>Los contrapuntos de la obra:</w:t>
      </w:r>
    </w:p>
    <w:p>
      <w:pPr>
        <w:spacing w:after="60"/>
        <w:ind w:left="510" w:hanging="397"/>
      </w:pPr>
      <w:r>
        <w:rPr>
          <w:b w:val="0"/>
        </w:rPr>
        <w:t xml:space="preserve">1. </w:t>
      </w:r>
      <w:r>
        <w:rPr>
          <w:i/>
        </w:rPr>
        <w:t>Con su propia ley.</w:t>
      </w:r>
      <w:r>
        <w:t xml:space="preserve"> El sistema es de reparto (art. 110.1): la pensión de quien cotiza hoy dependerá de quienes coticen detrás, y hoy hay unos dos afiliados por cada pensión, con una fecundidad de 1,10 hijos por mujer (</w:t>
      </w:r>
      <w:r>
        <w:t>8.6</w:t>
      </w:r>
      <w:r>
        <w:t xml:space="preserve"> y </w:t>
      </w:r>
      <w:r>
        <w:t>8.8</w:t>
      </w:r>
      <w:r>
        <w:t>).</w:t>
      </w:r>
    </w:p>
    <w:p>
      <w:pPr>
        <w:spacing w:after="60"/>
        <w:ind w:left="510" w:hanging="397"/>
      </w:pPr>
      <w:r>
        <w:rPr>
          <w:b w:val="0"/>
        </w:rPr>
        <w:t xml:space="preserve">2. </w:t>
      </w:r>
      <w:r>
        <w:rPr>
          <w:i/>
        </w:rPr>
        <w:t>La hucha se vació, y su límite se quitó por decreto.</w:t>
      </w:r>
      <w:r>
        <w:t xml:space="preserve"> Desde 2012 se dejó sin efecto el límite anual de disposición: «no resultará de aplicación el límite del tres por ciento» (Real Decreto-ley 28/2012, art. 1; </w:t>
      </w:r>
      <w:r>
        <w:t>8.6</w:t>
      </w:r>
      <w:r>
        <w:t>). Entre 2012 y 2019 se dispusieron 80.337 millones, y en 2020 quedaban 2.138 (</w:t>
      </w:r>
      <w:r>
        <w:t>8.6</w:t>
      </w:r>
      <w:r>
        <w:t>).</w:t>
      </w:r>
    </w:p>
    <w:p>
      <w:pPr>
        <w:spacing w:after="60"/>
        <w:ind w:left="510" w:hanging="397"/>
      </w:pPr>
      <w:r>
        <w:rPr>
          <w:b w:val="0"/>
        </w:rPr>
        <w:t xml:space="preserve">3. </w:t>
      </w:r>
      <w:r>
        <w:rPr>
          <w:i/>
        </w:rPr>
        <w:t>Se rellena con una cotización nueva.</w:t>
      </w:r>
      <w:r>
        <w:t xml:space="preserve"> A 31 de diciembre de 2025 tenía 14.069,81 millones, gracias al mecanismo de equidad intergeneracional, que pagan trabajadores y empresas desde 2023: 10.150 millones de 2023 a 2025 (</w:t>
      </w:r>
      <w:r>
        <w:t>8.6</w:t>
      </w:r>
      <w:r>
        <w:t>).</w:t>
      </w:r>
    </w:p>
    <w:p>
      <w:pPr>
        <w:spacing w:after="60"/>
        <w:ind w:left="510" w:hanging="397"/>
      </w:pPr>
      <w:r>
        <w:rPr>
          <w:b w:val="0"/>
        </w:rPr>
        <w:t xml:space="preserve">4. </w:t>
      </w:r>
      <w:r>
        <w:rPr>
          <w:i/>
        </w:rPr>
        <w:t>Lo confiado no se devolvió entero.</w:t>
      </w:r>
      <w:r>
        <w:t xml:space="preserve"> En los últimos diez años rindió un 0,12 % al año, mientras los precios subían un 2,39 %: perdió valor real. El propio informe oficial compara: en diez años, el conjunto de los planes de pensiones rindió un 3,70 % al año (</w:t>
      </w:r>
      <w:r>
        <w:t>8.6</w:t>
      </w:r>
      <w:r>
        <w:t>).</w:t>
      </w:r>
    </w:p>
    <w:p>
      <w:pPr>
        <w:spacing w:after="60"/>
        <w:ind w:left="510" w:hanging="397"/>
      </w:pPr>
      <w:r>
        <w:rPr>
          <w:b w:val="0"/>
        </w:rPr>
        <w:t xml:space="preserve">5. </w:t>
      </w:r>
      <w:r>
        <w:rPr>
          <w:i/>
        </w:rPr>
        <w:t>Quién decide.</w:t>
      </w:r>
      <w:r>
        <w:t xml:space="preserve"> En el comité que decide dónde se invierte se sienta el Director General del Tesoro (</w:t>
      </w:r>
      <w:r>
        <w:t>5.1</w:t>
      </w:r>
      <w:r>
        <w:t>, n.º 2), y hoy se invierte solo en deuda del propio Estado.</w:t>
      </w:r>
    </w:p>
    <w:p>
      <w:pPr>
        <w:spacing w:after="60"/>
        <w:ind w:left="510" w:hanging="397"/>
      </w:pPr>
      <w:r>
        <w:rPr>
          <w:b w:val="0"/>
        </w:rPr>
        <w:t xml:space="preserve">6. </w:t>
      </w:r>
      <w:r>
        <w:rPr>
          <w:i/>
        </w:rPr>
        <w:t>La Seguridad Social, en números rojos.</w:t>
      </w:r>
      <w:r>
        <w:t xml:space="preserve"> Tiene patrimonio neto negativo desde 2017, 106.138,7 millones a 31 de diciembre de 2024, y debe al Estado 126.170 millones en préstamos (</w:t>
      </w:r>
      <w:r>
        <w:t>9.1</w:t>
      </w:r>
      <w:r>
        <w:t>).</w:t>
      </w:r>
    </w:p>
    <w:p>
      <w:r>
        <w:rPr>
          <w:b/>
        </w:rPr>
        <w:t>Dónde aguanta:</w:t>
      </w:r>
      <w:r>
        <w:t xml:space="preserve"> la pensión española es alta en comparación: la OCDE la calcula en el 80,4 % del salario, frente al 52,0 % de su media (</w:t>
      </w:r>
      <w:r>
        <w:t>8.4</w:t>
      </w:r>
      <w:r>
        <w:t>). El Fondo se usó para lo previsto, pagar pensiones, y no fue apropiación (</w:t>
      </w:r>
      <w:r>
        <w:t>7.5</w:t>
      </w:r>
      <w:r>
        <w:t>). Y hoy se recupera.</w:t>
      </w:r>
    </w:p>
    <w:p>
      <w:r>
        <w:rPr>
          <w:b/>
        </w:rPr>
        <w:t>Límite honesto:</w:t>
      </w:r>
      <w:r>
        <w:t xml:space="preserve"> la obra no prueba que otra inversión hubiera sido igual de segura; compara con el dato que da el propio informe oficial. Y no dice que la pensión no se vaya a pagar: dice que depende de quien venga detrás, no de lo que uno guardó.</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[37.00-21.1 a 21.8, con Lv 6:4-5 en la Reina-Valera Antigua; 00.1-2.1 a 2.9; 00.2-15.17 a 15.21; 19.00-35.10 y 35.11; 20.00-35.6 y 35.7, sin los 77.437 millones hasta 2018: la obra da la serie año por año (8.6); 34.00-13.6 y 13.7. Que el Director General del Tesoro «emite la deuda», sin fila: se dice solo que se sienta en el comité]</w:t>
      </w:r>
    </w:p>
    <w:p>
      <w:pPr>
        <w:pStyle w:val="Heading3"/>
      </w:pPr>
      <w:r>
        <w:t>Cargo 16. La obligación heredada</w:t>
      </w:r>
    </w:p>
    <w:p>
      <w:r>
        <w:rPr>
          <w:b/>
        </w:rPr>
        <w:t>La presunción:</w:t>
      </w:r>
      <w:r>
        <w:t xml:space="preserve"> «Que la persona acepta sus obligaciones con el Estado al nacer».</w:t>
      </w:r>
    </w:p>
    <w:p>
      <w:r>
        <w:rPr>
          <w:b/>
        </w:rPr>
        <w:t>La vara.</w:t>
      </w:r>
    </w:p>
    <w:p>
      <w:pPr>
        <w:pStyle w:val="ListBullet"/>
      </w:pPr>
      <w:r>
        <w:rPr>
          <w:i/>
        </w:rPr>
        <w:t>La ley de Dios:</w:t>
      </w:r>
      <w:r>
        <w:t xml:space="preserve"> «el hijo no llevará por el pecado del padre, ni el padre llevará por el pecado del hijo»</w:t>
      </w:r>
      <w:r>
        <w:t xml:space="preserve"> (Ez 18:20)</w:t>
      </w:r>
      <w:r>
        <w:br/>
      </w:r>
      <w:r>
        <w:rPr>
          <w:b/>
        </w:rPr>
        <w:t>leída en su fuente · Ez 18:20</w:t>
      </w:r>
      <w:r>
        <w:br/>
      </w:r>
      <w:r>
        <w:rPr>
          <w:b/>
        </w:rPr>
        <w:t>Archivo leído:</w:t>
      </w:r>
      <w:r>
        <w:t xml:space="preserve"> ez_18_20_rva.html (c9a\ez_18_20_rva.html) · contraste del archivo de pasajes: ✔</w:t>
      </w:r>
      <w:r>
        <w:br/>
      </w:r>
      <w:r>
        <w:rPr>
          <w:b/>
        </w:rPr>
        <w:t>Lugar:</w:t>
      </w:r>
      <w:r>
        <w:t xml:space="preserve"> passage-text, v. 20</w:t>
      </w:r>
      <w:r>
        <w:br/>
      </w:r>
      <w:r>
        <w:rPr>
          <w:b/>
        </w:rPr>
        <w:t>Dirección:</w:t>
      </w:r>
      <w:r>
        <w:t xml:space="preserve"> </w:t>
      </w:r>
      <w:r>
        <w:t>https://www.biblegateway.com/passage/?search=Ezekiel+18%3A20&amp;version=RVA</w:t>
      </w:r>
      <w:r>
        <w:br/>
      </w:r>
      <w:r>
        <w:rPr>
          <w:b/>
        </w:rPr>
        <w:t>Tal como está en la fuente:</w:t>
      </w:r>
      <w:r>
        <w:t xml:space="preserve"> El alma que pecare, esa morirá: el hijo no llevará por el pecado del padre, ni el padre llevará por el pecado del hijo: la justicia del justo será sobre él, y la impiedad el impío será sobre él.</w:t>
      </w:r>
      <w:r>
        <w:t>; «Los padres no morirán por los hijos, ni los hijos por los padres; cada uno morirá por su pecado»</w:t>
      </w:r>
      <w:r>
        <w:t xml:space="preserve"> (Dt 24:16)</w:t>
      </w:r>
      <w:r>
        <w:br/>
      </w:r>
      <w:r>
        <w:rPr>
          <w:b/>
        </w:rPr>
        <w:t>leída en su fuente · Dt 24:16</w:t>
      </w:r>
      <w:r>
        <w:br/>
      </w:r>
      <w:r>
        <w:rPr>
          <w:b/>
        </w:rPr>
        <w:t>Archivo leído:</w:t>
      </w:r>
      <w:r>
        <w:t xml:space="preserve"> dt_24_16_rva.html (c9a\dt_24_16_rva.html) · contraste del archivo de pasajes: ✔</w:t>
      </w:r>
      <w:r>
        <w:br/>
      </w:r>
      <w:r>
        <w:rPr>
          <w:b/>
        </w:rPr>
        <w:t>Lugar:</w:t>
      </w:r>
      <w:r>
        <w:t xml:space="preserve"> passage-text, v. 16</w:t>
      </w:r>
      <w:r>
        <w:br/>
      </w:r>
      <w:r>
        <w:rPr>
          <w:b/>
        </w:rPr>
        <w:t>Dirección:</w:t>
      </w:r>
      <w:r>
        <w:t xml:space="preserve"> </w:t>
      </w:r>
      <w:r>
        <w:t>https://www.biblegateway.com/passage/?search=Deuteronomy+24%3A16&amp;version=RVA</w:t>
      </w:r>
      <w:r>
        <w:br/>
      </w:r>
      <w:r>
        <w:rPr>
          <w:b/>
        </w:rPr>
        <w:t>Tal como está en la fuente:</w:t>
      </w:r>
      <w:r>
        <w:t xml:space="preserve"> Los padres no morirán por los hijos, ni los hijos por los padres; cada uno morirá por su pecado.</w:t>
      </w:r>
      <w:r>
        <w:t>.</w:t>
      </w:r>
    </w:p>
    <w:p>
      <w:pPr>
        <w:pStyle w:val="ListBullet"/>
      </w:pPr>
      <w:r>
        <w:rPr>
          <w:i/>
        </w:rPr>
        <w:t>Las tradiciones:</w:t>
      </w:r>
      <w:r>
        <w:t xml:space="preserve"> cada uno responde de lo suyo (</w:t>
      </w:r>
      <w:r>
        <w:t>3.2</w:t>
      </w:r>
      <w:r>
        <w:t>).</w:t>
      </w:r>
    </w:p>
    <w:p>
      <w:pPr>
        <w:pStyle w:val="ListBullet"/>
      </w:pPr>
      <w:r>
        <w:rPr>
          <w:i/>
        </w:rPr>
        <w:t>Su propia ley o el dato:</w:t>
      </w:r>
      <w:r>
        <w:t xml:space="preserve"> la obligación de inscribir nace antes de que el recién nacido pueda tener voluntad alguna. La dirección del hospital «comunicará en el plazo de setenta y dos horas a la Oficina del Registro Civil» cada nacimiento, y «El registro individual se abrirá con la inscripción de nacimiento» (Ley 20/2011, del Registro Civil, arts. 46 y 5.2; </w:t>
      </w:r>
      <w:r>
        <w:t>5.4</w:t>
      </w:r>
      <w:r>
        <w:t>). Nadie preguntó: el interesado tenía cero días (</w:t>
      </w:r>
      <w:r>
        <w:t>5.4</w:t>
      </w:r>
      <w:r>
        <w:t>).</w:t>
      </w:r>
    </w:p>
    <w:p>
      <w:r>
        <w:rPr>
          <w:b/>
        </w:rPr>
        <w:t>Dónde está probado:</w:t>
      </w:r>
      <w:r>
        <w:t xml:space="preserve"> la raíz: la presunción en lugar del consentimiento (</w:t>
      </w:r>
      <w:r>
        <w:t>5.4</w:t>
      </w:r>
      <w:r>
        <w:t>).</w:t>
      </w:r>
    </w:p>
    <w:p>
      <w:r>
        <w:rPr>
          <w:b/>
        </w:rPr>
        <w:t>La pregunta:</w:t>
      </w:r>
      <w:r>
        <w:t xml:space="preserve"> ¿qué consentimiento se pide a la persona antes de que nazcan sus obligaciones con el Estado?</w:t>
      </w:r>
    </w:p>
    <w:p>
      <w:r>
        <w:rPr>
          <w:b/>
        </w:rPr>
        <w:t>La defensa del Estado:</w:t>
      </w:r>
      <w:r>
        <w:t xml:space="preserve"> inscribir el nacimiento protege al niño: le da identidad, nacionalidad y acceso a sus derechos desde el primer día. Ni el abandonado queda fuera: las entidades públicas «deberán promover sin demora la inscripción de menores en situación de desamparo por abandono» (art. 48.1; </w:t>
      </w:r>
      <w:r>
        <w:t>5.4</w:t>
      </w:r>
      <w:r>
        <w:t xml:space="preserve">). Y la inscripción no crea a la persona: la personalidad la da el nacimiento, no el papel (Código Civil, arts. 29 y 30; </w:t>
      </w:r>
      <w:r>
        <w:t>2.1</w:t>
      </w:r>
      <w:r>
        <w:t>), y la idea de una persona jurídica oculta bajo el nombre propio no tiene respaldo (</w:t>
      </w:r>
      <w:r>
        <w:t>anexo E</w:t>
      </w:r>
      <w:r>
        <w:t>).</w:t>
      </w:r>
    </w:p>
    <w:p>
      <w:r>
        <w:rPr>
          <w:b/>
        </w:rPr>
        <w:t>Los contrapuntos de la obra:</w:t>
      </w:r>
    </w:p>
    <w:p>
      <w:pPr>
        <w:spacing w:after="60"/>
        <w:ind w:left="510" w:hanging="397"/>
      </w:pPr>
      <w:r>
        <w:rPr>
          <w:b w:val="0"/>
        </w:rPr>
        <w:t xml:space="preserve">1. </w:t>
      </w:r>
      <w:r>
        <w:rPr>
          <w:i/>
        </w:rPr>
        <w:t>Con su propia ley.</w:t>
      </w:r>
      <w:r>
        <w:t xml:space="preserve"> La obra concede la protección y no afirma ninguna persona oculta (</w:t>
      </w:r>
      <w:r>
        <w:t>5.4</w:t>
      </w:r>
      <w:r>
        <w:t xml:space="preserve">). Lo que pregunta es otra cosa: en setenta y dos horas se abre un registro con un código personal «única e invariable en el tiempo» (art. 6; </w:t>
      </w:r>
      <w:r>
        <w:t>5.4</w:t>
      </w:r>
      <w:r>
        <w:t>), sin que pueda estar presente el único interesado. ¿En qué otro vínculo de la vida se ata así a una persona? (</w:t>
      </w:r>
      <w:r>
        <w:t>5.4</w:t>
      </w:r>
      <w:r>
        <w:t>).</w:t>
      </w:r>
    </w:p>
    <w:p>
      <w:pPr>
        <w:spacing w:after="60"/>
        <w:ind w:left="510" w:hanging="397"/>
      </w:pPr>
      <w:r>
        <w:rPr>
          <w:b w:val="0"/>
        </w:rPr>
        <w:t xml:space="preserve">2. </w:t>
      </w:r>
      <w:r>
        <w:rPr>
          <w:i/>
        </w:rPr>
        <w:t>Lo que hereda quien nace hoy:</w:t>
      </w:r>
      <w:r>
        <w:t xml:space="preserve"> una parte de 1,7 billones de deuda y de 6,13 billones en pensiones ya prometidas (</w:t>
      </w:r>
      <w:r>
        <w:t>cargo 9</w:t>
      </w:r>
      <w:r>
        <w:t>); y, mientras es menor, la tasa de riesgo de pobreza o exclusión más alta de todas las edades: el 33,8 % en 2025 (</w:t>
      </w:r>
      <w:r>
        <w:t>7.5</w:t>
      </w:r>
      <w:r>
        <w:t>).</w:t>
      </w:r>
    </w:p>
    <w:p>
      <w:pPr>
        <w:spacing w:after="60"/>
        <w:ind w:left="510" w:hanging="397"/>
      </w:pPr>
      <w:r>
        <w:rPr>
          <w:b w:val="0"/>
        </w:rPr>
        <w:t xml:space="preserve">3. </w:t>
      </w:r>
      <w:r>
        <w:rPr>
          <w:i/>
        </w:rPr>
        <w:t>Lo vio Rousseau:</w:t>
      </w:r>
      <w:r>
        <w:t xml:space="preserve"> el padre puede estipular en nombre de sus hijos condiciones para su conservación y su bienestar, «pero no darlos de forma irrevocable y sin condición, porque tal don es contrario a los fines de la naturaleza». Y La Boétie: quienes nacen bajo el yugo «toman por natural el estado en que nacieron» (</w:t>
      </w:r>
      <w:r>
        <w:t>5.4</w:t>
      </w:r>
      <w:r>
        <w:t>).</w:t>
      </w:r>
    </w:p>
    <w:p>
      <w:r>
        <w:rPr>
          <w:b/>
        </w:rPr>
        <w:t>Dónde aguanta:</w:t>
      </w:r>
      <w:r>
        <w:t xml:space="preserve"> la inscripción protege de verdad: da identidad y nacionalidad, y sin ella el niño quedaría fuera de sus derechos. La obra no propone dejar de inscribir.</w:t>
      </w:r>
    </w:p>
    <w:p>
      <w:r>
        <w:rPr>
          <w:b/>
        </w:rPr>
        <w:t>Límite honesto:</w:t>
      </w:r>
      <w:r>
        <w:t xml:space="preserve"> un recién nacido no puede consentir nada, y alguien tiene que inscribirlo; la obra no tiene una alternativa probada. Pregunta por qué ese acto de protección se presume, después, consentimiento de todo lo demás.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[37.00-23.1 a 23.7, con Ez 18:20 en la Reina-Valera Antigua; 00.2-9.1 a 9.4]</w:t>
      </w:r>
    </w:p>
    <w:p>
      <w:pPr>
        <w:pStyle w:val="Heading3"/>
      </w:pPr>
      <w:r>
        <w:t>Cargo 17. La moneda</w:t>
      </w:r>
    </w:p>
    <w:p>
      <w:r>
        <w:rPr>
          <w:b/>
        </w:rPr>
        <w:t>La presunción:</w:t>
      </w:r>
      <w:r>
        <w:t xml:space="preserve"> «Que el dinero vale porque está respaldado o porque se confía en quien lo emite».</w:t>
      </w:r>
    </w:p>
    <w:p>
      <w:r>
        <w:rPr>
          <w:b/>
        </w:rPr>
        <w:t>La vara.</w:t>
      </w:r>
    </w:p>
    <w:p>
      <w:pPr>
        <w:pStyle w:val="ListBullet"/>
      </w:pPr>
      <w:r>
        <w:rPr>
          <w:i/>
        </w:rPr>
        <w:t>La ley de Dios:</w:t>
      </w:r>
      <w:r>
        <w:t xml:space="preserve"> «El peso falso abominación es á Jehová: Mas la pesa cabal le agrada»</w:t>
      </w:r>
      <w:r>
        <w:t xml:space="preserve"> (Pr 11:1)</w:t>
      </w:r>
      <w:r>
        <w:br/>
      </w:r>
      <w:r>
        <w:rPr>
          <w:b/>
        </w:rPr>
        <w:t>leída en su fuente · Pr 11:1</w:t>
      </w:r>
      <w:r>
        <w:br/>
      </w:r>
      <w:r>
        <w:rPr>
          <w:b/>
        </w:rPr>
        <w:t>Archivo leído:</w:t>
      </w:r>
      <w:r>
        <w:t xml:space="preserve"> rva_c3.txt; rvr1960_pr_11_1.html (c3\rva_c3.txt) · contraste del archivo de pasajes: ✔</w:t>
      </w:r>
      <w:r>
        <w:br/>
      </w:r>
      <w:r>
        <w:rPr>
          <w:b/>
        </w:rPr>
        <w:t>Lugar:</w:t>
      </w:r>
      <w:r>
        <w:t xml:space="preserve"> RVA</w:t>
      </w:r>
      <w:r>
        <w:br/>
      </w:r>
      <w:r>
        <w:rPr>
          <w:b/>
        </w:rPr>
        <w:t>Dirección:</w:t>
      </w:r>
      <w:r>
        <w:t xml:space="preserve"> </w:t>
      </w:r>
      <w:r>
        <w:t>https://www.biblegateway.com/passage/?search=Proverbs+11%3A1&amp;version=RVA</w:t>
      </w:r>
      <w:r>
        <w:br/>
      </w:r>
      <w:r>
        <w:rPr>
          <w:b/>
        </w:rPr>
        <w:t>Tal como está en la fuente:</w:t>
      </w:r>
      <w:r>
        <w:t xml:space="preserve"> EL peso falso abominación es á Jehová: Mas la pesa cabal le agrada.</w:t>
      </w:r>
      <w:r>
        <w:t>. La presunción deja que la medida del valor cambie sin que nadie lo consienta (</w:t>
      </w:r>
      <w:r>
        <w:t>5.2</w:t>
      </w:r>
      <w:r>
        <w:t>).</w:t>
      </w:r>
    </w:p>
    <w:p>
      <w:pPr>
        <w:pStyle w:val="ListBullet"/>
      </w:pPr>
      <w:r>
        <w:rPr>
          <w:i/>
        </w:rPr>
        <w:t>Las tradiciones:</w:t>
      </w:r>
      <w:r>
        <w:t xml:space="preserve"> ante el tribunal de Maat se juraba: «no he disminuido la medida de grano […] no he añadido pesos a la balanza» (Libro de los Muertos, cap. 125; </w:t>
      </w:r>
      <w:r>
        <w:t>3.2</w:t>
      </w:r>
      <w:r>
        <w:t>, P4).</w:t>
      </w:r>
    </w:p>
    <w:p>
      <w:pPr>
        <w:pStyle w:val="ListBullet"/>
      </w:pPr>
      <w:r>
        <w:rPr>
          <w:i/>
        </w:rPr>
        <w:t>Su propia ley o el dato:</w:t>
      </w:r>
      <w:r>
        <w:t xml:space="preserve"> desde 1971 ninguna moneda se puede cambiar por oro (</w:t>
      </w:r>
      <w:r>
        <w:t>8.1</w:t>
      </w:r>
      <w:r>
        <w:t>). El euro vale porque la ley lo declara: sus billetes y monedas «serán los únicos de curso legal en el territorio nacional»</w:t>
      </w:r>
      <w:r>
        <w:t xml:space="preserve"> (Ley 46/1998, art. 3)</w:t>
      </w:r>
      <w:r>
        <w:br/>
      </w:r>
      <w:r>
        <w:rPr>
          <w:b/>
        </w:rPr>
        <w:t>leída en su fuente · Ley 46/1998, art. 3</w:t>
      </w:r>
      <w:r>
        <w:br/>
      </w:r>
      <w:r>
        <w:rPr>
          <w:b/>
        </w:rPr>
        <w:t>Archivo leído:</w:t>
      </w:r>
      <w:r>
        <w:t xml:space="preserve"> ley46_1998_euro.html (c5\ley46_1998_euro.html) · contraste del archivo de pasajes: ✔</w:t>
      </w:r>
      <w:r>
        <w:br/>
      </w:r>
      <w:r>
        <w:rPr>
          <w:b/>
        </w:rPr>
        <w:t>Lugar:</w:t>
      </w:r>
      <w:r>
        <w:t xml:space="preserve"> Art. 3, apartado Dos (#a3)</w:t>
      </w:r>
      <w:r>
        <w:br/>
      </w:r>
      <w:r>
        <w:rPr>
          <w:b/>
        </w:rPr>
        <w:t>Dirección:</w:t>
      </w:r>
      <w:r>
        <w:t xml:space="preserve"> </w:t>
      </w:r>
      <w:r>
        <w:t>https://www.boe.es/buscar/act.php?id=BOE-A-1998-29216</w:t>
      </w:r>
      <w:r>
        <w:br/>
      </w:r>
      <w:r>
        <w:rPr>
          <w:b/>
        </w:rPr>
        <w:t>Tal como está en la fuente:</w:t>
      </w:r>
      <w:r>
        <w:t xml:space="preserve"> Los billetes y monedas denominados en euros serán los únicos de curso legal en el territorio nacional.</w:t>
      </w:r>
      <w:r>
        <w:t>. La Constitución reserva al Estado el «Sistema monetario» (art. 149.1.11.ª), pero la política monetaria del euro es competencia exclusiva de la Unión (</w:t>
      </w:r>
      <w:r>
        <w:t>5.1</w:t>
      </w:r>
      <w:r>
        <w:t xml:space="preserve">, n.º 12; </w:t>
      </w:r>
      <w:r>
        <w:t>8.3</w:t>
      </w:r>
      <w:r>
        <w:t>). Y 100 euros guardados el 1 de enero de 1971 compran hoy lo que entonces 3,90: se ha perdido el 96 % de su valor (</w:t>
      </w:r>
      <w:r>
        <w:t>8.3</w:t>
      </w:r>
      <w:r>
        <w:t>).</w:t>
      </w:r>
    </w:p>
    <w:p>
      <w:r>
        <w:rPr>
          <w:b/>
        </w:rPr>
        <w:t>Dónde está probado:</w:t>
      </w:r>
      <w:r>
        <w:t xml:space="preserve"> el dinero sin respaldo (</w:t>
      </w:r>
      <w:r>
        <w:t>5.1</w:t>
      </w:r>
      <w:r>
        <w:t xml:space="preserve">, n.º 11, y </w:t>
      </w:r>
      <w:r>
        <w:t>8.1</w:t>
      </w:r>
      <w:r>
        <w:t>), siete siglos de advertencias (</w:t>
      </w:r>
      <w:r>
        <w:t>8.2</w:t>
      </w:r>
      <w:r>
        <w:t>) y lo que les pasa a 100 euros guardados (</w:t>
      </w:r>
      <w:r>
        <w:t>8.3</w:t>
      </w:r>
      <w:r>
        <w:t>).</w:t>
      </w:r>
    </w:p>
    <w:p>
      <w:r>
        <w:rPr>
          <w:b/>
        </w:rPr>
        <w:t>La pregunta:</w:t>
      </w:r>
      <w:r>
        <w:t xml:space="preserve"> ¿qué respalda hoy el valor de un euro depositado en una cuenta, y cuánto valor ha perdido el dinero guardado desde 1999?</w:t>
      </w:r>
    </w:p>
    <w:p>
      <w:r>
        <w:rPr>
          <w:b/>
        </w:rPr>
        <w:t>La defensa del Estado:</w:t>
      </w:r>
      <w:r>
        <w:t xml:space="preserve"> el dinero sin respaldo en oro permite responder a las crisis, y la mejor evidencia histórica lo confirma: según un gobernador de la Reserva Federal, el momento en que cada país abandonó el patrón oro fue «el factor determinante de la gravedad de su depresión» (</w:t>
      </w:r>
      <w:r>
        <w:t>8.1</w:t>
      </w:r>
      <w:r>
        <w:t>). En la zona del euro, el dinero lo gobierna un banco central independiente cuyo mandato es «mantener la estabilidad de precios»</w:t>
      </w:r>
      <w:r>
        <w:t xml:space="preserve"> (Tratado de Funcionamiento de la UE, art. 127.1)</w:t>
      </w:r>
      <w:r>
        <w:br/>
      </w:r>
      <w:r>
        <w:rPr>
          <w:b/>
        </w:rPr>
        <w:t>leída en su fuente · Tratado de Funcionamiento de la UE, art. 127.1</w:t>
      </w:r>
      <w:r>
        <w:br/>
      </w:r>
      <w:r>
        <w:rPr>
          <w:b/>
        </w:rPr>
        <w:t>Archivo leído:</w:t>
      </w:r>
      <w:r>
        <w:t xml:space="preserve"> tue_version_consolidada_2016.html (c10\tue_version_consolidada_2016.html) · contraste del archivo de pasajes: ✔</w:t>
      </w:r>
      <w:r>
        <w:br/>
      </w:r>
      <w:r>
        <w:rPr>
          <w:b/>
        </w:rPr>
        <w:t>Lugar:</w:t>
      </w:r>
      <w:r>
        <w:t xml:space="preserve"> Tratado de Funcionamiento de la UE, art. 127.1</w:t>
      </w:r>
      <w:r>
        <w:br/>
      </w:r>
      <w:r>
        <w:rPr>
          <w:b/>
        </w:rPr>
        <w:t>Tal como está en la fuente:</w:t>
      </w:r>
      <w:r>
        <w:t xml:space="preserve"> mantener la estabilidad de precios</w:t>
      </w:r>
      <w:r>
        <w:t>, y una inflación baja y estable se considera sana. Recortar la moneda o devaluarla por decreto del rey es cosa del pasado: el Tratado prohíbe al banco central «la adquisición directa» de deuda a los Estados</w:t>
      </w:r>
      <w:r>
        <w:t xml:space="preserve"> (art. 123.1)</w:t>
      </w:r>
      <w:r>
        <w:t>. Hoy ningún gobierno devalúa para financiarse.</w:t>
      </w:r>
    </w:p>
    <w:p>
      <w:r>
        <w:rPr>
          <w:b/>
        </w:rPr>
        <w:t>Los contrapuntos de la obra:</w:t>
      </w:r>
    </w:p>
    <w:p>
      <w:pPr>
        <w:spacing w:after="60"/>
        <w:ind w:left="510" w:hanging="397"/>
      </w:pPr>
      <w:r>
        <w:rPr>
          <w:b w:val="0"/>
        </w:rPr>
        <w:t xml:space="preserve">1. </w:t>
      </w:r>
      <w:r>
        <w:rPr>
          <w:i/>
        </w:rPr>
        <w:t>Con su propia ley.</w:t>
      </w:r>
      <w:r>
        <w:t xml:space="preserve"> El Tratado solo dice «estabilidad de precios». La cifra no está en él: la pone el propio banco central, que la concreta en «aspirar a una inflación del 2 % a medio plazo» (</w:t>
      </w:r>
      <w:r>
        <w:t>8.3</w:t>
      </w:r>
      <w:r>
        <w:t>). Al 2 % anual, el dinero guardado pierde la mitad de su valor cada 35 años, más o menos; y desde el 1 de enero de 1971 ha perdido el 96 % (</w:t>
      </w:r>
      <w:r>
        <w:t>8.3</w:t>
      </w:r>
      <w:r>
        <w:t>). A eso se le llama estabilidad.</w:t>
      </w:r>
    </w:p>
    <w:p>
      <w:pPr>
        <w:spacing w:after="60"/>
        <w:ind w:left="510" w:hanging="397"/>
      </w:pPr>
      <w:r>
        <w:rPr>
          <w:b w:val="0"/>
        </w:rPr>
        <w:t xml:space="preserve">2. </w:t>
      </w:r>
      <w:r>
        <w:rPr>
          <w:i/>
        </w:rPr>
        <w:t>Ningún gobierno devalúa, pero el banco central compra.</w:t>
      </w:r>
      <w:r>
        <w:t xml:space="preserve"> La obra lo concede: ningún gobierno de la zona del euro decide hoy el valor de su moneda. Pero el balance del Eurosistema pasó de 2,78 billones de euros a final de 2015 a 8,84 billones en junio de 2022, y el Tribunal de Justicia declaró que el Tratado sí le permite comprar deuda «en los mercados secundarios» (</w:t>
      </w:r>
      <w:r>
        <w:t>8.1</w:t>
      </w:r>
      <w:r>
        <w:t xml:space="preserve">). Y quien lo advirtió no fue un crítico de fuera, sino el presidente del banco central alemán en 2012, con el </w:t>
      </w:r>
      <w:r>
        <w:rPr>
          <w:i/>
        </w:rPr>
        <w:t>Fausto</w:t>
      </w:r>
      <w:r>
        <w:t xml:space="preserve"> de Goethe: el Estado puede al principio librarse de su deuda, pero con el tiempo «toda esta actividad degenera en inflación» (</w:t>
      </w:r>
      <w:r>
        <w:t>8.2</w:t>
      </w:r>
      <w:r>
        <w:t>).</w:t>
      </w:r>
    </w:p>
    <w:p>
      <w:pPr>
        <w:spacing w:after="60"/>
        <w:ind w:left="510" w:hanging="397"/>
      </w:pPr>
      <w:r>
        <w:rPr>
          <w:b w:val="0"/>
        </w:rPr>
        <w:t xml:space="preserve">3. </w:t>
      </w:r>
      <w:r>
        <w:rPr>
          <w:i/>
        </w:rPr>
        <w:t>La pérdida no se reparte por igual.</w:t>
      </w:r>
      <w:r>
        <w:t xml:space="preserve"> El salario medio compra hoy lo mismo que en 2008; la escala del IRPF no se actualiza desde la reforma de 2014; y entre 2021 y 2025 la subida de los precios rebajó la deuda del Estado, en términos reales, en 306.760 millones de euros (</w:t>
      </w:r>
      <w:r>
        <w:t>8.3</w:t>
      </w:r>
      <w:r>
        <w:t xml:space="preserve">; </w:t>
      </w:r>
      <w:r>
        <w:t>cargo 4</w:t>
      </w:r>
      <w:r>
        <w:t>).</w:t>
      </w:r>
    </w:p>
    <w:p>
      <w:pPr>
        <w:spacing w:after="60"/>
        <w:ind w:left="510" w:hanging="397"/>
      </w:pPr>
      <w:r>
        <w:rPr>
          <w:b w:val="0"/>
        </w:rPr>
        <w:t xml:space="preserve">4. </w:t>
      </w:r>
      <w:r>
        <w:rPr>
          <w:i/>
        </w:rPr>
        <w:t>Siete siglos de avisos.</w:t>
      </w:r>
      <w:r>
        <w:t xml:space="preserve"> Ocho autores, desde Oresme, hacia 1355, hasta un presidente de banco central en 2012, advirtieron lo mismo: alterar la moneda traslada riqueza sin aprobar ningún impuesto (</w:t>
      </w:r>
      <w:r>
        <w:t>8.2</w:t>
      </w:r>
      <w:r>
        <w:t>). En 1609, Mariana lo puso por título: «El rey no puede bajar la moneda de peso ó de ley sin la voluntad del pueblo» (</w:t>
      </w:r>
      <w:r>
        <w:t>8.2</w:t>
      </w:r>
      <w:r>
        <w:t>).</w:t>
      </w:r>
    </w:p>
    <w:p>
      <w:r>
        <w:rPr>
          <w:b/>
        </w:rPr>
        <w:t>Dónde aguanta:</w:t>
      </w:r>
      <w:r>
        <w:t xml:space="preserve"> la rigidez del oro agravó la Gran Depresión, y la obra no propone volver a él. La versión simple, «un banco privado controla la moneda», no resiste la fuente: la Reserva Federal «no es "propiedad" de nadie» (</w:t>
      </w:r>
      <w:r>
        <w:t>8.1</w:t>
      </w:r>
      <w:r>
        <w:t>). Y el Tratado prohíbe de verdad la financiación directa de los Estados.</w:t>
      </w:r>
    </w:p>
    <w:p>
      <w:r>
        <w:rPr>
          <w:b/>
        </w:rPr>
        <w:t>Límite honesto:</w:t>
      </w:r>
      <w:r>
        <w:t xml:space="preserve"> ninguna fuente citada demuestra que exista una estrategia coordinada para que el dinero pierda valor: el patrón está documentado; la intención, no (</w:t>
      </w:r>
      <w:r>
        <w:t>8.1</w:t>
      </w:r>
      <w:r>
        <w:t xml:space="preserv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[37.00-25.1 a 25.8, con Pr 11:1 en la Reina-Valera Antigua; 00.1-2.42 a 2.45; 00.2-15.1 a 15.4; 24.00-9.2 y 9.3; 25.00-11.4 y 11.5. Es la defensa que el capítulo 8 promete oír aquí]</w:t>
      </w:r>
    </w:p>
    <w:p>
      <w:pPr>
        <w:pStyle w:val="Heading3"/>
      </w:pPr>
      <w:r>
        <w:t>Cargo 18. La creación del dinero</w:t>
      </w:r>
    </w:p>
    <w:p>
      <w:r>
        <w:rPr>
          <w:b/>
        </w:rPr>
        <w:t>La presunción:</w:t>
      </w:r>
      <w:r>
        <w:t xml:space="preserve"> «Que el banco presta los ahorros de otros».</w:t>
      </w:r>
    </w:p>
    <w:p>
      <w:r>
        <w:rPr>
          <w:b/>
        </w:rPr>
        <w:t>La vara.</w:t>
      </w:r>
    </w:p>
    <w:p>
      <w:pPr>
        <w:pStyle w:val="ListBullet"/>
      </w:pPr>
      <w:r>
        <w:rPr>
          <w:i/>
        </w:rPr>
        <w:t>La ley de Dios:</w:t>
      </w:r>
      <w:r>
        <w:t xml:space="preserve"> «Doble pesa y doble medida, Abominación son á Jehová ambas cosas»</w:t>
      </w:r>
      <w:r>
        <w:t xml:space="preserve"> (Pr 20:10)</w:t>
      </w:r>
      <w:r>
        <w:br/>
      </w:r>
      <w:r>
        <w:rPr>
          <w:b/>
        </w:rPr>
        <w:t>leída en su fuente · Pr 20:10</w:t>
      </w:r>
      <w:r>
        <w:br/>
      </w:r>
      <w:r>
        <w:rPr>
          <w:b/>
        </w:rPr>
        <w:t>Archivo leído:</w:t>
      </w:r>
      <w:r>
        <w:t xml:space="preserve"> pr_20_10_rva.html; rvr1960_pr_20_10.html (c9g\pr_20_10_rva.html) · contraste del archivo de pasajes: ✔</w:t>
      </w:r>
      <w:r>
        <w:br/>
      </w:r>
      <w:r>
        <w:rPr>
          <w:b/>
        </w:rPr>
        <w:t>Lugar:</w:t>
      </w:r>
      <w:r>
        <w:t xml:space="preserve"> RVA</w:t>
      </w:r>
      <w:r>
        <w:br/>
      </w:r>
      <w:r>
        <w:rPr>
          <w:b/>
        </w:rPr>
        <w:t>Dirección:</w:t>
      </w:r>
      <w:r>
        <w:t xml:space="preserve"> </w:t>
      </w:r>
      <w:r>
        <w:t>https://www.biblegateway.com/passage/?search=Proverbs+20%3A10&amp;version=RVA</w:t>
      </w:r>
      <w:r>
        <w:br/>
      </w:r>
      <w:r>
        <w:rPr>
          <w:b/>
        </w:rPr>
        <w:t>Tal como está en la fuente:</w:t>
      </w:r>
      <w:r>
        <w:t xml:space="preserve"> Doble pesa y doble medida, Abominación son á Jehová ambas cosas.</w:t>
      </w:r>
      <w:r>
        <w:t>.</w:t>
      </w:r>
    </w:p>
    <w:p>
      <w:pPr>
        <w:pStyle w:val="ListBullet"/>
      </w:pPr>
      <w:r>
        <w:rPr>
          <w:i/>
        </w:rPr>
        <w:t>Las tradiciones:</w:t>
      </w:r>
      <w:r>
        <w:t xml:space="preserve"> para Confucio, cuidar las pesas y medidas es la primera tarea del buen gobierno (Analectas 20.1), y las Leyes de Manu mandan revisarlas cada seis meses (VIII, 403; </w:t>
      </w:r>
      <w:r>
        <w:t>3.2</w:t>
      </w:r>
      <w:r>
        <w:t>, P4).</w:t>
      </w:r>
    </w:p>
    <w:p>
      <w:pPr>
        <w:pStyle w:val="ListBullet"/>
      </w:pPr>
      <w:r>
        <w:rPr>
          <w:i/>
        </w:rPr>
        <w:t>Su propia ley o el dato:</w:t>
      </w:r>
      <w:r>
        <w:t xml:space="preserve"> la ley da curso legal solo a los billetes y las monedas (Ley 46/1998, art. 3; </w:t>
      </w:r>
      <w:r>
        <w:t>cargo 17</w:t>
      </w:r>
      <w:r>
        <w:t>). Pero la mayor parte del dinero no son billetes: la crean los bancos al conceder préstamos. Lo dice el Banco de Inglaterra: «el acto de prestar crea los depósitos: al revés de la secuencia que suelen describir los manuales» (</w:t>
      </w:r>
      <w:r>
        <w:t>5.1</w:t>
      </w:r>
      <w:r>
        <w:t xml:space="preserve">, n.º 10; </w:t>
      </w:r>
      <w:r>
        <w:t>8.1</w:t>
      </w:r>
      <w:r>
        <w:t>).</w:t>
      </w:r>
    </w:p>
    <w:p>
      <w:r>
        <w:rPr>
          <w:b/>
        </w:rPr>
        <w:t>Dónde está probado:</w:t>
      </w:r>
      <w:r>
        <w:t xml:space="preserve"> quién crea el dinero (</w:t>
      </w:r>
      <w:r>
        <w:t>5.1</w:t>
      </w:r>
      <w:r>
        <w:t xml:space="preserve">, n.º 10, y </w:t>
      </w:r>
      <w:r>
        <w:t>8.1</w:t>
      </w:r>
      <w:r>
        <w:t>).</w:t>
      </w:r>
    </w:p>
    <w:p>
      <w:r>
        <w:rPr>
          <w:b/>
        </w:rPr>
        <w:t>La pregunta:</w:t>
      </w:r>
      <w:r>
        <w:t xml:space="preserve"> ¿qué parte del dinero en circulación en España son billetes y monedas, y qué parte son depósitos creados por la banca al prestar?</w:t>
      </w:r>
    </w:p>
    <w:p>
      <w:r>
        <w:rPr>
          <w:b/>
        </w:rPr>
        <w:t>La defensa del Estado:</w:t>
      </w:r>
      <w:r>
        <w:t xml:space="preserve"> la creación de dinero por los bancos al conceder crédito está regulada y supervisada, la vigila un banco central independiente con el mandato de la estabilidad de precios (</w:t>
      </w:r>
      <w:r>
        <w:t>cargo 17</w:t>
      </w:r>
      <w:r>
        <w:t>), y financia la vivienda, las empresas y el empleo: sin crédito no hay inversión. El propio Banco de Inglaterra la explica como el mecanismo normal de la economía moderna.</w:t>
      </w:r>
    </w:p>
    <w:p>
      <w:r>
        <w:rPr>
          <w:b/>
        </w:rPr>
        <w:t>Los contrapuntos de la obra:</w:t>
      </w:r>
    </w:p>
    <w:p>
      <w:pPr>
        <w:spacing w:after="60"/>
        <w:ind w:left="510" w:hanging="397"/>
      </w:pPr>
      <w:r>
        <w:rPr>
          <w:b w:val="0"/>
        </w:rPr>
        <w:t xml:space="preserve">1. </w:t>
      </w:r>
      <w:r>
        <w:rPr>
          <w:i/>
        </w:rPr>
        <w:t>Con su propia ley.</w:t>
      </w:r>
      <w:r>
        <w:t xml:space="preserve"> La ley protege el billete con el curso legal, pero el dinero de cada día nace en otro sitio: la mayor parte es un apunte en una cuenta, creado al conceder un préstamo (</w:t>
      </w:r>
      <w:r>
        <w:t>8.1</w:t>
      </w:r>
      <w:r>
        <w:t>). La obra no niega la función del crédito: documenta quién crea el dinero, con la fuente del propio regulador.</w:t>
      </w:r>
    </w:p>
    <w:p>
      <w:pPr>
        <w:spacing w:after="60"/>
        <w:ind w:left="510" w:hanging="397"/>
      </w:pPr>
      <w:r>
        <w:rPr>
          <w:b w:val="0"/>
        </w:rPr>
        <w:t xml:space="preserve">2. </w:t>
      </w:r>
      <w:r>
        <w:rPr>
          <w:i/>
        </w:rPr>
        <w:t>La pregunta, dentro de la casa.</w:t>
      </w:r>
      <w:r>
        <w:t xml:space="preserve"> En 2012, dos economistas del Fondo Monetario Internacional retomaron el Plan de Chicago, que proponía separar la creación del dinero del crédito exigiendo a los bancos reservas del 100 % (</w:t>
      </w:r>
      <w:r>
        <w:t>8.1</w:t>
      </w:r>
      <w:r>
        <w:t>). No es una política adoptada: es la prueba de que la pregunta se hace en el centro del sistema.</w:t>
      </w:r>
    </w:p>
    <w:p>
      <w:pPr>
        <w:spacing w:after="60"/>
        <w:ind w:left="510" w:hanging="397"/>
      </w:pPr>
      <w:r>
        <w:rPr>
          <w:b w:val="0"/>
        </w:rPr>
        <w:t xml:space="preserve">3. </w:t>
      </w:r>
      <w:r>
        <w:rPr>
          <w:i/>
        </w:rPr>
        <w:t>El saldo, medido.</w:t>
      </w:r>
      <w:r>
        <w:t xml:space="preserve"> A 31 de marzo de 2026, la deuda mundial marcó un récord de casi 353 billones de dólares, el 305 % del PIB mundial (</w:t>
      </w:r>
      <w:r>
        <w:t>8.1</w:t>
      </w:r>
      <w:r>
        <w:t>).</w:t>
      </w:r>
    </w:p>
    <w:p>
      <w:pPr>
        <w:spacing w:after="60"/>
        <w:ind w:left="510" w:hanging="397"/>
      </w:pPr>
      <w:r>
        <w:rPr>
          <w:b w:val="0"/>
        </w:rPr>
        <w:t xml:space="preserve">4. </w:t>
      </w:r>
      <w:r>
        <w:rPr>
          <w:i/>
        </w:rPr>
        <w:t>Quién gana.</w:t>
      </w:r>
      <w:r>
        <w:t xml:space="preserve"> El mayor deudor del país es el Estado: gasta más de lo que ingresa casi todos los años y paga lo que vence con deuda nueva (</w:t>
      </w:r>
      <w:r>
        <w:t>9.1</w:t>
      </w:r>
      <w:r>
        <w:t>), y la pérdida de valor del dinero rebajó su deuda, en términos reales, en 306.760 millones de euros entre 2021 y 2025 (</w:t>
      </w:r>
      <w:r>
        <w:t>8.3</w:t>
      </w:r>
      <w:r>
        <w:t>). Una medida que cambia sin que nadie lo consienta es la doble medida que la ley de Dios llama abominación (</w:t>
      </w:r>
      <w:r>
        <w:t>5.2</w:t>
      </w:r>
      <w:r>
        <w:t>).</w:t>
      </w:r>
    </w:p>
    <w:p>
      <w:r>
        <w:rPr>
          <w:b/>
        </w:rPr>
        <w:t>Dónde aguanta:</w:t>
      </w:r>
      <w:r>
        <w:t xml:space="preserve"> el crédito financia de verdad casas, empresas y empleo, y el proceso está regulado; la obra no propone prohibirlo. Y que un estudio lo probara «por primera vez» lo afirma su propio autor (</w:t>
      </w:r>
      <w:r>
        <w:t>8.1</w:t>
      </w:r>
      <w:r>
        <w:t>).</w:t>
      </w:r>
    </w:p>
    <w:p>
      <w:r>
        <w:rPr>
          <w:b/>
        </w:rPr>
        <w:t>Límite honesto:</w:t>
      </w:r>
      <w:r>
        <w:t xml:space="preserve"> la obra documenta quién crea el dinero; no prueba que crearlo así sea ilegítimo, ni qué parte de la subida de los precios se debe a ello.</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[37.00-26.1 a 26.8, con Pr 20:10 en la Reina-Valera Antigua; 00.1-2.38 a 2.41 y 00.2-15.5 a 15.8, sin la lectura de que quien recibe primero el dinero nuevo gasta a precios antiguos: sin fuente leída; 20.00-35.2 y 35.3; 24.00-9.4 y 9.5]</w:t>
      </w:r>
    </w:p>
    <w:p>
      <w:pPr>
        <w:pStyle w:val="Heading3"/>
      </w:pPr>
      <w:r>
        <w:t>Cargo 19. La inflación</w:t>
      </w:r>
    </w:p>
    <w:p>
      <w:r>
        <w:rPr>
          <w:b/>
        </w:rPr>
        <w:t>La presunción:</w:t>
      </w:r>
      <w:r>
        <w:t xml:space="preserve"> «Que la inflación es una subida de precios de la que tiene la culpa el mercado».</w:t>
      </w:r>
    </w:p>
    <w:p>
      <w:r>
        <w:rPr>
          <w:b/>
        </w:rPr>
        <w:t>La vara.</w:t>
      </w:r>
    </w:p>
    <w:p>
      <w:pPr>
        <w:pStyle w:val="ListBullet"/>
      </w:pPr>
      <w:r>
        <w:rPr>
          <w:i/>
        </w:rPr>
        <w:t>La ley de Dios:</w:t>
      </w:r>
      <w:r>
        <w:t xml:space="preserve"> «Tu plata se ha tornado escorias, tu vino mezclado está con agua»</w:t>
      </w:r>
      <w:r>
        <w:t xml:space="preserve"> (Is 1:22)</w:t>
      </w:r>
      <w:r>
        <w:br/>
      </w:r>
      <w:r>
        <w:rPr>
          <w:b/>
        </w:rPr>
        <w:t>leída en su fuente · Is 1:22</w:t>
      </w:r>
      <w:r>
        <w:br/>
      </w:r>
      <w:r>
        <w:rPr>
          <w:b/>
        </w:rPr>
        <w:t>Archivo leído:</w:t>
      </w:r>
      <w:r>
        <w:t xml:space="preserve"> is_1_22_rva.html; rvr1960_is_1_22.html (c9g\is_1_22_rva.html) · contraste del archivo de pasajes: ✔</w:t>
      </w:r>
      <w:r>
        <w:br/>
      </w:r>
      <w:r>
        <w:rPr>
          <w:b/>
        </w:rPr>
        <w:t>Lugar:</w:t>
      </w:r>
      <w:r>
        <w:t xml:space="preserve"> RVA</w:t>
      </w:r>
      <w:r>
        <w:br/>
      </w:r>
      <w:r>
        <w:rPr>
          <w:b/>
        </w:rPr>
        <w:t>Dirección:</w:t>
      </w:r>
      <w:r>
        <w:t xml:space="preserve"> </w:t>
      </w:r>
      <w:r>
        <w:t>https://www.biblegateway.com/passage/?search=Isaiah+1%3A22&amp;version=RVA</w:t>
      </w:r>
      <w:r>
        <w:br/>
      </w:r>
      <w:r>
        <w:rPr>
          <w:b/>
        </w:rPr>
        <w:t>Tal como está en la fuente:</w:t>
      </w:r>
      <w:r>
        <w:t xml:space="preserve"> Tu plata se ha tornado escorias, tu vino mezclado está con agua.</w:t>
      </w:r>
      <w:r>
        <w:t>; y los que dicen: «achicaremos la medida, y engrandeceremos el precio, y falsearemos el peso engañoso; Para comprar los pobres por dinero»</w:t>
      </w:r>
      <w:r>
        <w:t xml:space="preserve"> (Am 8:5-6)</w:t>
      </w:r>
      <w:r>
        <w:br/>
      </w:r>
      <w:r>
        <w:rPr>
          <w:b/>
        </w:rPr>
        <w:t>leída en su fuente · Am 8:5-6</w:t>
      </w:r>
      <w:r>
        <w:br/>
      </w:r>
      <w:r>
        <w:rPr>
          <w:b/>
        </w:rPr>
        <w:t>Archivo leído:</w:t>
      </w:r>
      <w:r>
        <w:t xml:space="preserve"> am_8_5-6_rva.html; rvr1960_am_8_5-6.html (biblia_rv1909\spaRV1909_texto_corrido.txt; c9g\am_8_5-6_rva.html) · contraste del archivo de pasajes: ✔</w:t>
      </w:r>
      <w:r>
        <w:br/>
      </w:r>
      <w:r>
        <w:rPr>
          <w:b/>
        </w:rPr>
        <w:t>Lugar:</w:t>
      </w:r>
      <w:r>
        <w:t xml:space="preserve"> RVA</w:t>
      </w:r>
      <w:r>
        <w:br/>
      </w:r>
      <w:r>
        <w:rPr>
          <w:b/>
        </w:rPr>
        <w:t>Dirección:</w:t>
      </w:r>
      <w:r>
        <w:t xml:space="preserve"> </w:t>
      </w:r>
      <w:r>
        <w:t>https://www.biblegateway.com/passage/?search=Amos+8%3A5-6&amp;version=RVA</w:t>
      </w:r>
      <w:r>
        <w:br/>
      </w:r>
      <w:r>
        <w:rPr>
          <w:b/>
        </w:rPr>
        <w:t>Tal como está en la fuente:</w:t>
      </w:r>
      <w:r>
        <w:t xml:space="preserve"> …y achicaremos la medida, y engrandeceremos el precio, y falsearemos el peso engañoso; Para comprar los pobres por dinero, y los necesitados por un par de zapatos…</w:t>
      </w:r>
      <w:r>
        <w:t>. La ley de Dios denuncia la causa: la plata degradada y la medida achicada (</w:t>
      </w:r>
      <w:r>
        <w:t>5.2</w:t>
      </w:r>
      <w:r>
        <w:t>).</w:t>
      </w:r>
    </w:p>
    <w:p>
      <w:pPr>
        <w:pStyle w:val="ListBullet"/>
      </w:pPr>
      <w:r>
        <w:rPr>
          <w:i/>
        </w:rPr>
        <w:t>Las tradiciones:</w:t>
      </w:r>
      <w:r>
        <w:t xml:space="preserve"> «¡Ay de los defraudadores, que, cuando piden a otros la medida, la exigen exacta, pero que, cuando ellos miden o pesan para otros, dan menos de lo debido!»</w:t>
      </w:r>
      <w:r>
        <w:t xml:space="preserve"> (Corán 83:1-3, traducción de Julio Cortés)</w:t>
      </w:r>
      <w:r>
        <w:br/>
      </w:r>
      <w:r>
        <w:rPr>
          <w:b/>
        </w:rPr>
        <w:t>leída en su fuente · Corán 83:1-3, traducción de Julio Cortés</w:t>
      </w:r>
      <w:r>
        <w:br/>
      </w:r>
      <w:r>
        <w:rPr>
          <w:b/>
        </w:rPr>
        <w:t>Archivo leído:</w:t>
      </w:r>
      <w:r>
        <w:t xml:space="preserve"> coran_cortes_texto_corrido.txt (c4\coran_cortes_texto_corrido.txt) · contraste del archivo de pasajes: ✔</w:t>
      </w:r>
      <w:r>
        <w:br/>
      </w:r>
      <w:r>
        <w:rPr>
          <w:b/>
        </w:rPr>
        <w:t>Lugar:</w:t>
      </w:r>
      <w:r>
        <w:t xml:space="preserve"> Corán 83:1-3, traducción de Julio Cortés</w:t>
      </w:r>
      <w:r>
        <w:br/>
      </w:r>
      <w:r>
        <w:rPr>
          <w:b/>
        </w:rPr>
        <w:t>Tal como está en la fuente:</w:t>
      </w:r>
      <w:r>
        <w:t xml:space="preserve"> ¡Ay de los defraudadores, que, cuando piden a otros la medida, la exigen exacta, pero que, cuando ellos miden o pesan para otros, dan menos de lo debido!</w:t>
      </w:r>
      <w:r>
        <w:t>.</w:t>
      </w:r>
    </w:p>
    <w:p>
      <w:pPr>
        <w:pStyle w:val="ListBullet"/>
      </w:pPr>
      <w:r>
        <w:rPr>
          <w:i/>
        </w:rPr>
        <w:t>Su propia ley o el dato:</w:t>
      </w:r>
      <w:r>
        <w:t xml:space="preserve"> la palabra nombraba la causa: en 1913, «expansión o aumento indebido, por emisión excesiva; dicho de la moneda». Hoy nombra el efecto: «Elevación del nivel general de precios». En 2001, la Academia aún decía «notable» y «con efectos desfavorables»; hoy ya no (</w:t>
      </w:r>
      <w:r>
        <w:t>5.1</w:t>
      </w:r>
      <w:r>
        <w:t>, n.º 22). Y la política monetaria del euro no la decide España, sino la Unión (</w:t>
      </w:r>
      <w:r>
        <w:t>5.1</w:t>
      </w:r>
      <w:r>
        <w:t>, n.º 12).</w:t>
      </w:r>
    </w:p>
    <w:p>
      <w:r>
        <w:rPr>
          <w:b/>
        </w:rPr>
        <w:t>Dónde está probado:</w:t>
      </w:r>
      <w:r>
        <w:t xml:space="preserve"> la palabra (</w:t>
      </w:r>
      <w:r>
        <w:t>5.1</w:t>
      </w:r>
      <w:r>
        <w:t>, n.º 22), el impuesto que sube solo (</w:t>
      </w:r>
      <w:r>
        <w:t>5.1</w:t>
      </w:r>
      <w:r>
        <w:t xml:space="preserve">, n.º 5, y </w:t>
      </w:r>
      <w:r>
        <w:t>8.3</w:t>
      </w:r>
      <w:r>
        <w:t>), siete siglos de advertencias (</w:t>
      </w:r>
      <w:r>
        <w:t>8.2</w:t>
      </w:r>
      <w:r>
        <w:t>), quién gana con la pérdida (</w:t>
      </w:r>
      <w:r>
        <w:t>8.3</w:t>
      </w:r>
      <w:r>
        <w:t>) y el salario frente a los precios, con el 4,3 % de agosto de 2026 (</w:t>
      </w:r>
      <w:r>
        <w:t>B.5</w:t>
      </w:r>
      <w:r>
        <w:t>).</w:t>
      </w:r>
    </w:p>
    <w:p>
      <w:r>
        <w:rPr>
          <w:b/>
        </w:rPr>
        <w:t>La pregunta:</w:t>
      </w:r>
      <w:r>
        <w:t xml:space="preserve"> ¿por qué se llama inflación a la subida de los precios, y no a la emisión de dinero que la palabra nombraba en su origen?</w:t>
      </w:r>
    </w:p>
    <w:p>
      <w:r>
        <w:rPr>
          <w:b/>
        </w:rPr>
        <w:t>La defensa del Estado:</w:t>
      </w:r>
      <w:r>
        <w:t xml:space="preserve"> los diccionarios recogen el uso, no lo deciden: hoy los economistas y las estadísticas oficiales miden la inflación por los precios, y la definición siguió ese uso. Una inflación baja y estable es deseable, porque la caída de los precios paraliza el consumo y agrava el peso de las deudas, como mostró la Gran Depresión (</w:t>
      </w:r>
      <w:r>
        <w:t>8.1</w:t>
      </w:r>
      <w:r>
        <w:t>); por eso el banco central tiene el mandato de «mantener la estabilidad de precios» (</w:t>
      </w:r>
      <w:r>
        <w:t>cargo 17</w:t>
      </w:r>
      <w:r>
        <w:t>). Y los precios suben también por causas reales: la subida de 2021 a 2023 se debió sobre todo al encarecimiento de la energía y a la guerra, no a ninguna decisión monetaria. Y los salarios no se han quedado atrás: en 2025, el coste salarial medio ganó poder adquisitivo.</w:t>
      </w:r>
    </w:p>
    <w:p>
      <w:r>
        <w:rPr>
          <w:b/>
        </w:rPr>
        <w:t>Los contrapuntos de la obra:</w:t>
      </w:r>
    </w:p>
    <w:p>
      <w:pPr>
        <w:spacing w:after="60"/>
        <w:ind w:left="510" w:hanging="397"/>
      </w:pPr>
      <w:r>
        <w:rPr>
          <w:b w:val="0"/>
        </w:rPr>
        <w:t xml:space="preserve">1. </w:t>
      </w:r>
      <w:r>
        <w:rPr>
          <w:i/>
        </w:rPr>
        <w:t>Con su propia ley.</w:t>
      </w:r>
      <w:r>
        <w:t xml:space="preserve"> El Tratado pide «estabilidad de precios», y el propio banco central la concreta en una subida del 2 % al año (</w:t>
      </w:r>
      <w:r>
        <w:t>8.3</w:t>
      </w:r>
      <w:r>
        <w:t>): la pérdida de valor no es un accidente, es una meta. Una subida concreta puede tener una causa concreta; pero en 55 años el índice de precios se ha multiplicado por 25,6 (</w:t>
      </w:r>
      <w:r>
        <w:t>8.3</w:t>
      </w:r>
      <w:r>
        <w:t>), y lo que ha perdido valor es la moneda (</w:t>
      </w:r>
      <w:r>
        <w:t>5.1</w:t>
      </w:r>
      <w:r>
        <w:t>, n.º 12).</w:t>
      </w:r>
    </w:p>
    <w:p>
      <w:pPr>
        <w:spacing w:after="60"/>
        <w:ind w:left="510" w:hanging="397"/>
      </w:pPr>
      <w:r>
        <w:rPr>
          <w:b w:val="0"/>
        </w:rPr>
        <w:t xml:space="preserve">2. </w:t>
      </w:r>
      <w:r>
        <w:rPr>
          <w:i/>
        </w:rPr>
        <w:t>Que el diccionario siga el uso no explica el cambio de uso.</w:t>
      </w:r>
      <w:r>
        <w:t xml:space="preserve"> La palabra pasó de la causa al efecto, y con el nombre del efecto la mirada se va a los precios y al mercado, y no a quien crea el dinero. Las ediciones de la Academia de 1925 a 1992 no se han podido consultar para saber cuándo cambió: la dificultad de acceso también es un dato (</w:t>
      </w:r>
      <w:r>
        <w:t>5.1</w:t>
      </w:r>
      <w:r>
        <w:t>, n.º 22).</w:t>
      </w:r>
    </w:p>
    <w:p>
      <w:pPr>
        <w:spacing w:after="60"/>
        <w:ind w:left="510" w:hanging="397"/>
      </w:pPr>
      <w:r>
        <w:rPr>
          <w:b w:val="0"/>
        </w:rPr>
        <w:t xml:space="preserve">3. </w:t>
      </w:r>
      <w:r>
        <w:rPr>
          <w:i/>
        </w:rPr>
        <w:t>Sea cual sea la causa, quién gana está medido.</w:t>
      </w:r>
      <w:r>
        <w:t xml:space="preserve"> Entre 2021 y 2025, la subida de los precios rebajó la deuda pública, en términos reales, en 306.760 millones de euros, más que los 172.603 millones pagados en intereses (</w:t>
      </w:r>
      <w:r>
        <w:t>8.3</w:t>
      </w:r>
      <w:r>
        <w:t>). Con la escala del IRPF sin actualizar, Hacienda recaudó unos 11.000 millones de más solo en 2023, según el Banco de España, y la Autoridad Fiscal pone «la progresividad en frío (seis décimas)» como el segundo factor del aumento de los ingresos entre 2019 y 2024 (</w:t>
      </w:r>
      <w:r>
        <w:t>8.3</w:t>
      </w:r>
      <w:r>
        <w:t>). Es un impuesto que sube sin que ninguna ley lo suba (</w:t>
      </w:r>
      <w:r>
        <w:t>5.1</w:t>
      </w:r>
      <w:r>
        <w:t>, n.º 5).</w:t>
      </w:r>
    </w:p>
    <w:p>
      <w:pPr>
        <w:spacing w:after="60"/>
        <w:ind w:left="510" w:hanging="397"/>
      </w:pPr>
      <w:r>
        <w:rPr>
          <w:b w:val="0"/>
        </w:rPr>
        <w:t xml:space="preserve">4. </w:t>
      </w:r>
      <w:r>
        <w:rPr>
          <w:i/>
        </w:rPr>
        <w:t>Lo advirtieron desde dentro.</w:t>
      </w:r>
      <w:r>
        <w:t xml:space="preserve"> «Con un proceso continuo de inflación, los Gobiernos pueden confiscar, en secreto y sin que nadie lo note, una parte importante de la riqueza de sus ciudadanos» (Keynes, 1919; </w:t>
      </w:r>
      <w:r>
        <w:t>8.2</w:t>
      </w:r>
      <w:r>
        <w:t>). Y Mariana, en 1609: el rey no puede bajar la moneda «sin la voluntad del pueblo» (</w:t>
      </w:r>
      <w:r>
        <w:t>8.2</w:t>
      </w:r>
      <w:r>
        <w:t>). Hoy la pérdida de valor tampoco se vota.</w:t>
      </w:r>
    </w:p>
    <w:p>
      <w:pPr>
        <w:spacing w:after="60"/>
        <w:ind w:left="510" w:hanging="397"/>
      </w:pPr>
      <w:r>
        <w:rPr>
          <w:b w:val="0"/>
        </w:rPr>
        <w:t xml:space="preserve">5. </w:t>
      </w:r>
      <w:r>
        <w:rPr>
          <w:i/>
        </w:rPr>
        <w:t>La ganancia de 2025 es corta, y en 2026 se revierte.</w:t>
      </w:r>
      <w:r>
        <w:t xml:space="preserve"> El coste salarial medio por trabajador subió un 3,2 % en 2025, con una inflación media del 2,7 %: unas cinco décimas de poder adquisitivo</w:t>
      </w:r>
      <w:r>
        <w:t xml:space="preserve"> (INE, Encuesta Trimestral de Coste Laboral; índice de precios de consumo, cálculo de la obra)</w:t>
      </w:r>
      <w:r>
        <w:t>. La inflación interanual de agosto de 2026 fue del 4,3 %, la más alta desde febrero de 2023</w:t>
      </w:r>
      <w:r>
        <w:t xml:space="preserve"> (INE, índice general, cálculo de la obra)</w:t>
      </w:r>
      <w:r>
        <w:t>, y la Autoridad Fiscal prevé que en 2026 los salarios reales «disminuyan de manera moderada»</w:t>
      </w:r>
      <w:r>
        <w:t xml:space="preserve"> (AIReF, informe sobre los presupuestos iniciales de 2026, 15-4-2026)</w:t>
      </w:r>
      <w:r>
        <w:br/>
      </w:r>
      <w:r>
        <w:rPr>
          <w:b/>
        </w:rPr>
        <w:t>leída en su fuente · AIReF, informe sobre los presupuestos iniciales de 2026, 15-4-2026</w:t>
      </w:r>
      <w:r>
        <w:br/>
      </w:r>
      <w:r>
        <w:rPr>
          <w:b/>
        </w:rPr>
        <w:t>Archivo leído:</w:t>
      </w:r>
      <w:r>
        <w:t xml:space="preserve"> airef_informe_presupuestos_iniciales_2026.pdf (c5b\airef_informe_presupuestos_iniciales_2026.pdf) · contraste del archivo de pasajes: ✔</w:t>
      </w:r>
      <w:r>
        <w:br/>
      </w:r>
      <w:r>
        <w:rPr>
          <w:b/>
        </w:rPr>
        <w:t>Lugar:</w:t>
      </w:r>
      <w:r>
        <w:t xml:space="preserve"> AIReF, informe sobre los presupuestos iniciales de 2026, 15-4-2026</w:t>
      </w:r>
      <w:r>
        <w:br/>
      </w:r>
      <w:r>
        <w:rPr>
          <w:b/>
        </w:rPr>
        <w:t>Tal como está en la fuente:</w:t>
      </w:r>
      <w:r>
        <w:t xml:space="preserve"> disminuyan de manera moderada</w:t>
      </w:r>
      <w:r>
        <w:t xml:space="preserve"> (</w:t>
      </w:r>
      <w:r>
        <w:t>B.5</w:t>
      </w:r>
      <w:r>
        <w:t>).</w:t>
      </w:r>
    </w:p>
    <w:p>
      <w:r>
        <w:rPr>
          <w:b/>
        </w:rPr>
        <w:t>Las demás defensas de este cargo.</w:t>
      </w:r>
    </w:p>
    <w:p>
      <w:pPr>
        <w:pStyle w:val="ListBullet"/>
      </w:pPr>
      <w:r>
        <w:rPr>
          <w:i/>
        </w:rPr>
        <w:t>«Salarios y pensiones se actualizan con los precios».</w:t>
      </w:r>
      <w:r>
        <w:t xml:space="preserve"> </w:t>
      </w:r>
      <w:r>
        <w:rPr>
          <w:i/>
        </w:rPr>
        <w:t>Respuesta:</w:t>
      </w:r>
      <w:r>
        <w:t xml:space="preserve"> las pensiones, sí: la Constitución obliga a actualizarlas (art. 50). El salario medio subió de 2008 a 2024 un 35,0 %, y los precios, un 35,1 %: compra lo mismo que hace dieciséis años (</w:t>
      </w:r>
      <w:r>
        <w:t>8.3</w:t>
      </w:r>
      <w:r>
        <w:t>). Y el ahorro no se actualiza con nada (</w:t>
      </w:r>
      <w:r>
        <w:t>cargo 4</w:t>
      </w:r>
      <w:r>
        <w:t>).</w:t>
      </w:r>
    </w:p>
    <w:p>
      <w:pPr>
        <w:pStyle w:val="ListBullet"/>
      </w:pPr>
      <w:r>
        <w:rPr>
          <w:i/>
        </w:rPr>
        <w:t>«El salario mínimo ha subido más que los precios».</w:t>
      </w:r>
      <w:r>
        <w:t xml:space="preserve"> </w:t>
      </w:r>
      <w:r>
        <w:rPr>
          <w:i/>
        </w:rPr>
        <w:t>Respuesta:</w:t>
      </w:r>
      <w:r>
        <w:t xml:space="preserve"> la obra lo concede: de unos 554 euros de 2025 en 1970 a 1.184 en 2025. Pero no siempre: entre 1980 y 2005 bajó, en euros de hoy, de 826 a 774 (</w:t>
      </w:r>
      <w:r>
        <w:t>8.3</w:t>
      </w:r>
      <w:r>
        <w:t>). Y el salario medio real, con la serie actual de la OCDE, subió de 1993 a 2023 un 4,0 % en España, frente al 28,1 % en Francia y el 21,0 % en Alemania (</w:t>
      </w:r>
      <w:r>
        <w:t>cargo 10</w:t>
      </w:r>
      <w:r>
        <w:t>).</w:t>
      </w:r>
    </w:p>
    <w:p>
      <w:pPr>
        <w:pStyle w:val="ListBullet"/>
      </w:pPr>
      <w:r>
        <w:rPr>
          <w:i/>
        </w:rPr>
        <w:t>«Para las rentas más bajas se ha ampliado la reducción por rendimientos del trabajo».</w:t>
      </w:r>
      <w:r>
        <w:t xml:space="preserve"> </w:t>
      </w:r>
      <w:r>
        <w:rPr>
          <w:i/>
        </w:rPr>
        <w:t>Respuesta:</w:t>
      </w:r>
      <w:r>
        <w:t xml:space="preserve"> compensa una parte. La escala estatal no se actualiza desde la reforma de 2014, salvo un tramo añadido en 2021 por encima de 300.000 euros, y el mínimo del contribuyente sigue en 5.550 euros desde 2015, con una subida de los precios del 28,0 % (</w:t>
      </w:r>
      <w:r>
        <w:t>5.1</w:t>
      </w:r>
      <w:r>
        <w:t>, n.º 5).</w:t>
      </w:r>
    </w:p>
    <w:p>
      <w:pPr>
        <w:pStyle w:val="ListBullet"/>
      </w:pPr>
      <w:r>
        <w:rPr>
          <w:i/>
        </w:rPr>
        <w:t>«Cuando suben los precios, el Estado pierde como todos: tiene que actualizar pensiones y sueldos públicos y pagar más por lo que compra».</w:t>
      </w:r>
      <w:r>
        <w:t xml:space="preserve"> </w:t>
      </w:r>
      <w:r>
        <w:rPr>
          <w:i/>
        </w:rPr>
        <w:t>Respuesta:</w:t>
      </w:r>
      <w:r>
        <w:t xml:space="preserve"> también gana como nadie, porque es el mayor deudor del país: la subida de los precios le rebajó la deuda más de lo que pagó en intereses (contrapunto 3), y su IRPF sube solo.</w:t>
      </w:r>
    </w:p>
    <w:p>
      <w:r>
        <w:rPr>
          <w:b/>
        </w:rPr>
        <w:t>Dónde aguanta:</w:t>
      </w:r>
      <w:r>
        <w:t xml:space="preserve"> la caída de los precios también es un peligro, y la rigidez del oro agravó la Gran Depresión (</w:t>
      </w:r>
      <w:r>
        <w:t>8.1</w:t>
      </w:r>
      <w:r>
        <w:t>). Una subida concreta puede deberse a la energía o a la escasez, y la obra no atribuye la de 2021 a 2023 a una sola causa. El salario mínimo ha ganado poder de compra, y el salario medio ganó unas cinco décimas en 2025 (</w:t>
      </w:r>
      <w:r>
        <w:t>B.5</w:t>
      </w:r>
      <w:r>
        <w:t>). Y es verdad que los diccionarios siguen el uso.</w:t>
      </w:r>
    </w:p>
    <w:p>
      <w:r>
        <w:rPr>
          <w:b/>
        </w:rPr>
        <w:t>Límite honesto:</w:t>
      </w:r>
      <w:r>
        <w:t xml:space="preserve"> la obra no prueba que la definición se cambiara a propósito, ni que la meta del 2 % se fije para rebajar la deuda: mide quién gana y quién pierde (</w:t>
      </w:r>
      <w:r>
        <w:t>11.2</w:t>
      </w:r>
      <w:r>
        <w:t>, n.º 15). Y no ha podido leer las ediciones de la Academia en las que cambió la palabra. La ganancia de 2025 es la del coste salarial medio por trabajador, no la de cada categoría, y la previsión de 2026 es una previsión.</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[37.00-27.1 a 27.8, con Is 1:22 y Am 8:5-6 en la Reina-Valera Antigua; 00.1-2.18 a 2.25 y 2.46 a 2.49, la reducción por rendimientos del trabajo como la dice 5.1, n.º 5, sin «algunas comunidades autónomas han actualizado su escala»: sin fila; 00.1-6.5 a 6.8; 00.2-15.9 a 15.12; 20.00-35.4 y 35.5, el salario real de la OCDE con la serie actual (07, 20.00-35.5); 20.00-35.16 y 35.17; 21.00-14.4 y 14.5, con las cifras de B.5: unas cinco décimas de 2025 (la pieza decía 0,7 y 0,9) y el 4,3 % de agosto de 2026; 25.00-11.2, 11.3, 11.6, 11.7, 11.10 y 11.11, sin la década perdida de Japón: sin fila]</w:t>
      </w:r>
    </w:p>
    <w:p>
      <w:pPr>
        <w:pStyle w:val="Heading3"/>
      </w:pPr>
      <w:r>
        <w:t>Cargo 20. Los actos del Estado son válidos</w:t>
      </w:r>
    </w:p>
    <w:p>
      <w:r>
        <w:rPr>
          <w:b/>
        </w:rPr>
        <w:t>La presunción:</w:t>
      </w:r>
      <w:r>
        <w:t xml:space="preserve"> «Que todo lo que hace la Administración es válido mientras no se demuestre lo contrario».</w:t>
      </w:r>
    </w:p>
    <w:p>
      <w:r>
        <w:rPr>
          <w:b/>
        </w:rPr>
        <w:t>La vara.</w:t>
      </w:r>
    </w:p>
    <w:p>
      <w:pPr>
        <w:pStyle w:val="ListBullet"/>
      </w:pPr>
      <w:r>
        <w:rPr>
          <w:i/>
        </w:rPr>
        <w:t>La ley de Dios:</w:t>
      </w:r>
      <w:r>
        <w:t xml:space="preserve"> «No juzguéis según lo que parece, mas juzgad justo juicio» (Jn 7:24; </w:t>
      </w:r>
      <w:r>
        <w:t>0.5</w:t>
      </w:r>
      <w:r>
        <w:t>). La presunción da por válido lo que hace el poder por venir de él (</w:t>
      </w:r>
      <w:r>
        <w:t>5.2</w:t>
      </w:r>
      <w:r>
        <w:t>).</w:t>
      </w:r>
    </w:p>
    <w:p>
      <w:pPr>
        <w:pStyle w:val="ListBullet"/>
      </w:pPr>
      <w:r>
        <w:rPr>
          <w:i/>
        </w:rPr>
        <w:t>Las tradiciones:</w:t>
      </w:r>
      <w:r>
        <w:t xml:space="preserve"> la tradición jurídica dejó escrito: «En caso de duda, a favor del administrado» (Diccionario panhispánico del español jurídico; </w:t>
      </w:r>
      <w:r>
        <w:t>8.5</w:t>
      </w:r>
      <w:r>
        <w:t>).</w:t>
      </w:r>
    </w:p>
    <w:p>
      <w:pPr>
        <w:pStyle w:val="ListBullet"/>
      </w:pPr>
      <w:r>
        <w:rPr>
          <w:i/>
        </w:rPr>
        <w:t>Su propia ley:</w:t>
      </w:r>
      <w:r>
        <w:t xml:space="preserve"> los actos de la Administración «se presumirán válidos y producirán efectos desde la fecha en que se dicten»</w:t>
      </w:r>
      <w:r>
        <w:t xml:space="preserve"> (Ley 39/2015, art. 39.1)</w:t>
      </w:r>
      <w:r>
        <w:br/>
      </w:r>
      <w:r>
        <w:rPr>
          <w:b/>
        </w:rPr>
        <w:t>leída en su fuente · Ley 39/2015, art. 39.1</w:t>
      </w:r>
      <w:r>
        <w:br/>
      </w:r>
      <w:r>
        <w:rPr>
          <w:b/>
        </w:rPr>
        <w:t>Archivo leído:</w:t>
      </w:r>
      <w:r>
        <w:t xml:space="preserve"> c5 (ídem) (ant\c1\l39.html) · contraste del archivo de pasajes: ✔</w:t>
      </w:r>
      <w:r>
        <w:br/>
      </w:r>
      <w:r>
        <w:rPr>
          <w:b/>
        </w:rPr>
        <w:t>Lugar:</w:t>
      </w:r>
      <w:r>
        <w:t xml:space="preserve"> Art. 39.1</w:t>
      </w:r>
      <w:r>
        <w:br/>
      </w:r>
      <w:r>
        <w:rPr>
          <w:b/>
        </w:rPr>
        <w:t>Tal como está en la fuente:</w:t>
      </w:r>
      <w:r>
        <w:t xml:space="preserve"> se presumirán válidos y producirán efectos desde la fecha en que se dicten</w:t>
      </w:r>
      <w:r>
        <w:t>, y son inmediatamente ejecutivos (</w:t>
      </w:r>
      <w:r>
        <w:t>cargo 13</w:t>
      </w:r>
      <w:r>
        <w:t>). Es el ciudadano quien tiene que probar lo contrario y recurrir (</w:t>
      </w:r>
      <w:r>
        <w:t>5.2</w:t>
      </w:r>
      <w:r>
        <w:t>).</w:t>
      </w:r>
    </w:p>
    <w:p>
      <w:r>
        <w:rPr>
          <w:b/>
        </w:rPr>
        <w:t>Dónde está probado:</w:t>
      </w:r>
      <w:r>
        <w:t xml:space="preserve"> la presunción (</w:t>
      </w:r>
      <w:r>
        <w:t>5.2</w:t>
      </w:r>
      <w:r>
        <w:t>, planta 4), la presunción en lo sancionador (</w:t>
      </w:r>
      <w:r>
        <w:t>7.5</w:t>
      </w:r>
      <w:r>
        <w:t>), el cobro sin juez y la palabra del inspector (</w:t>
      </w:r>
      <w:r>
        <w:t>7.6</w:t>
      </w:r>
      <w:r>
        <w:t>), y lo firme que no se revisa (</w:t>
      </w:r>
      <w:r>
        <w:t>5.1</w:t>
      </w:r>
      <w:r>
        <w:t xml:space="preserve">, n.º 9, y </w:t>
      </w:r>
      <w:r>
        <w:t>8.5</w:t>
      </w:r>
      <w:r>
        <w:t>).</w:t>
      </w:r>
    </w:p>
    <w:p>
      <w:r>
        <w:rPr>
          <w:b/>
        </w:rPr>
        <w:t>La pregunta:</w:t>
      </w:r>
      <w:r>
        <w:t xml:space="preserve"> ¿qué prueba aporta la Administración antes de presumir válido un acto que limita un derecho?</w:t>
      </w:r>
    </w:p>
    <w:p>
      <w:r>
        <w:rPr>
          <w:b/>
        </w:rPr>
        <w:t>La defensa del Estado:</w:t>
      </w:r>
      <w:r>
        <w:t xml:space="preserve"> sin la presunción de validez ninguna administración podría funcionar: tendría que acudir a un juez para cada acto. Todo acto se puede recurrir, y los que tienen vicios graves son nulos de pleno derecho, empezando por «Los que lesionen los derechos y libertades susceptibles de amparo constitucional»</w:t>
      </w:r>
      <w:r>
        <w:t xml:space="preserve"> (Ley 39/2015, art. 47.1.a)</w:t>
      </w:r>
      <w:r>
        <w:br/>
      </w:r>
      <w:r>
        <w:rPr>
          <w:b/>
        </w:rPr>
        <w:t>leída en su fuente · Ley 39/2015, art. 47.1.a</w:t>
      </w:r>
      <w:r>
        <w:br/>
      </w:r>
      <w:r>
        <w:rPr>
          <w:b/>
        </w:rPr>
        <w:t>Archivo leído:</w:t>
      </w:r>
      <w:r>
        <w:t xml:space="preserve"> l39.html (ant\c1\l39.html) · contraste del archivo de pasajes: ✔</w:t>
      </w:r>
      <w:r>
        <w:br/>
      </w:r>
      <w:r>
        <w:rPr>
          <w:b/>
        </w:rPr>
        <w:t>Lugar:</w:t>
      </w:r>
      <w:r>
        <w:t xml:space="preserve"> Ley 39/2015, art. 47.1.a</w:t>
      </w:r>
      <w:r>
        <w:br/>
      </w:r>
      <w:r>
        <w:rPr>
          <w:b/>
        </w:rPr>
        <w:t>Tal como está en la fuente:</w:t>
      </w:r>
      <w:r>
        <w:t xml:space="preserve"> Los que lesionen los derechos y libertades susceptibles de amparo constitucional</w:t>
      </w:r>
      <w:r>
        <w:t>. La liquidación de un impuesto la dicta un órgano técnico con los datos del propio contribuyente. La ley ya obliga a la Administración a actuar con «Buena fe, confianza legítima y lealtad institucional»</w:t>
      </w:r>
      <w:r>
        <w:t xml:space="preserve"> (Ley 40/2015, art. 3.1.e)</w:t>
      </w:r>
      <w:r>
        <w:br/>
      </w:r>
      <w:r>
        <w:rPr>
          <w:b/>
        </w:rPr>
        <w:t>leída en su fuente · Ley 40/2015, art. 3.1.e</w:t>
      </w:r>
      <w:r>
        <w:br/>
      </w:r>
      <w:r>
        <w:rPr>
          <w:b/>
        </w:rPr>
        <w:t>Archivo leído:</w:t>
      </w:r>
      <w:r>
        <w:t xml:space="preserve"> l40.html (ant\c1\l40.html) · contraste del archivo de pasajes: ✔</w:t>
      </w:r>
      <w:r>
        <w:br/>
      </w:r>
      <w:r>
        <w:rPr>
          <w:b/>
        </w:rPr>
        <w:t>Lugar:</w:t>
      </w:r>
      <w:r>
        <w:t xml:space="preserve"> Ley 40/2015, art. 3.1.e</w:t>
      </w:r>
      <w:r>
        <w:br/>
      </w:r>
      <w:r>
        <w:rPr>
          <w:b/>
        </w:rPr>
        <w:t>Tal como está en la fuente:</w:t>
      </w:r>
      <w:r>
        <w:t xml:space="preserve"> Buena fe, confianza legítima y lealtad institucional</w:t>
      </w:r>
      <w:r>
        <w:t>: la buena fe no es una cláusula que el ciudadano tenga que añadir a sus escritos (</w:t>
      </w:r>
      <w:r>
        <w:t>10.4</w:t>
      </w:r>
      <w:r>
        <w:t>), y declararla no exime de ninguna obligación. Y no hay ninguna persona jurídica en mayúsculas ni ningún fideicomiso secreto: el ciudadano es uno solo, con nombre y apellidos, y la ley se le aplica directamente, sin trucos (</w:t>
      </w:r>
      <w:r>
        <w:t>2.6</w:t>
      </w:r>
      <w:r>
        <w:t>).</w:t>
      </w:r>
    </w:p>
    <w:p>
      <w:r>
        <w:rPr>
          <w:b/>
        </w:rPr>
        <w:t>Los contrapuntos de la obra:</w:t>
      </w:r>
    </w:p>
    <w:p>
      <w:pPr>
        <w:spacing w:after="60"/>
        <w:ind w:left="510" w:hanging="397"/>
      </w:pPr>
      <w:r>
        <w:rPr>
          <w:b w:val="0"/>
        </w:rPr>
        <w:t xml:space="preserve">1. </w:t>
      </w:r>
      <w:r>
        <w:rPr>
          <w:i/>
        </w:rPr>
        <w:t>Con su propia ley.</w:t>
      </w:r>
      <w:r>
        <w:t xml:space="preserve"> Cuando la Administración sanciona, la presunción cambia de lado. La ley reconoce al presunto responsable «la presunción de no existencia de responsabilidad administrativa mientras no se demuestre lo contrario»</w:t>
      </w:r>
      <w:r>
        <w:t xml:space="preserve"> (Ley 39/2015, art. 53.2.b)</w:t>
      </w:r>
      <w:r>
        <w:br/>
      </w:r>
      <w:r>
        <w:rPr>
          <w:b/>
        </w:rPr>
        <w:t>leída en su fuente · Ley 39/2015, art. 53.2.b</w:t>
      </w:r>
      <w:r>
        <w:br/>
      </w:r>
      <w:r>
        <w:rPr>
          <w:b/>
        </w:rPr>
        <w:t>Archivo leído:</w:t>
      </w:r>
      <w:r>
        <w:t xml:space="preserve"> ley39_2015_procedimiento.html; 19.00_STC_18-1981_HJ.html; 19.00_STC_42-1989_HJ.html (c5\ley39_2015_procedimiento.html) · contraste del archivo de pasajes: ✔</w:t>
      </w:r>
      <w:r>
        <w:br/>
      </w:r>
      <w:r>
        <w:rPr>
          <w:b/>
        </w:rPr>
        <w:t>Lugar:</w:t>
      </w:r>
      <w:r>
        <w:t xml:space="preserve"> Art. 53.2.b</w:t>
      </w:r>
      <w:r>
        <w:br/>
      </w:r>
      <w:r>
        <w:rPr>
          <w:b/>
        </w:rPr>
        <w:t>Dirección:</w:t>
      </w:r>
      <w:r>
        <w:t xml:space="preserve"> </w:t>
      </w:r>
      <w:r>
        <w:t>https://www.boe.es/buscar/act.php?id=BOE-A-2015-10565</w:t>
      </w:r>
      <w:r>
        <w:t xml:space="preserve"> ; </w:t>
      </w:r>
      <w:r>
        <w:t>https://hj.tribunalconstitucional.es/es/Resolucion/Show/18</w:t>
      </w:r>
      <w:r>
        <w:t xml:space="preserve"> ; </w:t>
      </w:r>
      <w:r>
        <w:t>…/Show/1248</w:t>
      </w:r>
      <w:r>
        <w:br/>
      </w:r>
      <w:r>
        <w:rPr>
          <w:b/>
        </w:rPr>
        <w:t>Tal como está en la fuente:</w:t>
      </w:r>
      <w:r>
        <w:t xml:space="preserve"> A la presunción de no existencia de responsabilidad administrativa mientras no se demuestre lo contrario.</w:t>
      </w:r>
      <w:r>
        <w:t>, y el Constitucional dijo que la presunción de inocencia «rige sin excepciones en el ordenamiento sancionador», y que la carga de la prueba corresponde «a quien acusa, sin que nadie esté obligado a probar su propia inocencia»</w:t>
      </w:r>
      <w:r>
        <w:t xml:space="preserve"> (STC 76/1990, FJ 8)</w:t>
      </w:r>
      <w:r>
        <w:br/>
      </w:r>
      <w:r>
        <w:rPr>
          <w:b/>
        </w:rPr>
        <w:t>leída en su fuente · STC 76/1990, FJ 8</w:t>
      </w:r>
      <w:r>
        <w:br/>
      </w:r>
      <w:r>
        <w:rPr>
          <w:b/>
        </w:rPr>
        <w:t>Archivo leído:</w:t>
      </w:r>
      <w:r>
        <w:t xml:space="preserve"> 22.00_STC_76-1990_LGT_actas_HJ.html (c7a\22.00_STC_76-1990_LGT_actas_HJ.html) · contraste del archivo de pasajes: ✔</w:t>
      </w:r>
      <w:r>
        <w:br/>
      </w:r>
      <w:r>
        <w:rPr>
          <w:b/>
        </w:rPr>
        <w:t>Lugar:</w:t>
      </w:r>
      <w:r>
        <w:t xml:space="preserve"> STC 76/1990, FJ 8</w:t>
      </w:r>
      <w:r>
        <w:br/>
      </w:r>
      <w:r>
        <w:rPr>
          <w:b/>
        </w:rPr>
        <w:t>Tal como está en la fuente:</w:t>
      </w:r>
      <w:r>
        <w:t xml:space="preserve"> a quien acusa, sin que nadie esté obligado a probar su propia inocencia</w:t>
      </w:r>
      <w:r>
        <w:t>. Fuera de la sanción, en todo lo demás, el acto se presume válido y es el ciudadano quien tiene que demostrar el error.</w:t>
      </w:r>
    </w:p>
    <w:p>
      <w:pPr>
        <w:spacing w:after="60"/>
        <w:ind w:left="510" w:hanging="397"/>
      </w:pPr>
      <w:r>
        <w:rPr>
          <w:b w:val="0"/>
        </w:rPr>
        <w:t xml:space="preserve">2. </w:t>
      </w:r>
      <w:r>
        <w:rPr>
          <w:i/>
        </w:rPr>
        <w:t>Mientras recurre, paga.</w:t>
      </w:r>
      <w:r>
        <w:t xml:space="preserve"> Recurrir no suspende por sí solo (</w:t>
      </w:r>
      <w:r>
        <w:t>10.5</w:t>
      </w:r>
      <w:r>
        <w:t>). En los impuestos, el cobro se suspende si el ciudadano garantiza «el importe de dicho acto, los intereses de demora que genere la suspensión y los recargos»</w:t>
      </w:r>
      <w:r>
        <w:t xml:space="preserve"> (Ley General Tributaria, art. 224.1)</w:t>
      </w:r>
      <w:r>
        <w:br/>
      </w:r>
      <w:r>
        <w:rPr>
          <w:b/>
        </w:rPr>
        <w:t>leída en su fuente · Ley General Tributaria, art. 224.1</w:t>
      </w:r>
      <w:r>
        <w:br/>
      </w:r>
      <w:r>
        <w:rPr>
          <w:b/>
        </w:rPr>
        <w:t>Archivo leído:</w:t>
      </w:r>
      <w:r>
        <w:t xml:space="preserve"> lgt_ley58_2003.html (c5\lgt_ley58_2003.html) · contraste del archivo de pasajes: ✔</w:t>
      </w:r>
      <w:r>
        <w:br/>
      </w:r>
      <w:r>
        <w:rPr>
          <w:b/>
        </w:rPr>
        <w:t>Lugar:</w:t>
      </w:r>
      <w:r>
        <w:t xml:space="preserve"> Ley General Tributaria, art. 224.1</w:t>
      </w:r>
      <w:r>
        <w:br/>
      </w:r>
      <w:r>
        <w:rPr>
          <w:b/>
        </w:rPr>
        <w:t>Tal como está en la fuente:</w:t>
      </w:r>
      <w:r>
        <w:t xml:space="preserve"> el importe de dicho acto, los intereses de demora que genere la suspensión y los recargos</w:t>
      </w:r>
      <w:r>
        <w:t>; solo la sanción tributaria se suspende sin garantía (el mismo artículo). Para no pagar mientras discute, tiene que asegurar antes lo que se le reclama.</w:t>
      </w:r>
    </w:p>
    <w:p>
      <w:pPr>
        <w:spacing w:after="60"/>
        <w:ind w:left="510" w:hanging="397"/>
      </w:pPr>
      <w:r>
        <w:rPr>
          <w:b w:val="0"/>
        </w:rPr>
        <w:t xml:space="preserve">3. </w:t>
      </w:r>
      <w:r>
        <w:rPr>
          <w:i/>
        </w:rPr>
        <w:t>Cuando la presunción falla, lo cobrado no vuelve.</w:t>
      </w:r>
      <w:r>
        <w:t xml:space="preserve"> La amnistía fiscal de 2012 y el cálculo de la plusvalía municipal se anularon solo hacia delante (</w:t>
      </w:r>
      <w:r>
        <w:t>5.1</w:t>
      </w:r>
      <w:r>
        <w:t>, n.º 9); la Zona de Bajas Emisiones de Madrid se anuló, y el Ayuntamiento no devuelve lo cobrado, según la prensa (</w:t>
      </w:r>
      <w:r>
        <w:t>8.5</w:t>
      </w:r>
      <w:r>
        <w:t>). Y cuando otro poder corrige, protege al ciudadano en el 4,65 % de los casos (</w:t>
      </w:r>
      <w:r>
        <w:t>7.4</w:t>
      </w:r>
      <w:r>
        <w:t>).</w:t>
      </w:r>
    </w:p>
    <w:p>
      <w:pPr>
        <w:spacing w:after="60"/>
        <w:ind w:left="510" w:hanging="397"/>
      </w:pPr>
      <w:r>
        <w:rPr>
          <w:b w:val="0"/>
        </w:rPr>
        <w:t xml:space="preserve">4. </w:t>
      </w:r>
      <w:r>
        <w:rPr>
          <w:i/>
        </w:rPr>
        <w:t>La buena fe no es simétrica.</w:t>
      </w:r>
      <w:r>
        <w:t xml:space="preserve"> Al acto de la Administración se le presume la validez. Al ciudadano multado en materia de tráfico se le ofrece pagar la mitad a cambio de que sus alegaciones «se tendrán por no presentadas»: o paga con la reducción, o alega (</w:t>
      </w:r>
      <w:r>
        <w:t>10.5</w:t>
      </w:r>
      <w:r>
        <w:t>). La cláusula de buena fe del escrito pide lo mismo para las dos partes: que el error se haga saber de forma motivada y se rectifique (</w:t>
      </w:r>
      <w:r>
        <w:t>10.4</w:t>
      </w:r>
      <w:r>
        <w:t>).</w:t>
      </w:r>
    </w:p>
    <w:p>
      <w:pPr>
        <w:spacing w:after="60"/>
        <w:ind w:left="510" w:hanging="397"/>
      </w:pPr>
      <w:r>
        <w:rPr>
          <w:b w:val="0"/>
        </w:rPr>
        <w:t xml:space="preserve">5. </w:t>
      </w:r>
      <w:r>
        <w:rPr>
          <w:i/>
        </w:rPr>
        <w:t>Lo que se afirma sin documento no está escrito; las presunciones del Estado, sí.</w:t>
      </w:r>
      <w:r>
        <w:t xml:space="preserve"> La obra da la razón al Estado: no hay ninguna ficción oculta (</w:t>
      </w:r>
      <w:r>
        <w:t>anexo E</w:t>
      </w:r>
      <w:r>
        <w:t>). Pero las presunciones que esa afirmación intenta nombrar sin saberlo existen y están escritas, cada una con su artículo (</w:t>
      </w:r>
      <w:r>
        <w:t>5.2</w:t>
      </w:r>
      <w:r>
        <w:t>). La diferencia es de método: la afirmación sin documento inventa una ficción sin artículo; la obra cita cada presunción con su fuente.</w:t>
      </w:r>
    </w:p>
    <w:p>
      <w:r>
        <w:rPr>
          <w:b/>
        </w:rPr>
        <w:t>Dónde aguanta:</w:t>
      </w:r>
      <w:r>
        <w:t xml:space="preserve"> una administración que tuviera que acudir a un juez para cada acto no funcionaría. La obra lo concede, y es justo lo que hace de ello una presunción: si el sistema necesita presumir a su favor para funcionar, reconoce que no podría probar cada acto. Los actos se pueden recurrir y los más graves son nulos; la buena fe es un principio escrito; la sanción tributaria se suspende sin garantía; y no hay ninguna persona oculta bajo el nombre propio (</w:t>
      </w:r>
      <w:r>
        <w:t>2.1</w:t>
      </w:r>
      <w:r>
        <w:t>).</w:t>
      </w:r>
    </w:p>
    <w:p>
      <w:r>
        <w:rPr>
          <w:b/>
        </w:rPr>
        <w:t>Límite honesto:</w:t>
      </w:r>
      <w:r>
        <w:t xml:space="preserve"> la obra no prueba que la Administración abuse de la presunción en general; prueba de qué lado pone la ley la carga de la prueba. Y señalar una presunción no exime de nada: se reclama por las vías que la propia ley ofrece (</w:t>
      </w:r>
      <w:r>
        <w:t>10.4</w:t>
      </w:r>
      <w:r>
        <w:t xml:space="preserve"> y </w:t>
      </w:r>
      <w:r>
        <w:t>10.5</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[37.00-29.1 a 29.7, con Jn 7:24 en la Reina-Valera Antigua; 00.2-12.1 a 12.4; 07.00-27.1 y 27.2; 09.00-7.4 y 7.5, la defensa que el capítulo 2 promete oír aquí; 19.00-35.8 y 35.9, la presunción de inocencia con la STC 76/1990 y no con la 18/1981 (07, 19.00-35.9). Leídos hoy en local: Ley 39/2015, arts. 47.1 y 53.2.b; Ley 40/2015, art. 3.1.e; Ley General Tributaria, art. 224.1; STC 76/1990, FJ 8]</w:t>
      </w:r>
    </w:p>
    <w:p>
      <w:pPr>
        <w:pStyle w:val="Heading3"/>
      </w:pPr>
      <w:r>
        <w:t>Cargo 21. La palabra de la autoridad hace prueba</w:t>
      </w:r>
    </w:p>
    <w:p>
      <w:r>
        <w:rPr>
          <w:b/>
        </w:rPr>
        <w:t>La presunción:</w:t>
      </w:r>
      <w:r>
        <w:t xml:space="preserve"> «Que lo que anota un agente con condición de autoridad es cierto».</w:t>
      </w:r>
    </w:p>
    <w:p>
      <w:r>
        <w:rPr>
          <w:b/>
        </w:rPr>
        <w:t>La vara.</w:t>
      </w:r>
    </w:p>
    <w:p>
      <w:pPr>
        <w:pStyle w:val="ListBullet"/>
      </w:pPr>
      <w:r>
        <w:rPr>
          <w:i/>
        </w:rPr>
        <w:t>La ley de Dios:</w:t>
      </w:r>
      <w:r>
        <w:t xml:space="preserve"> «No valdrá un testigo contra ninguno […] En el dicho de dos testigos, ó en el dicho de tres testigos consistirá el negocio»</w:t>
      </w:r>
      <w:r>
        <w:t xml:space="preserve"> (Dt 19:15)</w:t>
      </w:r>
      <w:r>
        <w:br/>
      </w:r>
      <w:r>
        <w:rPr>
          <w:b/>
        </w:rPr>
        <w:t>leída en su fuente · Dt 19:15</w:t>
      </w:r>
      <w:r>
        <w:br/>
      </w:r>
      <w:r>
        <w:rPr>
          <w:b/>
        </w:rPr>
        <w:t>Archivo leído:</w:t>
      </w:r>
      <w:r>
        <w:t xml:space="preserve"> dt_19_15_rva.html (c9g\dt_19_15_rva.html) · contraste del archivo de pasajes: ✔</w:t>
      </w:r>
      <w:r>
        <w:br/>
      </w:r>
      <w:r>
        <w:rPr>
          <w:b/>
        </w:rPr>
        <w:t>Lugar:</w:t>
      </w:r>
      <w:r>
        <w:t xml:space="preserve"> Decreto de Graciano, en Friedberg, t. 1 (l. 86894)</w:t>
      </w:r>
      <w:r>
        <w:br/>
      </w:r>
      <w:r>
        <w:rPr>
          <w:b/>
        </w:rPr>
        <w:t>Tal como está en la fuente:</w:t>
      </w:r>
      <w:r>
        <w:t xml:space="preserve"> un testigo contra ninguno en cualquier delito, ó en cualquier pecado, en cualquier pecado que se cometiere. En el dicho de dos testigos, ó en el dicho de tres testigos consistirá el negocio</w:t>
      </w:r>
      <w:r>
        <w:t>.</w:t>
      </w:r>
    </w:p>
    <w:p>
      <w:pPr>
        <w:pStyle w:val="ListBullet"/>
      </w:pPr>
      <w:r>
        <w:rPr>
          <w:i/>
        </w:rPr>
        <w:t>Las tradiciones:</w:t>
      </w:r>
      <w:r>
        <w:t xml:space="preserve"> aunque todo el pueblo diga que alguien merece la muerte, primero hay que examinarlo (Mencio; </w:t>
      </w:r>
      <w:r>
        <w:t>3.2</w:t>
      </w:r>
      <w:r>
        <w:t xml:space="preserve">, P7). Y el castigo no es un negocio: «quien cobra por juzgar, sus sentencias son nulas» (Mishná, Bejorot 4:6; </w:t>
      </w:r>
      <w:r>
        <w:t>3.2</w:t>
      </w:r>
      <w:r>
        <w:t>, P8).</w:t>
      </w:r>
    </w:p>
    <w:p>
      <w:pPr>
        <w:pStyle w:val="ListBullet"/>
      </w:pPr>
      <w:r>
        <w:rPr>
          <w:i/>
        </w:rPr>
        <w:t>Su propia ley:</w:t>
      </w:r>
      <w:r>
        <w:t xml:space="preserve"> los documentos de los funcionarios con condición de autoridad «harán prueba de éstos salvo que se acredite lo contrario»</w:t>
      </w:r>
      <w:r>
        <w:t xml:space="preserve"> (Ley 39/2015, art. 77.5)</w:t>
      </w:r>
      <w:r>
        <w:br/>
      </w:r>
      <w:r>
        <w:rPr>
          <w:b/>
        </w:rPr>
        <w:t>leída en su fuente · Ley 39/2015, art. 77.5</w:t>
      </w:r>
      <w:r>
        <w:br/>
      </w:r>
      <w:r>
        <w:rPr>
          <w:b/>
        </w:rPr>
        <w:t>Archivo leído:</w:t>
      </w:r>
      <w:r>
        <w:t xml:space="preserve"> l39.html (ant\c1\l39.html) · contraste del archivo de pasajes: ✔</w:t>
      </w:r>
      <w:r>
        <w:br/>
      </w:r>
      <w:r>
        <w:rPr>
          <w:b/>
        </w:rPr>
        <w:t>Lugar:</w:t>
      </w:r>
      <w:r>
        <w:t xml:space="preserve"> Ley 39/2015, art. 77.5</w:t>
      </w:r>
      <w:r>
        <w:br/>
      </w:r>
      <w:r>
        <w:rPr>
          <w:b/>
        </w:rPr>
        <w:t>Tal como está en la fuente:</w:t>
      </w:r>
      <w:r>
        <w:t xml:space="preserve"> harán prueba de éstos salvo que se acredite lo contrario</w:t>
      </w:r>
      <w:r>
        <w:t>: es el ciudadano quien tiene que demostrar que no es así (</w:t>
      </w:r>
      <w:r>
        <w:t>5.2</w:t>
      </w:r>
      <w:r>
        <w:t>). Lo mismo vale para las diligencias de la inspección de Hacienda (</w:t>
      </w:r>
      <w:r>
        <w:t>7.6</w:t>
      </w:r>
      <w:r>
        <w:t>).</w:t>
      </w:r>
    </w:p>
    <w:p>
      <w:r>
        <w:rPr>
          <w:b/>
        </w:rPr>
        <w:t>Dónde está probado:</w:t>
      </w:r>
      <w:r>
        <w:t xml:space="preserve"> la presunción (</w:t>
      </w:r>
      <w:r>
        <w:t>5.2</w:t>
      </w:r>
      <w:r>
        <w:t>, planta 4), la palabra del inspector (</w:t>
      </w:r>
      <w:r>
        <w:t>7.6</w:t>
      </w:r>
      <w:r>
        <w:t>), la medida que sanciona (</w:t>
      </w:r>
      <w:r>
        <w:t>8.5</w:t>
      </w:r>
      <w:r>
        <w:t>) y las multas que se presupuestan (</w:t>
      </w:r>
      <w:r>
        <w:t>9.1</w:t>
      </w:r>
      <w:r>
        <w:t>).</w:t>
      </w:r>
    </w:p>
    <w:p>
      <w:r>
        <w:rPr>
          <w:b/>
        </w:rPr>
        <w:t>La pregunta:</w:t>
      </w:r>
      <w:r>
        <w:t xml:space="preserve"> ¿por qué basta la palabra de un agente para tener un hecho por cierto, y es el ciudadano quien tiene que probar lo contrario?</w:t>
      </w:r>
    </w:p>
    <w:p>
      <w:r>
        <w:rPr>
          <w:b/>
        </w:rPr>
        <w:t>La defensa del Estado:</w:t>
      </w:r>
      <w:r>
        <w:t xml:space="preserve"> el agente es un servidor público que actúa con imparcialidad y responde de lo que hace, y la presunción admite prueba en contrario (art. 77.5). No es una verdad absoluta: el Constitucional recuerda que la ley no otorga a las actas «una veracidad absoluta e indiscutible, lo que no sería constitucionalmente admisible, sino que pueden ceder frente a otras pruebas que conduzcan a conclusiones distintas»</w:t>
      </w:r>
      <w:r>
        <w:t xml:space="preserve"> (STC 76/1990, FJ 8)</w:t>
      </w:r>
      <w:r>
        <w:br/>
      </w:r>
      <w:r>
        <w:rPr>
          <w:b/>
        </w:rPr>
        <w:t>leída en su fuente · STC 76/1990, FJ 8</w:t>
      </w:r>
      <w:r>
        <w:br/>
      </w:r>
      <w:r>
        <w:rPr>
          <w:b/>
        </w:rPr>
        <w:t>Archivo leído:</w:t>
      </w:r>
      <w:r>
        <w:t xml:space="preserve"> 22.00_STC_76-1990_LGT_actas_HJ.html (c7a\22.00_STC_76-1990_LGT_actas_HJ.html) · contraste del archivo de pasajes: ✔</w:t>
      </w:r>
      <w:r>
        <w:br/>
      </w:r>
      <w:r>
        <w:rPr>
          <w:b/>
        </w:rPr>
        <w:t>Lugar:</w:t>
      </w:r>
      <w:r>
        <w:t xml:space="preserve"> STC 76/1990, FJ 8</w:t>
      </w:r>
      <w:r>
        <w:br/>
      </w:r>
      <w:r>
        <w:rPr>
          <w:b/>
        </w:rPr>
        <w:t>Tal como está en la fuente:</w:t>
      </w:r>
      <w:r>
        <w:t xml:space="preserve"> una veracidad absoluta e indiscutible, lo que no sería constitucionalmente admisible, sino que pueden ceder frente a otras pruebas que conduzcan a conclusiones distintas</w:t>
      </w:r>
      <w:r>
        <w:t>. Y las multas protegen la seguridad vial y la salud pública: los ayuntamientos están obligados a hacer cumplir las normas de tráfico y de calidad del aire.</w:t>
      </w:r>
    </w:p>
    <w:p>
      <w:r>
        <w:rPr>
          <w:b/>
        </w:rPr>
        <w:t>Los contrapuntos de la obra:</w:t>
      </w:r>
    </w:p>
    <w:p>
      <w:pPr>
        <w:spacing w:after="60"/>
        <w:ind w:left="510" w:hanging="397"/>
      </w:pPr>
      <w:r>
        <w:rPr>
          <w:b w:val="0"/>
        </w:rPr>
        <w:t xml:space="preserve">1. </w:t>
      </w:r>
      <w:r>
        <w:rPr>
          <w:i/>
        </w:rPr>
        <w:t>Con su propia ley.</w:t>
      </w:r>
      <w:r>
        <w:t xml:space="preserve"> En todo procedimiento sancionador, la ley reconoce también al ciudadano «la presunción de no existencia de responsabilidad administrativa mientras no se demuestre lo contrario» (</w:t>
      </w:r>
      <w:r>
        <w:t>cargo 20</w:t>
      </w:r>
      <w:r>
        <w:t>). Las dos presunciones conviven, y quien tiene que acreditar lo contrario es el ciudadano (art. 77.5). Y la palabra del agente tiene un límite que puso el Constitucional: vale para «los hechos comprobados directamente por el funcionario», no para «las calificaciones jurídicas, los juicios de valor o las simples opiniones» (</w:t>
      </w:r>
      <w:r>
        <w:t>7.6</w:t>
      </w:r>
      <w:r>
        <w:t>).</w:t>
      </w:r>
    </w:p>
    <w:p>
      <w:pPr>
        <w:spacing w:after="60"/>
        <w:ind w:left="510" w:hanging="397"/>
      </w:pPr>
      <w:r>
        <w:rPr>
          <w:b w:val="0"/>
        </w:rPr>
        <w:t xml:space="preserve">2. </w:t>
      </w:r>
      <w:r>
        <w:rPr>
          <w:i/>
        </w:rPr>
        <w:t>La medida que sanciona.</w:t>
      </w:r>
      <w:r>
        <w:t xml:space="preserve"> El Supremo exige que el aparato que mide para sancionar pase control metrológico, y fijó el margen de error de los radares (</w:t>
      </w:r>
      <w:r>
        <w:t>8.5</w:t>
      </w:r>
      <w:r>
        <w:t>). El Tribunal Superior de Madrid anuló la Zona de Bajas Emisiones por la «patente insuficiencia del informe de impacto económico» (</w:t>
      </w:r>
      <w:r>
        <w:t>7.5</w:t>
      </w:r>
      <w:r>
        <w:t>), y el Supremo dejó firme la anulación (</w:t>
      </w:r>
      <w:r>
        <w:t>8.5</w:t>
      </w:r>
      <w:r>
        <w:t>). La palabra de la autoridad no basta cuando se la examina.</w:t>
      </w:r>
    </w:p>
    <w:p>
      <w:pPr>
        <w:spacing w:after="60"/>
        <w:ind w:left="510" w:hanging="397"/>
      </w:pPr>
      <w:r>
        <w:rPr>
          <w:b w:val="0"/>
        </w:rPr>
        <w:t xml:space="preserve">3. </w:t>
      </w:r>
      <w:r>
        <w:rPr>
          <w:i/>
        </w:rPr>
        <w:t>Quien anota trabaja para quien cobra.</w:t>
      </w:r>
      <w:r>
        <w:t xml:space="preserve"> La multa también es un ingreso presupuestado: el Ayuntamiento de Madrid previó 211,4 millones de euros por multas de circulación en 2024 y reconoció 220,2, un 4,1 % más; en 2023, un 7,1 % más (</w:t>
      </w:r>
      <w:r>
        <w:t>9.1</w:t>
      </w:r>
      <w:r>
        <w:t>). Las tradiciones separaron el castigo del negocio: Juan el Bautista dijo a los recaudadores «No exijáis más de lo que os está ordenado» (Lc 3:13), y Mencio pedía ser «parco en castigos y multas» (</w:t>
      </w:r>
      <w:r>
        <w:t>3.2</w:t>
      </w:r>
      <w:r>
        <w:t>, P8).</w:t>
      </w:r>
    </w:p>
    <w:p>
      <w:r>
        <w:rPr>
          <w:b/>
        </w:rPr>
        <w:t>Dónde aguanta:</w:t>
      </w:r>
      <w:r>
        <w:t xml:space="preserve"> la presunción admite prueba en contra, y por eso el Constitucional no vio en el valor de las actas una quiebra de la presunción de inocencia (STC 76/1990, FJ 8). Los tribunales han exigido control a los aparatos y anularon la Zona de Bajas Emisiones. Y la seguridad vial es un fin real.</w:t>
      </w:r>
    </w:p>
    <w:p>
      <w:r>
        <w:rPr>
          <w:b/>
        </w:rPr>
        <w:t>Límite honesto:</w:t>
      </w:r>
      <w:r>
        <w:t xml:space="preserve"> la obra no prueba que los agentes anoten en falso, ni que lo recaudado de más se deba a un afán de recaudar: es un incentivo que pone el diseño, no una intención probada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[37.00-30.1 a 30.8, con Dt 19:15 en la Reina-Valera Antigua; 00.2-12.5 a 12.8, «el castigo no es un negocio» con los textos de 3.2, P8; 20.00-35.14 y 35.15, la Zona de Bajas Emisiones con lo que dice 7.5; 22.00-13.10 y 13.11, sin «la del ciudadano debería prevalecer»: el Constitucional dijo que conviven. La STC 76/1990, FJ 8, leída hoy en local]</w:t>
      </w:r>
    </w:p>
    <w:p>
      <w:pPr>
        <w:pStyle w:val="Heading3"/>
      </w:pPr>
      <w:r>
        <w:t>Cargo 22. La transparencia</w:t>
      </w:r>
    </w:p>
    <w:p>
      <w:r>
        <w:rPr>
          <w:b/>
        </w:rPr>
        <w:t>La presunción:</w:t>
      </w:r>
      <w:r>
        <w:t xml:space="preserve"> «Que todo se publica».</w:t>
      </w:r>
    </w:p>
    <w:p>
      <w:r>
        <w:rPr>
          <w:b/>
        </w:rPr>
        <w:t>La vara.</w:t>
      </w:r>
    </w:p>
    <w:p>
      <w:pPr>
        <w:pStyle w:val="ListBullet"/>
      </w:pPr>
      <w:r>
        <w:rPr>
          <w:i/>
        </w:rPr>
        <w:t>La ley de Dios:</w:t>
      </w:r>
      <w:r>
        <w:t xml:space="preserve"> «Porque nada hay encubierto, que no haya de ser descubierto; ni oculto, que no haya de ser sabido»</w:t>
      </w:r>
      <w:r>
        <w:t xml:space="preserve"> (Lc 12:2)</w:t>
      </w:r>
      <w:r>
        <w:br/>
      </w:r>
      <w:r>
        <w:rPr>
          <w:b/>
        </w:rPr>
        <w:t>leída en su fuente · Lc 12:2</w:t>
      </w:r>
      <w:r>
        <w:br/>
      </w:r>
      <w:r>
        <w:rPr>
          <w:b/>
        </w:rPr>
        <w:t>Archivo leído:</w:t>
      </w:r>
      <w:r>
        <w:t xml:space="preserve"> lc_12_2_rva.html; rvr1960_lc_12_2.html (c9g\lc_12_2_rva.html; c9g\rvr1960_lc_12_2.html) · contraste del archivo de pasajes: ✔</w:t>
      </w:r>
      <w:r>
        <w:br/>
      </w:r>
      <w:r>
        <w:rPr>
          <w:b/>
        </w:rPr>
        <w:t>Lugar:</w:t>
      </w:r>
      <w:r>
        <w:t xml:space="preserve"> RVA</w:t>
      </w:r>
      <w:r>
        <w:br/>
      </w:r>
      <w:r>
        <w:rPr>
          <w:b/>
        </w:rPr>
        <w:t>Dirección:</w:t>
      </w:r>
      <w:r>
        <w:t xml:space="preserve"> </w:t>
      </w:r>
      <w:r>
        <w:t>https://www.biblegateway.com/passage/?search=Luke+12%3A2&amp;version=RVA</w:t>
      </w:r>
      <w:r>
        <w:br/>
      </w:r>
      <w:r>
        <w:rPr>
          <w:b/>
        </w:rPr>
        <w:t>Tal como está en la fuente:</w:t>
      </w:r>
      <w:r>
        <w:t xml:space="preserve"> Porque nada hay encubierto, que no haya de ser descubierto; ni oculto, que no haya de ser sabido.</w:t>
      </w:r>
      <w:r>
        <w:t xml:space="preserve">. Y al administrador: «Da cuenta de tu mayordomía» (Lc 16:2; </w:t>
      </w:r>
      <w:r>
        <w:t>5.2</w:t>
      </w:r>
      <w:r>
        <w:t>).</w:t>
      </w:r>
    </w:p>
    <w:p>
      <w:pPr>
        <w:pStyle w:val="ListBullet"/>
      </w:pPr>
      <w:r>
        <w:rPr>
          <w:i/>
        </w:rPr>
        <w:t>Las tradiciones:</w:t>
      </w:r>
      <w:r>
        <w:t xml:space="preserve"> fuera de toda religión, Espinosa ligó el Estado a la libertad: «El fin del Estado es, pues, en verdad, la libertad»</w:t>
      </w:r>
      <w:r>
        <w:t xml:space="preserve"> [original: «Finis ergo Reipublicae revera libertas est»]</w:t>
      </w:r>
      <w:r>
        <w:t xml:space="preserve"> (Espinosa, Tratado teológico-político, 1670, cap. XX)</w:t>
      </w:r>
      <w:r>
        <w:br/>
      </w:r>
      <w:r>
        <w:rPr>
          <w:b/>
        </w:rPr>
        <w:t>pasaje guardado · Espinosa, Tratado teológico-político, 1670, cap. XX</w:t>
      </w:r>
      <w:r>
        <w:br/>
      </w:r>
      <w:r>
        <w:rPr>
          <w:b/>
        </w:rPr>
        <w:t>Archivo leído:</w:t>
      </w:r>
      <w:r>
        <w:t xml:space="preserve"> espinosa_TTP_1670_KB_archive_djvu.txt (c9h\espinosa_TTP_1670_KB_archive_djvu.txt) · contraste del archivo de pasajes: parcial</w:t>
      </w:r>
      <w:r>
        <w:br/>
      </w:r>
      <w:r>
        <w:rPr>
          <w:b/>
        </w:rPr>
        <w:t>Lugar:</w:t>
      </w:r>
      <w:r>
        <w:t xml:space="preserve"> Espinosa, Tratado teológico-político, 1670, cap. XX</w:t>
      </w:r>
      <w:r>
        <w:br/>
      </w:r>
      <w:r>
        <w:rPr>
          <w:b/>
        </w:rPr>
        <w:t>Tal como está en la fuente:</w:t>
      </w:r>
      <w:r>
        <w:t xml:space="preserve"> Finis ergo Reipublicae revera libertas est</w:t>
      </w:r>
      <w:r>
        <w:t>. Y en palabras del autor: «si ves todo lo que hay, puedes decidir por ti mismo» (</w:t>
      </w:r>
      <w:r>
        <w:t>8.5</w:t>
      </w:r>
      <w:r>
        <w:t>).</w:t>
      </w:r>
    </w:p>
    <w:p>
      <w:pPr>
        <w:pStyle w:val="ListBullet"/>
      </w:pPr>
      <w:r>
        <w:rPr>
          <w:i/>
        </w:rPr>
        <w:t>Su propia ley:</w:t>
      </w:r>
      <w:r>
        <w:t xml:space="preserve"> «Todas las personas tienen derecho a acceder a la información pública»</w:t>
      </w:r>
      <w:r>
        <w:t xml:space="preserve"> (Ley 19/2013, art. 12)</w:t>
      </w:r>
      <w:r>
        <w:br/>
      </w:r>
      <w:r>
        <w:rPr>
          <w:b/>
        </w:rPr>
        <w:t>leída en su fuente · Ley 19/2013, art. 12</w:t>
      </w:r>
      <w:r>
        <w:br/>
      </w:r>
      <w:r>
        <w:rPr>
          <w:b/>
        </w:rPr>
        <w:t>Archivo leído:</w:t>
      </w:r>
      <w:r>
        <w:t xml:space="preserve"> ley19_2013_transparencia.html (c5\ley19_2013_transparencia.html) · contraste del archivo de pasajes: ✔</w:t>
      </w:r>
      <w:r>
        <w:br/>
      </w:r>
      <w:r>
        <w:rPr>
          <w:b/>
        </w:rPr>
        <w:t>Lugar:</w:t>
      </w:r>
      <w:r>
        <w:t xml:space="preserve"> Art. 12 (#a12)</w:t>
      </w:r>
      <w:r>
        <w:br/>
      </w:r>
      <w:r>
        <w:rPr>
          <w:b/>
        </w:rPr>
        <w:t>Dirección:</w:t>
      </w:r>
      <w:r>
        <w:t xml:space="preserve"> </w:t>
      </w:r>
      <w:r>
        <w:t>https://www.boe.es/buscar/act.php?id=BOE-A-2013-12887</w:t>
      </w:r>
      <w:r>
        <w:br/>
      </w:r>
      <w:r>
        <w:rPr>
          <w:b/>
        </w:rPr>
        <w:t>Tal como está en la fuente:</w:t>
      </w:r>
      <w:r>
        <w:t xml:space="preserve"> Todas las personas tienen derecho a acceder a la información pública, en los términos previstos</w:t>
      </w:r>
      <w:r>
        <w:t>. La ley obliga a publicar cada dato; nadie está obligado a publicar la suma (</w:t>
      </w:r>
      <w:r>
        <w:t>8.6</w:t>
      </w:r>
      <w:r>
        <w:t>).</w:t>
      </w:r>
    </w:p>
    <w:p>
      <w:r>
        <w:rPr>
          <w:b/>
        </w:rPr>
        <w:t>Dónde está probado:</w:t>
      </w:r>
      <w:r>
        <w:t xml:space="preserve"> lo que se publica y lo que no (</w:t>
      </w:r>
      <w:r>
        <w:t>5.1</w:t>
      </w:r>
      <w:r>
        <w:t>, n.º 21), el muro de opacidad (</w:t>
      </w:r>
      <w:r>
        <w:t>8.6</w:t>
      </w:r>
      <w:r>
        <w:t>), las omisiones (</w:t>
      </w:r>
      <w:r>
        <w:t>8.5</w:t>
      </w:r>
      <w:r>
        <w:t>) y la transparencia de la Corona (</w:t>
      </w:r>
      <w:r>
        <w:t>7.2</w:t>
      </w:r>
      <w:r>
        <w:t>, n.º 7).</w:t>
      </w:r>
    </w:p>
    <w:p>
      <w:r>
        <w:rPr>
          <w:b/>
        </w:rPr>
        <w:t>La pregunta:</w:t>
      </w:r>
      <w:r>
        <w:t xml:space="preserve"> ¿cuánto cobraron en total en 2025 los altos cargos, los asesores y los cargos electos de todas las administraciones?</w:t>
      </w:r>
    </w:p>
    <w:p>
      <w:r>
        <w:rPr>
          <w:b/>
        </w:rPr>
        <w:t>La defensa del Estado:</w:t>
      </w:r>
      <w:r>
        <w:t xml:space="preserve"> la Ley 19/2013 y los portales de transparencia publican una enorme cantidad de datos, y cualquier persona puede pedir el que quiera (art. 12). La Casa del Rey también está dentro de la ley</w:t>
      </w:r>
      <w:r>
        <w:t xml:space="preserve"> (Ley 19/2013, art. 2.1.f)</w:t>
      </w:r>
      <w:r>
        <w:t>, publica su presupuesto y sus cuentas, que el Tribunal de Cuentas auditó con opinión favorable</w:t>
      </w:r>
      <w:r>
        <w:t xml:space="preserve"> (Tribunal de Cuentas, informe de auditoría de las cuentas de 2025 de la Casa de S. M. el Rey, 25-6-2026)</w:t>
      </w:r>
      <w:r>
        <w:t>, y su personal de alta dirección declara sus bienes (</w:t>
      </w:r>
      <w:r>
        <w:t>7.2</w:t>
      </w:r>
      <w:r>
        <w:t>, n.º 7). El gasto en publicidad institucional se publica cada año en un informe (</w:t>
      </w:r>
      <w:r>
        <w:t>8.5</w:t>
      </w:r>
      <w:r>
        <w:t>). Y la Administración actúa conforme a la ley: la franquicia del IVA de los pequeños empresarios es una opción de cada Estado, y España está en su derecho de no aplicarla.</w:t>
      </w:r>
    </w:p>
    <w:p>
      <w:r>
        <w:rPr>
          <w:b/>
        </w:rPr>
        <w:t>Los contrapuntos de la obra:</w:t>
      </w:r>
    </w:p>
    <w:p>
      <w:pPr>
        <w:spacing w:after="60"/>
        <w:ind w:left="510" w:hanging="397"/>
      </w:pPr>
      <w:r>
        <w:rPr>
          <w:b w:val="0"/>
        </w:rPr>
        <w:t xml:space="preserve">1. </w:t>
      </w:r>
      <w:r>
        <w:rPr>
          <w:i/>
        </w:rPr>
        <w:t>Con su propia ley.</w:t>
      </w:r>
      <w:r>
        <w:t xml:space="preserve"> Se publica cada dato, nunca la suma. Los altos cargos, en 23 ficheros sin un total y con un tope de 1.000 registros por consulta; lo que cobran los cargos de las comunidades y los ayuntamientos exigiría consultar una a una más de 8.000 entidades; los asesores de los ministerios, 959, son un mínimo, y solo consta el coste de los de la Presidencia del Gobierno, 18,03 millones al año; no se separa lo que las administraciones cotizan por su propio personal, ni el sueldo de militares y policías del resto de su ministerio; y los Presupuestos no separan las prestaciones de los exparlamentarios (</w:t>
      </w:r>
      <w:r>
        <w:t>8.6</w:t>
      </w:r>
      <w:r>
        <w:t>).</w:t>
      </w:r>
    </w:p>
    <w:p>
      <w:pPr>
        <w:spacing w:after="60"/>
        <w:ind w:left="510" w:hanging="397"/>
      </w:pPr>
      <w:r>
        <w:rPr>
          <w:b w:val="0"/>
        </w:rPr>
        <w:t xml:space="preserve">2. </w:t>
      </w:r>
      <w:r>
        <w:rPr>
          <w:i/>
        </w:rPr>
        <w:t>La Corona, a medias.</w:t>
      </w:r>
      <w:r>
        <w:t xml:space="preserve"> La ley alcanza a la Casa del Rey solo «en relación con sus actividades sujetas a Derecho Administrativo» (art. 2.1.f), y la declaración de bienes de su personal la fija un real decreto propio, no una ley (</w:t>
      </w:r>
      <w:r>
        <w:t>7.2</w:t>
      </w:r>
      <w:r>
        <w:t>, n.º 7).</w:t>
      </w:r>
    </w:p>
    <w:p>
      <w:pPr>
        <w:spacing w:after="60"/>
        <w:ind w:left="510" w:hanging="397"/>
      </w:pPr>
      <w:r>
        <w:rPr>
          <w:b w:val="0"/>
        </w:rPr>
        <w:t xml:space="preserve">3. </w:t>
      </w:r>
      <w:r>
        <w:rPr>
          <w:i/>
        </w:rPr>
        <w:t>Las omisiones del Estado se corrigen tarde.</w:t>
      </w:r>
      <w:r>
        <w:t xml:space="preserve"> La franquicia puede ser una opción, pero adoptar la directiva no: la Comisión Europea llevó a España ante el Tribunal de Justicia por no adoptar sus disposiciones (</w:t>
      </w:r>
      <w:r>
        <w:t>7.5</w:t>
      </w:r>
      <w:r>
        <w:t>), y es «el único Estado miembro que no lo ha hecho» (</w:t>
      </w:r>
      <w:r>
        <w:t>8.5</w:t>
      </w:r>
      <w:r>
        <w:t>). Para ver el código del programa que decide quién recibe el bono social de la luz hicieron falta más de seis años, desde el Consejo de Transparencia hasta el Supremo (</w:t>
      </w:r>
      <w:r>
        <w:t>8.5</w:t>
      </w:r>
      <w:r>
        <w:t>). Y en la gasolina, el Tribunal de Justicia de la UE declaró contrario a la directiva el tramo autonómico del impuesto, y el Supremo solo abrió la puerta a reclamar: una victoria de acceso, no de cobro (</w:t>
      </w:r>
      <w:r>
        <w:t>8.5</w:t>
      </w:r>
      <w:r>
        <w:t>). El silencio del ciudadano se castiga solo; el del sistema hay que perseguirlo (</w:t>
      </w:r>
      <w:r>
        <w:t>8.5</w:t>
      </w:r>
      <w:r>
        <w:t>).</w:t>
      </w:r>
    </w:p>
    <w:p>
      <w:pPr>
        <w:spacing w:after="60"/>
        <w:ind w:left="510" w:hanging="397"/>
      </w:pPr>
      <w:r>
        <w:rPr>
          <w:b w:val="0"/>
        </w:rPr>
        <w:t xml:space="preserve">4. </w:t>
      </w:r>
      <w:r>
        <w:rPr>
          <w:i/>
        </w:rPr>
        <w:t>Contar lo que hace, sí; sumar lo que cobra, no.</w:t>
      </w:r>
      <w:r>
        <w:t xml:space="preserve"> El gasto del Estado en campañas institucionales pasó de 25,9 millones de euros en 2019 a 88,1 millones en 2025 (</w:t>
      </w:r>
      <w:r>
        <w:t>8.5</w:t>
      </w:r>
      <w:r>
        <w:t>), y la suma de lo que cobran sus cargos no se publica (</w:t>
      </w:r>
      <w:r>
        <w:t>8.6</w:t>
      </w:r>
      <w:r>
        <w:t>).</w:t>
      </w:r>
    </w:p>
    <w:p>
      <w:r>
        <w:rPr>
          <w:b/>
        </w:rPr>
        <w:t>Dónde aguanta:</w:t>
      </w:r>
      <w:r>
        <w:t xml:space="preserve"> hay ley, portal y derecho de acceso para todos, y los datos sueltos se publican; las cuentas de la Casa del Rey están auditadas; el gasto en publicidad se publica, y que sea un abuso no lo ha certificado nadie (</w:t>
      </w:r>
      <w:r>
        <w:t>8.5</w:t>
      </w:r>
      <w:r>
        <w:t>); y las omisiones las acabaron corrigiendo los tribunales y la Comisión.</w:t>
      </w:r>
    </w:p>
    <w:p>
      <w:r>
        <w:rPr>
          <w:b/>
        </w:rPr>
        <w:t>Límite honesto:</w:t>
      </w:r>
      <w:r>
        <w:t xml:space="preserve"> la obra no ha podido sumar lo que no se publica sumado, y no prueba que se oculte a propósito: la suma no está prohibida; solo no es obligatoria (</w:t>
      </w:r>
      <w:r>
        <w:t>8.6</w:t>
      </w:r>
      <w:r>
        <w:t xml:space="preserve">; </w:t>
      </w:r>
      <w:r>
        <w:t>11.2</w:t>
      </w:r>
      <w:r>
        <w:t>, n.º 15). La plantilla civil de la Casa del Rey sí se publica (161 puestos de funcionarios a 1-X-2026, en la relación de puestos del Ministerio de la Presidencia); pero ni el presupuesto ni las cuentas de la Casa dicen cuántas personas trabajan en ella. Su coste total no tiene cifra oficial: un informe académico calcula unos 105 millones de euros, con datos de 2021 (</w:t>
      </w:r>
      <w:r>
        <w:t>C.2</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[37.00-32.1 a 32.7, con Lc 12:2 en la Reina-Valera Antigua; 00.00-6.8, Espinosa traducido de su latín (c9h), sin Kant y la publicidad: sin fila; 00.1-6.1 a 6.4 y 00.2-21.1 a 21.4, sin la nota del rescate del Banco de España ni la plantilla de la Casa del Rey: sin fuente leída; 15.00-17.14 y 17.15; 20.00-35.12 y 35.13, la auditoría de 2025 con su fila (c9e), sin los 105 millones de un estudio privado: anexo C; 20.00-35.18 y 35.19, sin los 990,8 millones ni «la cifra más alta en casi dos décadas»: sin fuente leída, y sin la comparación con el Reino Unido y Francia: sin fila; 20.00-35.20 y 35.21, BOSCO con «más de seis años» (07, 09.00-7.3) y la gasolina con lo que dice 8.5; 34.00-13.10 y 13.11. La Ley 19/2013, arts. 2.1.f y 12, leída hoy en local. Las omisiones son la defensa que el capítulo 8 promete oír aquí]</w:t>
      </w:r>
    </w:p>
    <w:p>
      <w:pPr>
        <w:pStyle w:val="Heading3"/>
      </w:pPr>
      <w:r>
        <w:t>Cargo 23. La «vejez»</w:t>
      </w:r>
    </w:p>
    <w:p>
      <w:r>
        <w:rPr>
          <w:b/>
        </w:rPr>
        <w:t>La presunción:</w:t>
      </w:r>
      <w:r>
        <w:t xml:space="preserve"> «Que la partida de vejez son los jubilados que cotizaron».</w:t>
      </w:r>
    </w:p>
    <w:p>
      <w:r>
        <w:rPr>
          <w:b/>
        </w:rPr>
        <w:t>La vara.</w:t>
      </w:r>
    </w:p>
    <w:p>
      <w:pPr>
        <w:pStyle w:val="ListBullet"/>
      </w:pPr>
      <w:r>
        <w:rPr>
          <w:i/>
        </w:rPr>
        <w:t>La ley de Dios:</w:t>
      </w:r>
      <w:r>
        <w:t xml:space="preserve"> «Delante de las canas te levantarás, y honrarás el rostro del anciano»</w:t>
      </w:r>
      <w:r>
        <w:t xml:space="preserve"> (Lv 19:32)</w:t>
      </w:r>
      <w:r>
        <w:br/>
      </w:r>
      <w:r>
        <w:rPr>
          <w:b/>
        </w:rPr>
        <w:t>leída en su fuente · Lv 19:32</w:t>
      </w:r>
      <w:r>
        <w:br/>
      </w:r>
      <w:r>
        <w:rPr>
          <w:b/>
        </w:rPr>
        <w:t>Archivo leído:</w:t>
      </w:r>
      <w:r>
        <w:t xml:space="preserve"> spaRV1909_texto_corrido.txt (biblia_rv1909\spaRV1909_texto_corrido.txt) · contraste del archivo de pasajes: ✔</w:t>
      </w:r>
      <w:r>
        <w:br/>
      </w:r>
      <w:r>
        <w:rPr>
          <w:b/>
        </w:rPr>
        <w:t>Lugar:</w:t>
      </w:r>
      <w:r>
        <w:t xml:space="preserve"> Lv 19:32</w:t>
      </w:r>
      <w:r>
        <w:br/>
      </w:r>
      <w:r>
        <w:rPr>
          <w:b/>
        </w:rPr>
        <w:t>Tal como está en la fuente:</w:t>
      </w:r>
      <w:r>
        <w:t xml:space="preserve"> Delante de las canas te levantarás, y honrarás el rostro del anciano</w:t>
      </w:r>
      <w:r>
        <w:t>.</w:t>
      </w:r>
    </w:p>
    <w:p>
      <w:pPr>
        <w:pStyle w:val="ListBullet"/>
      </w:pPr>
      <w:r>
        <w:rPr>
          <w:i/>
        </w:rPr>
        <w:t>Las tradiciones:</w:t>
      </w:r>
      <w:r>
        <w:t xml:space="preserve"> Mencio acusaba a los gobernantes de que «roban al pueblo su tiempo, de modo que no puede arar para alimentar a sus padres» (</w:t>
      </w:r>
      <w:r>
        <w:t>3.2</w:t>
      </w:r>
      <w:r>
        <w:t>).</w:t>
      </w:r>
    </w:p>
    <w:p>
      <w:pPr>
        <w:pStyle w:val="ListBullet"/>
      </w:pPr>
      <w:r>
        <w:rPr>
          <w:i/>
        </w:rPr>
        <w:t>Su propia ley o el dato:</w:t>
      </w:r>
      <w:r>
        <w:t xml:space="preserve"> la partida de vejez del gasto público, 165.050 millones de euros en 2024, mezcla las pensiones de la Seguridad Social, pagadas sobre todo con cotizaciones, con las de los funcionarios del Estado, las Clases Pasivas, pagadas con los Presupuestos (</w:t>
      </w:r>
      <w:r>
        <w:t>8.6</w:t>
      </w:r>
      <w:r>
        <w:t>). Y la protección social cuenta también unos 16.400 millones de gestión, la maquinaria que la administra (</w:t>
      </w:r>
      <w:r>
        <w:t>5.1</w:t>
      </w:r>
      <w:r>
        <w:t>, n.º 23).</w:t>
      </w:r>
    </w:p>
    <w:p>
      <w:r>
        <w:rPr>
          <w:b/>
        </w:rPr>
        <w:t>Dónde está probado:</w:t>
      </w:r>
      <w:r>
        <w:t xml:space="preserve"> la partida de vejez (</w:t>
      </w:r>
      <w:r>
        <w:t>5.1</w:t>
      </w:r>
      <w:r>
        <w:t>, n.º 23) y a dónde va cada euro (</w:t>
      </w:r>
      <w:r>
        <w:t>8.6</w:t>
      </w:r>
      <w:r>
        <w:t>).</w:t>
      </w:r>
    </w:p>
    <w:p>
      <w:r>
        <w:rPr>
          <w:b/>
        </w:rPr>
        <w:t>La pregunta:</w:t>
      </w:r>
      <w:r>
        <w:t xml:space="preserve"> ¿cuánto de la partida de vejez corresponde a la Seguridad Social, cuánto a Clases Pasivas y cuánto a gestión?</w:t>
      </w:r>
    </w:p>
    <w:p>
      <w:r>
        <w:rPr>
          <w:b/>
        </w:rPr>
        <w:t>La defensa del Estado:</w:t>
      </w:r>
      <w:r>
        <w:t xml:space="preserve"> la clasificación del gasto por funciones es la que usa Eurostat (</w:t>
      </w:r>
      <w:r>
        <w:t>8.6</w:t>
      </w:r>
      <w:r>
        <w:t>): agrupa el gasto por su destino, no por quién lo paga, y las pensiones de los funcionarios también son pensiones de vejez.</w:t>
      </w:r>
    </w:p>
    <w:p>
      <w:r>
        <w:rPr>
          <w:b/>
        </w:rPr>
        <w:t>Los contrapuntos de la obra:</w:t>
      </w:r>
    </w:p>
    <w:p>
      <w:pPr>
        <w:spacing w:after="60"/>
        <w:ind w:left="510" w:hanging="397"/>
      </w:pPr>
      <w:r>
        <w:rPr>
          <w:b w:val="0"/>
        </w:rPr>
        <w:t xml:space="preserve">1. </w:t>
      </w:r>
      <w:r>
        <w:rPr>
          <w:i/>
        </w:rPr>
        <w:t>Con su propia ley.</w:t>
      </w:r>
      <w:r>
        <w:t xml:space="preserve"> Las dos pensiones no salen del mismo sitio: las de la Seguridad Social, de las cotizaciones de quienes trabajan hoy, en un sistema de reparto; las de Clases Pasivas, de los Presupuestos, es decir, de los impuestos (</w:t>
      </w:r>
      <w:r>
        <w:t>8.6</w:t>
      </w:r>
      <w:r>
        <w:t>). Una sola cifra las suma y oculta la diferencia.</w:t>
      </w:r>
    </w:p>
    <w:p>
      <w:pPr>
        <w:spacing w:after="60"/>
        <w:ind w:left="510" w:hanging="397"/>
      </w:pPr>
      <w:r>
        <w:rPr>
          <w:b w:val="0"/>
        </w:rPr>
        <w:t xml:space="preserve">2. </w:t>
      </w:r>
      <w:r>
        <w:rPr>
          <w:i/>
        </w:rPr>
        <w:t>No pesan lo mismo.</w:t>
      </w:r>
      <w:r>
        <w:t xml:space="preserve"> Las pensiones de Clases Pasivas son, como mínimo, 740.431: el 6,6 % de las pensiones de los dos sistemas, que se llevan el 10,9 % de lo que se paga. Su media es 1,7 veces la del jubilado del trabajo privado (</w:t>
      </w:r>
      <w:r>
        <w:t>8.6</w:t>
      </w:r>
      <w:r>
        <w:t>; los porcentajes, cálculo de la obra con sus cifras).</w:t>
      </w:r>
    </w:p>
    <w:p>
      <w:pPr>
        <w:spacing w:after="60"/>
        <w:ind w:left="510" w:hanging="397"/>
      </w:pPr>
      <w:r>
        <w:rPr>
          <w:b w:val="0"/>
        </w:rPr>
        <w:t xml:space="preserve">3. </w:t>
      </w:r>
      <w:r>
        <w:rPr>
          <w:i/>
        </w:rPr>
        <w:t>La maquinaria cuenta como gasto social.</w:t>
      </w:r>
      <w:r>
        <w:t xml:space="preserve"> Nueve de cada diez euros de la protección social son prestaciones; unos 16.400 millones son gestión (</w:t>
      </w:r>
      <w:r>
        <w:t>5.1</w:t>
      </w:r>
      <w:r>
        <w:t>, n.º 23).</w:t>
      </w:r>
    </w:p>
    <w:p>
      <w:r>
        <w:rPr>
          <w:b/>
        </w:rPr>
        <w:t>Dónde aguanta:</w:t>
      </w:r>
      <w:r>
        <w:t xml:space="preserve"> la clasificación por funciones es la común, y las pensiones de los funcionarios son pensiones de vejez de verdad. La obra no discute que se paguen: pide que se separe de dónde sale cada una.</w:t>
      </w:r>
    </w:p>
    <w:p>
      <w:r>
        <w:rPr>
          <w:b/>
        </w:rPr>
        <w:t>Límite honesto:</w:t>
      </w:r>
      <w:r>
        <w:t xml:space="preserve"> Clases Pasivas es un mínimo: los empleados públicos que ingresaron desde 2011, el personal laboral y casi todos los funcionarios autonómicos y locales se jubilan por la Seguridad Social, y las estadísticas no los separan (</w:t>
      </w:r>
      <w:r>
        <w:t>8.6</w:t>
      </w:r>
      <w:r>
        <w:t>). Y la comparación de medias es en bruto, sin corregir la carrera ni lo cotizado.</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[37.00-34.1 a 34.8, con Lv 19:32 en la Reina-Valera Antigua; 00.1-6.9 a 6.12; 00.2-21.5 a 21.8; el 6,6 % y el 10,9 %, cálculo de la obra con las pensiones y las medias de 8.6 (c5)]</w:t>
      </w:r>
    </w:p>
    <w:p>
      <w:pPr>
        <w:pStyle w:val="Heading3"/>
      </w:pPr>
      <w:r>
        <w:t>Cargo 24. La separación de poderes y los controles</w:t>
      </w:r>
    </w:p>
    <w:p>
      <w:r>
        <w:rPr>
          <w:b/>
        </w:rPr>
        <w:t>La presunción:</w:t>
      </w:r>
      <w:r>
        <w:t xml:space="preserve"> «Que los poderes están separados y se frenan unos a otros».</w:t>
      </w:r>
    </w:p>
    <w:p>
      <w:r>
        <w:rPr>
          <w:b/>
        </w:rPr>
        <w:t>La vara.</w:t>
      </w:r>
    </w:p>
    <w:p>
      <w:pPr>
        <w:pStyle w:val="ListBullet"/>
      </w:pPr>
      <w:r>
        <w:rPr>
          <w:i/>
        </w:rPr>
        <w:t>La ley de Dios:</w:t>
      </w:r>
      <w:r>
        <w:t xml:space="preserve"> «No recibirás presente; porque el presente ciega á los que ven, y pervierte las palabras justas»</w:t>
      </w:r>
      <w:r>
        <w:t xml:space="preserve"> (Ex 23:8)</w:t>
      </w:r>
      <w:r>
        <w:br/>
      </w:r>
      <w:r>
        <w:rPr>
          <w:b/>
        </w:rPr>
        <w:t>leída en su fuente · Ex 23:8</w:t>
      </w:r>
      <w:r>
        <w:br/>
      </w:r>
      <w:r>
        <w:rPr>
          <w:b/>
        </w:rPr>
        <w:t>Original donde está:</w:t>
      </w:r>
      <w:r>
        <w:t xml:space="preserve"> rva_c3.txt</w:t>
      </w:r>
      <w:r>
        <w:br/>
      </w:r>
      <w:r>
        <w:t>El pasaje literal no está en el archivo de pasajes con este comienzo; la auditoría lo halló en ese original.</w:t>
      </w:r>
      <w:r>
        <w:t>. Lo que ata a quien juzga con una de las partes le quita la vista y tuerce la justicia: por eso quien juzga no debe deber su puesto a quien tiene que juzgar.</w:t>
      </w:r>
    </w:p>
    <w:p>
      <w:pPr>
        <w:pStyle w:val="ListBullet"/>
      </w:pPr>
      <w:r>
        <w:rPr>
          <w:i/>
        </w:rPr>
        <w:t>Las tradiciones:</w:t>
      </w:r>
      <w:r>
        <w:t xml:space="preserve"> el derecho romano ya decía que nadie debe «ser juez de sí mismo ni dictarse el derecho a sí mismo» (Código de Justiniano 3.5.1; </w:t>
      </w:r>
      <w:r>
        <w:t>1.7</w:t>
      </w:r>
      <w:r>
        <w:t>). Y Mencio: «si un señor pone en peligro los altares del Estado, se le sustituye» (</w:t>
      </w:r>
      <w:r>
        <w:t>3.2</w:t>
      </w:r>
      <w:r>
        <w:t>, P1).</w:t>
      </w:r>
    </w:p>
    <w:p>
      <w:pPr>
        <w:pStyle w:val="ListBullet"/>
      </w:pPr>
      <w:r>
        <w:rPr>
          <w:i/>
        </w:rPr>
        <w:t>Su propia ley o el dato:</w:t>
      </w:r>
      <w:r>
        <w:t xml:space="preserve"> los jueces son «independientes, inamovibles, responsables y sometidos únicamente al imperio de la ley»</w:t>
      </w:r>
      <w:r>
        <w:t xml:space="preserve"> (Constitución, art. 117.1)</w:t>
      </w:r>
      <w:r>
        <w:br/>
      </w:r>
      <w:r>
        <w:rPr>
          <w:b/>
        </w:rPr>
        <w:t>leída en su fuente · Constitución, art. 117.1</w:t>
      </w:r>
      <w:r>
        <w:br/>
      </w:r>
      <w:r>
        <w:rPr>
          <w:b/>
        </w:rPr>
        <w:t>Archivo leído:</w:t>
      </w:r>
      <w:r>
        <w:t xml:space="preserve"> ce.html (ant\c1\ce.html) · contraste del archivo de pasajes: ✔</w:t>
      </w:r>
      <w:r>
        <w:br/>
      </w:r>
      <w:r>
        <w:rPr>
          <w:b/>
        </w:rPr>
        <w:t>Lugar:</w:t>
      </w:r>
      <w:r>
        <w:t xml:space="preserve"> Constitución, art. 117.1</w:t>
      </w:r>
      <w:r>
        <w:br/>
      </w:r>
      <w:r>
        <w:rPr>
          <w:b/>
        </w:rPr>
        <w:t>Tal como está en la fuente:</w:t>
      </w:r>
      <w:r>
        <w:t xml:space="preserve"> independientes, inamovibles, responsables y sometidos únicamente al imperio de la ley</w:t>
      </w:r>
      <w:r>
        <w:t>. El diseño viene de Montesquieu: «que el poder frene al poder» (</w:t>
      </w:r>
      <w:r>
        <w:t>6.5</w:t>
      </w:r>
      <w:r>
        <w:t>). Y se mide: cuando hubo una extralimitación real, otro poder la corrigió en el 26,32 % de los casos del organigrama del poder y en el 4,65 % de los del bien común (</w:t>
      </w:r>
      <w:r>
        <w:t>7.4</w:t>
      </w:r>
      <w:r>
        <w:t>).</w:t>
      </w:r>
    </w:p>
    <w:p>
      <w:r>
        <w:rPr>
          <w:b/>
        </w:rPr>
        <w:t>Dónde está probado:</w:t>
      </w:r>
      <w:r>
        <w:t xml:space="preserve"> quién elige a los controladores (</w:t>
      </w:r>
      <w:r>
        <w:t>6.4</w:t>
      </w:r>
      <w:r>
        <w:t>); la separación de poderes (</w:t>
      </w:r>
      <w:r>
        <w:t>6.5</w:t>
      </w:r>
      <w:r>
        <w:t>); el gobierno de los jueces, el amparo y el freno que funcionó (</w:t>
      </w:r>
      <w:r>
        <w:t>7.2</w:t>
      </w:r>
      <w:r>
        <w:t>, n.º 2, 3 y 15); el matrimonio, la prisión permanente y el Defensor del Pueblo (</w:t>
      </w:r>
      <w:r>
        <w:t>7.3</w:t>
      </w:r>
      <w:r>
        <w:t>, n.º 4, 5 y 9); y el freno, medido (</w:t>
      </w:r>
      <w:r>
        <w:t>7.4</w:t>
      </w:r>
      <w:r>
        <w:t>).</w:t>
      </w:r>
    </w:p>
    <w:p>
      <w:r>
        <w:rPr>
          <w:b/>
        </w:rPr>
        <w:t>La pregunta:</w:t>
      </w:r>
      <w:r>
        <w:t xml:space="preserve"> ¿qué garantiza la independencia de un órgano de control cuyos miembros eligen los partidos a los que controla?</w:t>
      </w:r>
    </w:p>
    <w:p>
      <w:r>
        <w:rPr>
          <w:b/>
        </w:rPr>
        <w:t>La defensa del Estado:</w:t>
      </w:r>
      <w:r>
        <w:t xml:space="preserve"> el poder está repartido entre las Cortes, el Gobierno y los jueces, y los tribunales anulan leyes y decretos. El Constitucional avaló en 1986 que las Cortes eligieran el Consejo General del Poder Judicial (</w:t>
      </w:r>
      <w:r>
        <w:t>6.4</w:t>
      </w:r>
      <w:r>
        <w:t>), y el Consejo se renovó en junio de 2024 (</w:t>
      </w:r>
      <w:r>
        <w:t>7.2</w:t>
      </w:r>
      <w:r>
        <w:t>, n.º 2). Los magistrados del Constitucional se eligen por mayorías de tres quintos, y los que designa el Senado, entre los candidatos que proponen los parlamentos autonómicos (</w:t>
      </w:r>
      <w:r>
        <w:t>6.4</w:t>
      </w:r>
      <w:r>
        <w:t>). La ley permite disolver un partido por vía judicial, y se ha aplicado (</w:t>
      </w:r>
      <w:r>
        <w:t>6.4</w:t>
      </w:r>
      <w:r>
        <w:t>). Si el nombramiento de consejero del Tribunal de Cuentas recae en un diputado o un senador, «antes de tomar posesión, habrá de renunciar a su escaño» (</w:t>
      </w:r>
      <w:r>
        <w:t>6.4</w:t>
      </w:r>
      <w:r>
        <w:t>). El Defensor del Pueblo no sanciona: su fuerza es su autoridad y su informe ante las Cortes (</w:t>
      </w:r>
      <w:r>
        <w:t>7.3</w:t>
      </w:r>
      <w:r>
        <w:t>, n.º 9). El amparo es un recurso extraordinario y subsidiario: los primeros garantes de los derechos son los jueces ordinarios, y la ley solo admite los recursos que tienen «especial trascendencia constitucional»</w:t>
      </w:r>
      <w:r>
        <w:t xml:space="preserve"> (Ley Orgánica del Tribunal Constitucional, art. 50.1.b)</w:t>
      </w:r>
      <w:r>
        <w:br/>
      </w:r>
      <w:r>
        <w:rPr>
          <w:b/>
        </w:rPr>
        <w:t>leída en su fuente · Ley Orgánica del Tribunal Constitucional, art. 50.1.b</w:t>
      </w:r>
      <w:r>
        <w:br/>
      </w:r>
      <w:r>
        <w:rPr>
          <w:b/>
        </w:rPr>
        <w:t>Archivo leído:</w:t>
      </w:r>
      <w:r>
        <w:t xml:space="preserve"> tc_memoria_2025.pdf.txt) (c5\tc_memoria_2025.pdf) · contraste del archivo de pasajes: ✔</w:t>
      </w:r>
      <w:r>
        <w:br/>
      </w:r>
      <w:r>
        <w:rPr>
          <w:b/>
        </w:rPr>
        <w:t>Lugar:</w:t>
      </w:r>
      <w:r>
        <w:t xml:space="preserve"> PDF 10 (impr. 13)</w:t>
      </w:r>
      <w:r>
        <w:br/>
      </w:r>
      <w:r>
        <w:rPr>
          <w:b/>
        </w:rPr>
        <w:t>Dirección:</w:t>
      </w:r>
      <w:r>
        <w:t xml:space="preserve"> </w:t>
      </w:r>
      <w:r>
        <w:t>https://www.tribunalconstitucional.es/es/jurisprudencia/InformacionRelevante/Memoria%202025.pdf</w:t>
      </w:r>
      <w:r>
        <w:br/>
      </w:r>
      <w:r>
        <w:rPr>
          <w:b/>
        </w:rPr>
        <w:t>Tal como está en la fuente:</w:t>
      </w:r>
      <w:r>
        <w:t xml:space="preserve"> sigue ocupando el primer puesto la causa relativa a la falta de especial trascendencia constitucional (5.401, el 57,83 por 100)</w:t>
      </w:r>
      <w:r>
        <w:t>. Y el sistema se frena a sí mismo: el Constitucional declaró inconstitucional en parte la ley de amnistía de 2024 (</w:t>
      </w:r>
      <w:r>
        <w:t>7.2</w:t>
      </w:r>
      <w:r>
        <w:t>, n.º 15), y avaló la ley que amplió un derecho, el del matrimonio (</w:t>
      </w:r>
      <w:r>
        <w:t>7.3</w:t>
      </w:r>
      <w:r>
        <w:t>, n.º 4).</w:t>
      </w:r>
    </w:p>
    <w:p>
      <w:r>
        <w:rPr>
          <w:b/>
        </w:rPr>
        <w:t>Los contrapuntos de la obra:</w:t>
      </w:r>
    </w:p>
    <w:p>
      <w:pPr>
        <w:spacing w:after="60"/>
        <w:ind w:left="510" w:hanging="397"/>
      </w:pPr>
      <w:r>
        <w:rPr>
          <w:b w:val="0"/>
        </w:rPr>
        <w:t xml:space="preserve">1. </w:t>
      </w:r>
      <w:r>
        <w:rPr>
          <w:i/>
        </w:rPr>
        <w:t>Con su propia ley.</w:t>
      </w:r>
      <w:r>
        <w:t xml:space="preserve"> La Constitución quiere jueces independientes (art. 117.1), y que doce de los veinte vocales del Consejo General del Poder Judicial sean «entre Jueces y Magistrados» (art. 122.3; </w:t>
      </w:r>
      <w:r>
        <w:t>7.2</w:t>
      </w:r>
      <w:r>
        <w:t>, n.º 2). Hoy los veinte los designan las Cortes (</w:t>
      </w:r>
      <w:r>
        <w:t>6.4</w:t>
      </w:r>
      <w:r>
        <w:t>), igual que a los doce consejeros del Tribunal de Cuentas y a ocho de los doce magistrados del Constitucional, por tres quintos; otros dos los propone el Gobierno (</w:t>
      </w:r>
      <w:r>
        <w:t>6.4</w:t>
      </w:r>
      <w:r>
        <w:t>). Y el Fiscal General del Estado lo nombra el Rey «a propuesta del Gobierno»</w:t>
      </w:r>
      <w:r>
        <w:t xml:space="preserve"> (Constitución, art. 124.4)</w:t>
      </w:r>
      <w:r>
        <w:t>. No son diseños distintos, sino uno, repetido: quien debe ser controlado elige a quien lo controla (</w:t>
      </w:r>
      <w:r>
        <w:t>6.4</w:t>
      </w:r>
      <w:r>
        <w:t>).</w:t>
      </w:r>
    </w:p>
    <w:p>
      <w:pPr>
        <w:spacing w:after="60"/>
        <w:ind w:left="510" w:hanging="397"/>
      </w:pPr>
      <w:r>
        <w:rPr>
          <w:b w:val="0"/>
        </w:rPr>
        <w:t xml:space="preserve">2. </w:t>
      </w:r>
      <w:r>
        <w:rPr>
          <w:i/>
        </w:rPr>
        <w:t>El propio Constitucional lo advirtió.</w:t>
      </w:r>
      <w:r>
        <w:t xml:space="preserve"> Al avalar la reforma de 1985 escribió que «La lógica del Estado de partidos empuja a actuaciones de este género», y que el riesgo «parece aconsejar su sustitución, pero no es fundamento bastante para declarar su invalidez» (STC 108/1986, FJ 13; </w:t>
      </w:r>
      <w:r>
        <w:t>6.4</w:t>
      </w:r>
      <w:r>
        <w:t>). El Consejo estuvo cinco años y medio con el mandato caducado, de diciembre de 2018 a junio de 2024, y el GRECO llamó a ese bloqueo «un asunto de preocupación crítica» (</w:t>
      </w:r>
      <w:r>
        <w:t>7.2</w:t>
      </w:r>
      <w:r>
        <w:t>, n.º 2). En el mismo informe constató: «Las autoridades de España no han comunicado ninguna novedad»</w:t>
      </w:r>
      <w:r>
        <w:t xml:space="preserve"> [original: «The authorities of Spain have not reported any new development»]</w:t>
      </w:r>
      <w:r>
        <w:t xml:space="preserve"> (GRECO, Cuarta Ronda, segunda adenda al segundo informe de cumplimiento, 2024)</w:t>
      </w:r>
      <w:r>
        <w:br/>
      </w:r>
      <w:r>
        <w:rPr>
          <w:b/>
        </w:rPr>
        <w:t>leída en su fuente · GRECO, Cuarta Ronda, segunda adenda al segundo informe de cumplimiento, 2024</w:t>
      </w:r>
      <w:r>
        <w:br/>
      </w:r>
      <w:r>
        <w:rPr>
          <w:b/>
        </w:rPr>
        <w:t>Archivo leído:</w:t>
      </w:r>
      <w:r>
        <w:t xml:space="preserve"> 15.00_GRECO_RC4_2024_10_2a_adenda_2o_informe_cumplimiento_Espana_ENG.pdf (c7b\15.00_GRECO_RC4_2024_10_2a_adenda_2o_informe_cumplimiento_Espana_ENG.pdf) · contraste del archivo de pasajes: ✔</w:t>
      </w:r>
      <w:r>
        <w:br/>
      </w:r>
      <w:r>
        <w:rPr>
          <w:b/>
        </w:rPr>
        <w:t>Lugar:</w:t>
      </w:r>
      <w:r>
        <w:t xml:space="preserve"> Párr. 17, PDF 4</w:t>
      </w:r>
      <w:r>
        <w:br/>
      </w:r>
      <w:r>
        <w:rPr>
          <w:b/>
        </w:rPr>
        <w:t>Dirección:</w:t>
      </w:r>
      <w:r>
        <w:t xml:space="preserve"> </w:t>
      </w:r>
      <w:r>
        <w:t>https://rm.coe.int/grecorc4-2024-10-final-eng-2nd-add-to-the-2nd-compliance-report-spain-/1680b5482c</w:t>
      </w:r>
      <w:r>
        <w:br/>
      </w:r>
      <w:r>
        <w:rPr>
          <w:b/>
        </w:rPr>
        <w:t>Tal como está en la fuente:</w:t>
      </w:r>
      <w:r>
        <w:t xml:space="preserve"> The authorities of Spain have not reported any new development.</w:t>
      </w:r>
      <w:r>
        <w:br/>
      </w:r>
      <w:r>
        <w:rPr>
          <w:b/>
        </w:rPr>
        <w:t>Traducción guardada:</w:t>
      </w:r>
      <w:r>
        <w:t xml:space="preserve"> Las autoridades de España no han comunicado ninguna novedad.</w:t>
      </w:r>
      <w:r>
        <w:t>.</w:t>
      </w:r>
    </w:p>
    <w:p>
      <w:pPr>
        <w:spacing w:after="60"/>
        <w:ind w:left="510" w:hanging="397"/>
      </w:pPr>
      <w:r>
        <w:rPr>
          <w:b w:val="0"/>
        </w:rPr>
        <w:t xml:space="preserve">3. </w:t>
      </w:r>
      <w:r>
        <w:rPr>
          <w:i/>
        </w:rPr>
        <w:t>El dinero de los partidos.</w:t>
      </w:r>
      <w:r>
        <w:t xml:space="preserve"> Quien lo fiscaliza, el Tribunal de Cuentas, lo eligen las Cámaras, es decir, los partidos; y si un partido sancionado recurre ante el Supremo, «la interposición del recurso suspenderá automáticamente la ejecución» (</w:t>
      </w:r>
      <w:r>
        <w:t>6.4</w:t>
      </w:r>
      <w:r>
        <w:t>).</w:t>
      </w:r>
    </w:p>
    <w:p>
      <w:pPr>
        <w:spacing w:after="60"/>
        <w:ind w:left="510" w:hanging="397"/>
      </w:pPr>
      <w:r>
        <w:rPr>
          <w:b w:val="0"/>
        </w:rPr>
        <w:t xml:space="preserve">4. </w:t>
      </w:r>
      <w:r>
        <w:rPr>
          <w:i/>
        </w:rPr>
        <w:t>De qué lado cae el freno.</w:t>
      </w:r>
      <w:r>
        <w:t xml:space="preserve"> En lo que afecta al ciudadano, otro poder corrigió 2 de 43 extralimitaciones reales; en el organigrama del poder, 10 de 38 (</w:t>
      </w:r>
      <w:r>
        <w:t>7.4</w:t>
      </w:r>
      <w:r>
        <w:t>). El freno actúa más de cinco veces más a menudo cuando el poder se controla a sí mismo que cuando protege al ciudadano.</w:t>
      </w:r>
    </w:p>
    <w:p>
      <w:pPr>
        <w:spacing w:after="60"/>
        <w:ind w:left="510" w:hanging="397"/>
      </w:pPr>
      <w:r>
        <w:rPr>
          <w:b w:val="0"/>
        </w:rPr>
        <w:t xml:space="preserve">5. </w:t>
      </w:r>
      <w:r>
        <w:rPr>
          <w:i/>
        </w:rPr>
        <w:t>La puerta del ciudadano es estrecha.</w:t>
      </w:r>
      <w:r>
        <w:t xml:space="preserve"> En 2025, de 9.089 recursos de amparo se admitieron 59 (</w:t>
      </w:r>
      <w:r>
        <w:t>5.1</w:t>
      </w:r>
      <w:r>
        <w:t>, n.º 19). La primera causa de inadmisión, en 5.401 casos, el 57,8 %</w:t>
      </w:r>
      <w:r>
        <w:t xml:space="preserve"> (Tribunal Constitucional, Memoria 2025)</w:t>
      </w:r>
      <w:r>
        <w:t>, fue la falta de «especial trascendencia constitucional» (</w:t>
      </w:r>
      <w:r>
        <w:t>7.2</w:t>
      </w:r>
      <w:r>
        <w:t>, n.º 3): un filtro que no está en la Constitución, sino en la ley que el propio sistema escribió. Y las providencias de inadmisión «especificarán el requisito incumplido»</w:t>
      </w:r>
      <w:r>
        <w:t xml:space="preserve"> (Ley Orgánica del Tribunal Constitucional, art. 50.3)</w:t>
      </w:r>
      <w:r>
        <w:br/>
      </w:r>
      <w:r>
        <w:rPr>
          <w:b/>
        </w:rPr>
        <w:t>leída en su fuente · Ley Orgánica del Tribunal Constitucional, art. 50.3</w:t>
      </w:r>
      <w:r>
        <w:br/>
      </w:r>
      <w:r>
        <w:rPr>
          <w:b/>
        </w:rPr>
        <w:t>Archivo leído:</w:t>
      </w:r>
      <w:r>
        <w:t xml:space="preserve"> lotc_lo2_1979.html (c5\lotc_lo2_1979.html) · contraste del archivo de pasajes: ✔</w:t>
      </w:r>
      <w:r>
        <w:br/>
      </w:r>
      <w:r>
        <w:rPr>
          <w:b/>
        </w:rPr>
        <w:t>Lugar:</w:t>
      </w:r>
      <w:r>
        <w:t xml:space="preserve"> Art. 50.3</w:t>
      </w:r>
      <w:r>
        <w:br/>
      </w:r>
      <w:r>
        <w:rPr>
          <w:b/>
        </w:rPr>
        <w:t>Dirección:</w:t>
      </w:r>
      <w:r>
        <w:t xml:space="preserve"> </w:t>
      </w:r>
      <w:r>
        <w:t>https://www.boe.es/buscar/act.php?id=BOE-A-1979-23709</w:t>
      </w:r>
      <w:r>
        <w:br/>
      </w:r>
      <w:r>
        <w:rPr>
          <w:b/>
        </w:rPr>
        <w:t>Tal como está en la fuente:</w:t>
      </w:r>
      <w:r>
        <w:t xml:space="preserve"> 3. Las providencias de inadmisión, adoptadas por las Secciones o las Salas, especificarán el requisito incumplido</w:t>
      </w:r>
      <w:r>
        <w:t>: el ciudadano sabe qué requisito falló, no por qué su derecho no tenía trascendencia.</w:t>
      </w:r>
    </w:p>
    <w:p>
      <w:pPr>
        <w:spacing w:after="60"/>
        <w:ind w:left="510" w:hanging="397"/>
      </w:pPr>
      <w:r>
        <w:rPr>
          <w:b w:val="0"/>
        </w:rPr>
        <w:t xml:space="preserve">6. </w:t>
      </w:r>
      <w:r>
        <w:rPr>
          <w:i/>
        </w:rPr>
        <w:t>Los frenos que no muerden.</w:t>
      </w:r>
      <w:r>
        <w:t xml:space="preserve"> Si la Administración no responde al Defensor del Pueblo, la consecuencia es que la nombre en su informe (</w:t>
      </w:r>
      <w:r>
        <w:t>7.3</w:t>
      </w:r>
      <w:r>
        <w:t>, n.º 9). Cuando es el ciudadano quien no responde a la Administración, llegan el recargo y el embargo, sin juez (</w:t>
      </w:r>
      <w:r>
        <w:t>cargo 13</w:t>
      </w:r>
      <w:r>
        <w:t>). Y cuando los tribunales resuelven, a veces tardan: la ley que amplió el matrimonio se avaló siete años después del recurso (</w:t>
      </w:r>
      <w:r>
        <w:t>7.3</w:t>
      </w:r>
      <w:r>
        <w:t>, n.º 4); la prisión permanente revisable, con un voto particular de tres magistrados (</w:t>
      </w:r>
      <w:r>
        <w:t>7.3</w:t>
      </w:r>
      <w:r>
        <w:t>, n.º 5).</w:t>
      </w:r>
    </w:p>
    <w:p>
      <w:r>
        <w:rPr>
          <w:b/>
        </w:rPr>
        <w:t>Dónde aguanta:</w:t>
      </w:r>
      <w:r>
        <w:t xml:space="preserve"> el freno existe y a veces funciona. El Constitucional anuló en parte la ley de amnistía y avaló una ley que amplió un derecho; la auditoría cuenta doce correcciones reales del poder (</w:t>
      </w:r>
      <w:r>
        <w:t>7.4</w:t>
      </w:r>
      <w:r>
        <w:t>); el consejero del Tribunal de Cuentas renuncia a su escaño; y el Consejo se renovó en 2024. La obra lo concede: el sistema todavía se frena a sí mismo alguna vez, y no es un mecanismo vaciado del todo (</w:t>
      </w:r>
      <w:r>
        <w:t>7.2</w:t>
      </w:r>
      <w:r>
        <w:t>). Pero un freno que funciona a veces no cambia la asimetría de conjunto: el cobro, blindado; el deber, aplazado (</w:t>
      </w:r>
      <w:r>
        <w:t>7.6</w:t>
      </w:r>
      <w:r>
        <w:t>).</w:t>
      </w:r>
    </w:p>
    <w:p>
      <w:r>
        <w:rPr>
          <w:b/>
        </w:rPr>
        <w:t>Límite honesto:</w:t>
      </w:r>
      <w:r>
        <w:t xml:space="preserve"> la obra no prueba que los controladores elegidos por las Cámaras decidan a favor de quien los eligió. Prueba quién los elige y de qué lado cae el freno cuando actúa (</w:t>
      </w:r>
      <w:r>
        <w:t>7.4</w:t>
      </w:r>
      <w:r>
        <w:t>). Y un patrón no prueba una intención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24; 00.1-4.26 a 4.30, la defensa del amparo que el capítulo 5 promete oír aquí; 10.00-18.10 y 18.11, sin los 40 decretos-leyes frente a 74 leyes (van las cifras de la CEOE en el cargo 12) y con el Fiscal General por el texto del art. 124.4; 13.00-13.2, 13.3, 13.6, 13.7, 13.10 y 13.11, el Tribunal de Cuentas que el capítulo 6 promete oír aquí, sin «ninguno de los grandes casos de corrupción surgió de sus fiscalizaciones» ni los cuatro magistrados del Constitucional con el mandato caducado desde diciembre de 2025: sin fila; 15.00-17.4 a 17.7, sin la «mediación europea» ni la reforma fracasada en febrero de 2025: sin fila; el 57,8 % y «ninguna novedad», con su fila (c7b: Memoria 2025 del Tribunal Constitucional y GRECO 2024); 15.00-17.30 y 17.31, el freno que funcionó, que el capítulo 7 promete oír aquí; 16.00-13.6, 13.7, 13.10 y 13.11, con «un voto particular de tres magistrados» de 7.3; 18.00-7.8 y 7.9. Ex 23:8 entero en la Reina-Valera Antigua (c3; 3.2 cita solo la primera mitad), a petición de Kiko, para que la vara hable también de la justicia. Leídos hoy en local: Constitución, arts. 117.1 y 124.4; Ley Orgánica del Tribunal Constitucional, art. 50.3, que la fila del registro atribuía a la Constitución]</w:t>
      </w:r>
    </w:p>
    <w:p>
      <w:pPr>
        <w:pStyle w:val="Heading3"/>
      </w:pPr>
      <w:r>
        <w:t>Cargo 25. La carga</w:t>
      </w:r>
    </w:p>
    <w:p>
      <w:r>
        <w:rPr>
          <w:b/>
        </w:rPr>
        <w:t>La presunción:</w:t>
      </w:r>
      <w:r>
        <w:t xml:space="preserve"> «Que cada uno contribuye según su capacidad, y no más».</w:t>
      </w:r>
    </w:p>
    <w:p>
      <w:r>
        <w:rPr>
          <w:b/>
        </w:rPr>
        <w:t>La vara.</w:t>
      </w:r>
    </w:p>
    <w:p>
      <w:pPr>
        <w:pStyle w:val="ListBullet"/>
      </w:pPr>
      <w:r>
        <w:rPr>
          <w:i/>
        </w:rPr>
        <w:t>La ley de Dios:</w:t>
      </w:r>
      <w:r>
        <w:t xml:space="preserve"> a los recaudadores, Juan el Bautista: «No exijáis más de lo que os está ordenado» (Lc 3:13; </w:t>
      </w:r>
      <w:r>
        <w:t>3.2</w:t>
      </w:r>
      <w:r>
        <w:t xml:space="preserve">, P8). Y cuando Roboam respondió al pueblo «Mi padre agravó vuestro yugo, pero yo añadiré á vuestro yugo», el reino se dividió (1 R 12:14-16; </w:t>
      </w:r>
      <w:r>
        <w:t>3.2</w:t>
      </w:r>
      <w:r>
        <w:t>, P2).</w:t>
      </w:r>
    </w:p>
    <w:p>
      <w:pPr>
        <w:pStyle w:val="ListBullet"/>
      </w:pPr>
      <w:r>
        <w:rPr>
          <w:i/>
        </w:rPr>
        <w:t>Las tradiciones:</w:t>
      </w:r>
      <w:r>
        <w:t xml:space="preserve"> «sé como el florista, rey», que cuida la planta, y no como el carbonero, que la quema (Mahabharata 12.72; </w:t>
      </w:r>
      <w:r>
        <w:t>3.2</w:t>
      </w:r>
      <w:r>
        <w:t xml:space="preserve">, P2). La misma tradición describe la trampa: subir la carga «como quien va aumentando poco a poco la carga de un novillo» (Mahabharata 12.89; </w:t>
      </w:r>
      <w:r>
        <w:t>3.2</w:t>
      </w:r>
      <w:r>
        <w:t>, P2). Y Mencio rechaza también el impuesto demasiado bajo: el principio es la medida justa, no «cuanto menos, mejor» (</w:t>
      </w:r>
      <w:r>
        <w:t>3.2</w:t>
      </w:r>
      <w:r>
        <w:t>, P2).</w:t>
      </w:r>
    </w:p>
    <w:p>
      <w:pPr>
        <w:pStyle w:val="ListBullet"/>
      </w:pPr>
      <w:r>
        <w:rPr>
          <w:i/>
        </w:rPr>
        <w:t>Su propia ley:</w:t>
      </w:r>
      <w:r>
        <w:t xml:space="preserve"> «Todos contribuirán al sostenimiento de los gastos públicos de acuerdo con su capacidad económica mediante un sistema tributario justo inspirado en los principios de igualdad y progresividad que, en ningún caso, tendrá alcance confiscatorio»</w:t>
      </w:r>
      <w:r>
        <w:t xml:space="preserve"> (Constitución, art. 31.1)</w:t>
      </w:r>
      <w:r>
        <w:br/>
      </w:r>
      <w:r>
        <w:rPr>
          <w:b/>
        </w:rPr>
        <w:t>leída en su fuente · Constitución, art. 31.1</w:t>
      </w:r>
      <w:r>
        <w:br/>
      </w:r>
      <w:r>
        <w:rPr>
          <w:b/>
        </w:rPr>
        <w:t>Archivo leído:</w:t>
      </w:r>
      <w:r>
        <w:t xml:space="preserve"> ce.html (ant\c1\ce.html) · contraste del archivo de pasajes: ✔</w:t>
      </w:r>
      <w:r>
        <w:br/>
      </w:r>
      <w:r>
        <w:rPr>
          <w:b/>
        </w:rPr>
        <w:t>Lugar:</w:t>
      </w:r>
      <w:r>
        <w:t xml:space="preserve"> Constitución, art. 31.1</w:t>
      </w:r>
      <w:r>
        <w:br/>
      </w:r>
      <w:r>
        <w:rPr>
          <w:b/>
        </w:rPr>
        <w:t>Tal como está en la fuente:</w:t>
      </w:r>
      <w:r>
        <w:t xml:space="preserve"> Todos contribuirán al sostenimiento de los gastos públicos de acuerdo con su capacidad económica mediante un sistema tributario justo inspirado en los principios de igualdad y progresividad que, en ningún caso, tendrá alcance confiscatorio</w:t>
      </w:r>
      <w:r>
        <w:t>.</w:t>
      </w:r>
    </w:p>
    <w:p>
      <w:r>
        <w:rPr>
          <w:b/>
        </w:rPr>
        <w:t>Dónde está probado:</w:t>
      </w:r>
      <w:r>
        <w:t xml:space="preserve"> la carga, con sus tres perfiles (</w:t>
      </w:r>
      <w:r>
        <w:t>8.4</w:t>
      </w:r>
      <w:r>
        <w:t>); lo que se lleva de cada jornada (</w:t>
      </w:r>
      <w:r>
        <w:t>8.3</w:t>
      </w:r>
      <w:r>
        <w:t>); las creencias sobre las cotizaciones y la presión fiscal (</w:t>
      </w:r>
      <w:r>
        <w:t>5.1</w:t>
      </w:r>
      <w:r>
        <w:t>, n.º 3 y 4); el límite de lo confiscatorio y las capas (</w:t>
      </w:r>
      <w:r>
        <w:t>7.6</w:t>
      </w:r>
      <w:r>
        <w:t>); quién sostiene a quién (</w:t>
      </w:r>
      <w:r>
        <w:t>8.6</w:t>
      </w:r>
      <w:r>
        <w:t>); y la carga que sube desde 1995 (</w:t>
      </w:r>
      <w:r>
        <w:t>9.1</w:t>
      </w:r>
      <w:r>
        <w:t>).</w:t>
      </w:r>
    </w:p>
    <w:p>
      <w:r>
        <w:rPr>
          <w:b/>
        </w:rPr>
        <w:t>La pregunta:</w:t>
      </w:r>
      <w:r>
        <w:t xml:space="preserve"> ¿cuál es el límite de la carga total que soporta el trabajo de una persona, sumadas todas las administraciones, y quién lo mide?</w:t>
      </w:r>
    </w:p>
    <w:p>
      <w:r>
        <w:rPr>
          <w:b/>
        </w:rPr>
        <w:t>La defensa del Estado:</w:t>
      </w:r>
      <w:r>
        <w:t xml:space="preserve"> la presión fiscal sobre el PIB es el indicador que usan la OCDE y Eurostat para comparar países, y España, con el 37,3 % en 2024, está por debajo de la media de la UE, el 40,3 % (</w:t>
      </w:r>
      <w:r>
        <w:t>8.4</w:t>
      </w:r>
      <w:r>
        <w:t>). Las cotizaciones de la empresa las paga legalmente el empleador, y así las registra la contabilidad nacional (</w:t>
      </w:r>
      <w:r>
        <w:t>5.1</w:t>
      </w:r>
      <w:r>
        <w:t>, n.º 3). Cada impuesto grava un hecho distinto (la renta, el consumo, la propiedad, la herencia), y la Constitución reparte el poder de crearlos: la potestad originaria es del Estado, y «Las Comunidades Autónomas y las Corporaciones locales podrán establecer y exigir tributos, de acuerdo con la Constitución y las leyes»</w:t>
      </w:r>
      <w:r>
        <w:t xml:space="preserve"> (Constitución, art. 133.2)</w:t>
      </w:r>
      <w:r>
        <w:br/>
      </w:r>
      <w:r>
        <w:rPr>
          <w:b/>
        </w:rPr>
        <w:t>leída en su fuente · Constitución, art. 133.2</w:t>
      </w:r>
      <w:r>
        <w:br/>
      </w:r>
      <w:r>
        <w:rPr>
          <w:b/>
        </w:rPr>
        <w:t>Archivo leído:</w:t>
      </w:r>
      <w:r>
        <w:t xml:space="preserve"> ce.html (ant\c1\ce.html) · contraste del archivo de pasajes: ✔</w:t>
      </w:r>
      <w:r>
        <w:br/>
      </w:r>
      <w:r>
        <w:rPr>
          <w:b/>
        </w:rPr>
        <w:t>Lugar:</w:t>
      </w:r>
      <w:r>
        <w:t xml:space="preserve"> Constitución, art. 133.2</w:t>
      </w:r>
      <w:r>
        <w:br/>
      </w:r>
      <w:r>
        <w:rPr>
          <w:b/>
        </w:rPr>
        <w:t>Tal como está en la fuente:</w:t>
      </w:r>
      <w:r>
        <w:t xml:space="preserve"> Las Comunidades Autónomas y las Corporaciones locales podrán establecer y exigir tributos, de acuerdo con la Constitución y las leyes</w:t>
      </w:r>
      <w:r>
        <w:t>. La Constitución prohíbe el alcance confiscatorio, y el Constitucional lo hace cumplir: anuló el cálculo de la plusvalía municipal (</w:t>
      </w:r>
      <w:r>
        <w:t>7.6</w:t>
      </w:r>
      <w:r>
        <w:t>). El autónomo cotiza según sus rendimientos netos, por tramos (</w:t>
      </w:r>
      <w:r>
        <w:t>8.4</w:t>
      </w:r>
      <w:r>
        <w:t>). La administración electrónica simplifica los trámites, y quien no quiera usarla puede no hacerlo: las personas físicas «podrán elegir en todo momento» (</w:t>
      </w:r>
      <w:r>
        <w:t>8.4</w:t>
      </w:r>
      <w:r>
        <w:t>). Lo que se cotiza da derecho a una pensión que la OCDE calcula en el 80,4 % del salario (</w:t>
      </w:r>
      <w:r>
        <w:t>8.4</w:t>
      </w:r>
      <w:r>
        <w:t>). Y las comparaciones entre el sueldo público y el privado son en bruto: no corrigen la cualificación ni la antigüedad, como la propia obra reconoce (</w:t>
      </w:r>
      <w:r>
        <w:t>8.6</w:t>
      </w:r>
      <w:r>
        <w:t>).</w:t>
      </w:r>
    </w:p>
    <w:p>
      <w:r>
        <w:rPr>
          <w:b/>
        </w:rPr>
        <w:t>Los contrapuntos de la obra:</w:t>
      </w:r>
    </w:p>
    <w:p>
      <w:pPr>
        <w:spacing w:after="60"/>
        <w:ind w:left="510" w:hanging="397"/>
      </w:pPr>
      <w:r>
        <w:rPr>
          <w:b w:val="0"/>
        </w:rPr>
        <w:t xml:space="preserve">1. </w:t>
      </w:r>
      <w:r>
        <w:rPr>
          <w:i/>
        </w:rPr>
        <w:t>Con su propia ley.</w:t>
      </w:r>
      <w:r>
        <w:t xml:space="preserve"> La Constitución pide contribuir según la «capacidad económica» y prohíbe el «alcance confiscatorio» (art. 31.1). Pero el único umbral concreto que ha fijado el Constitucional es el de la plusvalía: es confiscatorio pagar más de lo «realmente obtenido» (STC 126/2019; </w:t>
      </w:r>
      <w:r>
        <w:t>7.6</w:t>
      </w:r>
      <w:r>
        <w:t xml:space="preserve">); y él mismo admitió «la dificultad de situar con criterios técnicamente operativos la frontera» (STC 150/1990; </w:t>
      </w:r>
      <w:r>
        <w:t>7.6</w:t>
      </w:r>
      <w:r>
        <w:t>). Para la carga total sobre el trabajo no hay ningún límite fijado. Y la plusvalía se anuló solo hacia delante: lo cobrado y firme no se devolvió (</w:t>
      </w:r>
      <w:r>
        <w:t>5.1</w:t>
      </w:r>
      <w:r>
        <w:t>, n.º 9).</w:t>
      </w:r>
    </w:p>
    <w:p>
      <w:pPr>
        <w:spacing w:after="60"/>
        <w:ind w:left="510" w:hanging="397"/>
      </w:pPr>
      <w:r>
        <w:rPr>
          <w:b w:val="0"/>
        </w:rPr>
        <w:t xml:space="preserve">2. </w:t>
      </w:r>
      <w:r>
        <w:rPr>
          <w:i/>
        </w:rPr>
        <w:t>La cifra que se publica no es la carga de nadie.</w:t>
      </w:r>
      <w:r>
        <w:t xml:space="preserve"> La presión fiscal es una media sobre toda la economía (</w:t>
      </w:r>
      <w:r>
        <w:t>8.4</w:t>
      </w:r>
      <w:r>
        <w:t>). Medida sobre lo que cuesta el trabajo de un asalariado medio, al menos 41 de cada 100 euros van a cotizaciones e IRPF, y hasta 53,6 con todas las capas (</w:t>
      </w:r>
      <w:r>
        <w:t>8.4</w:t>
      </w:r>
      <w:r>
        <w:t>): de cada jornada de ocho horas, 3 horas y 19 minutos (</w:t>
      </w:r>
      <w:r>
        <w:t>8.3</w:t>
      </w:r>
      <w:r>
        <w:t>). La nómina no enseña la cotización de la empresa: 9.243 euros sobre un salario bruto de 30.237 (</w:t>
      </w:r>
      <w:r>
        <w:t>8.4</w:t>
      </w:r>
      <w:r>
        <w:t>). De los 223.612 millones de cotizaciones de 2025, 161.409 los pagan los empleadores, y entre ellos las propias administraciones, con impuestos (</w:t>
      </w:r>
      <w:r>
        <w:t>5.1</w:t>
      </w:r>
      <w:r>
        <w:t>, n.º 3). Y la pensión prometida se paga en un sistema de reparto: la de quien cotiza hoy dependerá de quienes coticen después (</w:t>
      </w:r>
      <w:r>
        <w:t>8.6</w:t>
      </w:r>
      <w:r>
        <w:t xml:space="preserve">; </w:t>
      </w:r>
      <w:r>
        <w:t>cargo 15</w:t>
      </w:r>
      <w:r>
        <w:t>).</w:t>
      </w:r>
    </w:p>
    <w:p>
      <w:pPr>
        <w:spacing w:after="60"/>
        <w:ind w:left="510" w:hanging="397"/>
      </w:pPr>
      <w:r>
        <w:rPr>
          <w:b w:val="0"/>
        </w:rPr>
        <w:t xml:space="preserve">3. </w:t>
      </w:r>
      <w:r>
        <w:rPr>
          <w:i/>
        </w:rPr>
        <w:t>La carga ha subido.</w:t>
      </w:r>
      <w:r>
        <w:t xml:space="preserve"> Impuestos y cotizaciones eran el 32,3 % del PIB en 1995 y el 37,3 % en 2024: unas 18 jornadas más de cada año (</w:t>
      </w:r>
      <w:r>
        <w:t>9.1</w:t>
      </w:r>
      <w:r>
        <w:t>).</w:t>
      </w:r>
    </w:p>
    <w:p>
      <w:pPr>
        <w:spacing w:after="60"/>
        <w:ind w:left="510" w:hanging="397"/>
      </w:pPr>
      <w:r>
        <w:rPr>
          <w:b w:val="0"/>
        </w:rPr>
        <w:t xml:space="preserve">4. </w:t>
      </w:r>
      <w:r>
        <w:rPr>
          <w:i/>
        </w:rPr>
        <w:t>Nadie suma las capas.</w:t>
      </w:r>
      <w:r>
        <w:t xml:space="preserve"> El mismo patrimonio paga al ganarlo, cada año, al heredarlo y si sube de valor, sin coordinación entre administraciones (</w:t>
      </w:r>
      <w:r>
        <w:t>7.6</w:t>
      </w:r>
      <w:r>
        <w:t>); se publica cada dato, nunca la suma (</w:t>
      </w:r>
      <w:r>
        <w:t>8.6</w:t>
      </w:r>
      <w:r>
        <w:t>). Cumplir cuesta, además: gestores, asesores y abogados, que ninguna fuente oficial suma (</w:t>
      </w:r>
      <w:r>
        <w:t>8.4</w:t>
      </w:r>
      <w:r>
        <w:t>), y una asociación de autónomos cifra sus trámites en 226 horas al año (</w:t>
      </w:r>
      <w:r>
        <w:t>8.4</w:t>
      </w:r>
      <w:r>
        <w:t>), y para el asalariado no se ha encontrado ningún estudio del tiempo de atender las cartas del Estado, recoger notificaciones en Correos o ir al ayuntamiento (</w:t>
      </w:r>
      <w:r>
        <w:t>8.4</w:t>
      </w:r>
      <w:r>
        <w:t>). Y la cita previa obligatoria convierte en barrera la ayuda que la ley promete: el Defensor del Pueblo recomendó admitir escritos sin ella (</w:t>
      </w:r>
      <w:r>
        <w:t>8.4</w:t>
      </w:r>
      <w:r>
        <w:t>).</w:t>
      </w:r>
    </w:p>
    <w:p>
      <w:pPr>
        <w:spacing w:after="60"/>
        <w:ind w:left="510" w:hanging="397"/>
      </w:pPr>
      <w:r>
        <w:rPr>
          <w:b w:val="0"/>
        </w:rPr>
        <w:t xml:space="preserve">5. </w:t>
      </w:r>
      <w:r>
        <w:rPr>
          <w:i/>
        </w:rPr>
        <w:t>El autónomo lo paga todo.</w:t>
      </w:r>
      <w:r>
        <w:t xml:space="preserve"> No tiene empresa que cotice por él: con la base más baja paga 2.470,56 euros al año, aunque gane poco (</w:t>
      </w:r>
      <w:r>
        <w:t>8.4</w:t>
      </w:r>
      <w:r>
        <w:t>).</w:t>
      </w:r>
    </w:p>
    <w:p>
      <w:pPr>
        <w:spacing w:after="60"/>
        <w:ind w:left="510" w:hanging="397"/>
      </w:pPr>
      <w:r>
        <w:rPr>
          <w:b w:val="0"/>
        </w:rPr>
        <w:t xml:space="preserve">6. </w:t>
      </w:r>
      <w:r>
        <w:rPr>
          <w:i/>
        </w:rPr>
        <w:t>Quién sostiene a quién.</w:t>
      </w:r>
      <w:r>
        <w:t xml:space="preserve"> Al asalariado se le puede despedir con una indemnización tasada; al funcionario de carrera, solo por falta muy grave o condena; al parlamentario, nadie durante su mandato (</w:t>
      </w:r>
      <w:r>
        <w:t>8.6</w:t>
      </w:r>
      <w:r>
        <w:t xml:space="preserve">). Los representantes fijan su asignación (art. 71.4; </w:t>
      </w:r>
      <w:r>
        <w:t>7.2</w:t>
      </w:r>
      <w:r>
        <w:t>): un senador de fuera de Madrid cobra unos 78.555 euros al año, y el salario medio en el sector privado es de 22.962 (</w:t>
      </w:r>
      <w:r>
        <w:t>8.6</w:t>
      </w:r>
      <w:r>
        <w:t>). Las pensiones de Clases Pasivas son el 6,6 % de las de los dos sistemas y se llevan el 10,9 % de lo que se paga (</w:t>
      </w:r>
      <w:r>
        <w:t>cargo 23</w:t>
      </w:r>
      <w:r>
        <w:t>).</w:t>
      </w:r>
    </w:p>
    <w:p>
      <w:r>
        <w:rPr>
          <w:b/>
        </w:rPr>
        <w:t>Dónde aguanta:</w:t>
      </w:r>
      <w:r>
        <w:t xml:space="preserve"> la presión fiscal de España está por debajo de la media de la UE, y la pensión que promete es alta en comparación (</w:t>
      </w:r>
      <w:r>
        <w:t>8.4</w:t>
      </w:r>
      <w:r>
        <w:t>). El límite de lo confiscatorio existe, y funcionó una vez (</w:t>
      </w:r>
      <w:r>
        <w:t>7.6</w:t>
      </w:r>
      <w:r>
        <w:t>). La ley deja a las personas físicas elegir no relacionarse con la Administración por medios electrónicos (</w:t>
      </w:r>
      <w:r>
        <w:t>8.4</w:t>
      </w:r>
      <w:r>
        <w:t>). Y el autónomo tiene una cuota reducida durante los doce meses naturales siguientes al alta</w:t>
      </w:r>
      <w:r>
        <w:t xml:space="preserve"> (Ley 20/2007, art. 38 ter)</w:t>
      </w:r>
      <w:r>
        <w:t>; su cuantía la fija cada ley de presupuestos, y los 80 euros al mes solo constan, en la Ley 31/2022, para quienes se dan de alta en Cuenca, Soria y Teruel, durante 36 meses</w:t>
      </w:r>
      <w:r>
        <w:t xml:space="preserve"> (Ley 31/2022)</w:t>
      </w:r>
      <w:r>
        <w:t>. Y las comparaciones entre lo público y lo privado son en bruto (</w:t>
      </w:r>
      <w:r>
        <w:t>8.6</w:t>
      </w:r>
      <w:r>
        <w:t>).</w:t>
      </w:r>
    </w:p>
    <w:p>
      <w:r>
        <w:rPr>
          <w:b/>
        </w:rPr>
        <w:t>Límite honesto:</w:t>
      </w:r>
      <w:r>
        <w:t xml:space="preserve"> las capas 2 a 5 de la carga son estimaciones y una hipótesis, y las 226 horas son el dato de una asociación del sector (</w:t>
      </w:r>
      <w:r>
        <w:t>8.4</w:t>
      </w:r>
      <w:r>
        <w:t>). Que la suma sea «servidumbre», en el sentido estricto de la palabra, excede lo que prueban los datos (</w:t>
      </w:r>
      <w:r>
        <w:t>8.4</w:t>
      </w:r>
      <w:r>
        <w:t>). La obra mide la carga;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25; 00.1-2.10 a 2.17, la defensa de las cotizaciones y de la presión fiscal que el capítulo 5 promete oír aquí, con el 37,3 % de 2024 (8.4) en lugar de «en torno al 38 %»; 21.00-14.2, 14.3 y 14.8 a 14.11, con la cuota reducida del art. 38 ter y sin los 80 euros salvo en Cuenca, Soria y Teruel, sin la gestoría de 700 a 1.500 euros (no entra: cifras revisadas del 11) y sin las 259 normas (van las 894 de 2024, cargo 8); 22.00-13.6 a 13.9, con Laozi, cap. 57, ya en el cargo 8; 34.00-13.4 y 13.5, con el 6,6 % y el 10,9 % rehechos con las cifras de 8.6 (cargo 23), sin «parte exentos de impuestos»: sin fila; y la defensa de que el sueldo público es mayor por la cualificación, con lo que dice 8.6 (comparación en bruto). Lc 3:13 y 1 R 12:14 en la Reina-Valera Antigua (3.2). Leídos hoy en local: Constitución, arts. 31.1 y 133]</w:t>
      </w:r>
    </w:p>
    <w:p>
      <w:pPr>
        <w:pStyle w:val="Heading3"/>
      </w:pPr>
      <w:r>
        <w:t>Cargo 26. La responsabilidad</w:t>
      </w:r>
    </w:p>
    <w:p>
      <w:r>
        <w:rPr>
          <w:b/>
        </w:rPr>
        <w:t>La presunción:</w:t>
      </w:r>
      <w:r>
        <w:t xml:space="preserve"> «Que el Estado responde de los daños que causa, como cualquiera».</w:t>
      </w:r>
    </w:p>
    <w:p>
      <w:r>
        <w:rPr>
          <w:b/>
        </w:rPr>
        <w:t>La vara.</w:t>
      </w:r>
    </w:p>
    <w:p>
      <w:pPr>
        <w:pStyle w:val="ListBullet"/>
      </w:pPr>
      <w:r>
        <w:rPr>
          <w:i/>
        </w:rPr>
        <w:t>La ley de Dios:</w:t>
      </w:r>
      <w:r>
        <w:t xml:space="preserve"> quien retuvo lo que se le confió «lo restituirá, pues, por entero, y añadirá á ello la quinta parte» (Lv 6:4-5; </w:t>
      </w:r>
      <w:r>
        <w:t>5.2</w:t>
      </w:r>
      <w:r>
        <w:t>). La reparación es entera, y algo más.</w:t>
      </w:r>
    </w:p>
    <w:p>
      <w:pPr>
        <w:pStyle w:val="ListBullet"/>
      </w:pPr>
      <w:r>
        <w:rPr>
          <w:i/>
        </w:rPr>
        <w:t>Las tradiciones:</w:t>
      </w:r>
      <w:r>
        <w:t xml:space="preserve"> «Nadie cargará con la carga ajena» (Corán 6:164; </w:t>
      </w:r>
      <w:r>
        <w:t>3.2</w:t>
      </w:r>
      <w:r>
        <w:t>, P7): cada uno responde de lo suyo.</w:t>
      </w:r>
    </w:p>
    <w:p>
      <w:pPr>
        <w:pStyle w:val="ListBullet"/>
      </w:pPr>
      <w:r>
        <w:rPr>
          <w:i/>
        </w:rPr>
        <w:t>Su propia ley:</w:t>
      </w:r>
      <w:r>
        <w:t xml:space="preserve"> la Constitución garantiza «la responsabilidad y la interdicción de la arbitrariedad de los poderes públicos»</w:t>
      </w:r>
      <w:r>
        <w:t xml:space="preserve"> (Constitución, art. 9.3)</w:t>
      </w:r>
      <w:r>
        <w:br/>
      </w:r>
      <w:r>
        <w:rPr>
          <w:b/>
        </w:rPr>
        <w:t>leída en su fuente · Constitución, art. 9.3</w:t>
      </w:r>
      <w:r>
        <w:br/>
      </w:r>
      <w:r>
        <w:rPr>
          <w:b/>
        </w:rPr>
        <w:t>Archivo leído:</w:t>
      </w:r>
      <w:r>
        <w:t xml:space="preserve"> ce.html (ant\c1\ce.html) · contraste del archivo de pasajes: ✔</w:t>
      </w:r>
      <w:r>
        <w:br/>
      </w:r>
      <w:r>
        <w:rPr>
          <w:b/>
        </w:rPr>
        <w:t>Lugar:</w:t>
      </w:r>
      <w:r>
        <w:t xml:space="preserve"> Constitución, art. 9.3</w:t>
      </w:r>
      <w:r>
        <w:br/>
      </w:r>
      <w:r>
        <w:rPr>
          <w:b/>
        </w:rPr>
        <w:t>Tal como está en la fuente:</w:t>
      </w:r>
      <w:r>
        <w:t xml:space="preserve"> la responsabilidad y la interdicción de la arbitrariedad de los poderes públicos</w:t>
      </w:r>
      <w:r>
        <w:t xml:space="preserve">, y el derecho a ser indemnizado «por toda lesión» que sea consecuencia del funcionamiento de los servicios públicos (art. 106.2; </w:t>
      </w:r>
      <w:r>
        <w:t>10.6</w:t>
      </w:r>
      <w:r>
        <w:t>).</w:t>
      </w:r>
    </w:p>
    <w:p>
      <w:r>
        <w:rPr>
          <w:b/>
        </w:rPr>
        <w:t>Dónde está probado:</w:t>
      </w:r>
      <w:r>
        <w:t xml:space="preserve"> el derecho a compensación, en sus cinco frentes y hasta el legislador (</w:t>
      </w:r>
      <w:r>
        <w:t>10.6</w:t>
      </w:r>
      <w:r>
        <w:t>); la responsabilidad personal, como es (</w:t>
      </w:r>
      <w:r>
        <w:t>10.4</w:t>
      </w:r>
      <w:r>
        <w:t>); la institución fuera del Código Penal y del concurso (</w:t>
      </w:r>
      <w:r>
        <w:t>11.2</w:t>
      </w:r>
      <w:r>
        <w:t>, n.º 17); y los aforados y el algoritmo del bono social (</w:t>
      </w:r>
      <w:r>
        <w:t>8.5</w:t>
      </w:r>
      <w:r>
        <w:t>).</w:t>
      </w:r>
    </w:p>
    <w:p>
      <w:r>
        <w:rPr>
          <w:b/>
        </w:rPr>
        <w:t>La pregunta:</w:t>
      </w:r>
      <w:r>
        <w:t xml:space="preserve"> ¿cuántas veces ha exigido la Administración a su personal lo que pagó por un daño causado con dolo o culpa grave, y dónde se publica?</w:t>
      </w:r>
    </w:p>
    <w:p>
      <w:r>
        <w:rPr>
          <w:b/>
        </w:rPr>
        <w:t>La defensa del Estado:</w:t>
      </w:r>
      <w:r>
        <w:t xml:space="preserve"> el ciudadano ya tiene vías reales para reclamar: la Administración responde de los daños que cause su funcionamiento, y el ciudadano puede recurrir sus actos, acudir al Defensor del Pueblo y a los tribunales (</w:t>
      </w:r>
      <w:r>
        <w:t>10.4</w:t>
      </w:r>
      <w:r>
        <w:t xml:space="preserve"> y </w:t>
      </w:r>
      <w:r>
        <w:t>10.6</w:t>
      </w:r>
      <w:r>
        <w:t>). Responde de forma objetiva, sin que el ciudadano tenga que probar la culpa: un estándar más exigente que el que se aplica entre particulares, que sí tienen que probarla (</w:t>
      </w:r>
      <w:r>
        <w:t>10.6</w:t>
      </w:r>
      <w:r>
        <w:t xml:space="preserve">). Responde el Estado por el error judicial (Constitución, art. 121), responde el legislador (Ley 40/2015, art. 32.3) y responde hasta el Tribunal Constitucional por su funcionamiento anormal (art. 32.8; </w:t>
      </w:r>
      <w:r>
        <w:t>10.6</w:t>
      </w:r>
      <w:r>
        <w:t xml:space="preserve">). Una vez indemnizado el ciudadano, la Administración exige la responsabilidad a quien actuó con dolo, o culpa o negligencia graves (Ley 40/2015, art. 36.2; </w:t>
      </w:r>
      <w:r>
        <w:t>10.4</w:t>
      </w:r>
      <w:r>
        <w:t>). Y una directiva europea extiende la responsabilidad a los productos digitales defectuosos desde el 9 de diciembre de 2026 (</w:t>
      </w:r>
      <w:r>
        <w:t>10.6</w:t>
      </w:r>
      <w:r>
        <w:t>).</w:t>
      </w:r>
    </w:p>
    <w:p>
      <w:r>
        <w:rPr>
          <w:b/>
        </w:rPr>
        <w:t>Los contrapuntos de la obra:</w:t>
      </w:r>
    </w:p>
    <w:p>
      <w:pPr>
        <w:spacing w:after="60"/>
        <w:ind w:left="510" w:hanging="397"/>
      </w:pPr>
      <w:r>
        <w:rPr>
          <w:b w:val="0"/>
        </w:rPr>
        <w:t xml:space="preserve">1. </w:t>
      </w:r>
      <w:r>
        <w:rPr>
          <w:i/>
        </w:rPr>
        <w:t>Con su propia ley, los plazos.</w:t>
      </w:r>
      <w:r>
        <w:t xml:space="preserve"> El ciudadano tiene un año: «El derecho a reclamar prescribirá al año de producido el hecho o el acto que motive la indemnización»</w:t>
      </w:r>
      <w:r>
        <w:t xml:space="preserve"> (Ley 39/2015, art. 67.1)</w:t>
      </w:r>
      <w:r>
        <w:br/>
      </w:r>
      <w:r>
        <w:rPr>
          <w:b/>
        </w:rPr>
        <w:t>leída en su fuente · Ley 39/2015, art. 67.1</w:t>
      </w:r>
      <w:r>
        <w:br/>
      </w:r>
      <w:r>
        <w:rPr>
          <w:b/>
        </w:rPr>
        <w:t>Archivo leído:</w:t>
      </w:r>
      <w:r>
        <w:t xml:space="preserve"> l39.html (ant\c1\l39.html) · contraste del archivo de pasajes: ✔</w:t>
      </w:r>
      <w:r>
        <w:br/>
      </w:r>
      <w:r>
        <w:rPr>
          <w:b/>
        </w:rPr>
        <w:t>Lugar:</w:t>
      </w:r>
      <w:r>
        <w:t xml:space="preserve"> Ley 39/2015, art. 67.1</w:t>
      </w:r>
      <w:r>
        <w:br/>
      </w:r>
      <w:r>
        <w:rPr>
          <w:b/>
        </w:rPr>
        <w:t>Tal como está en la fuente:</w:t>
      </w:r>
      <w:r>
        <w:t xml:space="preserve"> El derecho a reclamar prescribirá al año de producido el hecho o el acto que motive la indemnización</w:t>
      </w:r>
      <w:r>
        <w:t>. Y si la Administración no contesta en seis meses, «podrá entenderse que la resolución es contraria a la indemnización del particular»</w:t>
      </w:r>
      <w:r>
        <w:t xml:space="preserve"> (Ley 39/2015, art. 91.3)</w:t>
      </w:r>
      <w:r>
        <w:br/>
      </w:r>
      <w:r>
        <w:rPr>
          <w:b/>
        </w:rPr>
        <w:t>leída en su fuente · Ley 39/2015, art. 91.3</w:t>
      </w:r>
      <w:r>
        <w:br/>
      </w:r>
      <w:r>
        <w:rPr>
          <w:b/>
        </w:rPr>
        <w:t>Archivo leído:</w:t>
      </w:r>
      <w:r>
        <w:t xml:space="preserve"> l39.html (ant\c1\l39.html) · contraste del archivo de pasajes: ✔</w:t>
      </w:r>
      <w:r>
        <w:br/>
      </w:r>
      <w:r>
        <w:rPr>
          <w:b/>
        </w:rPr>
        <w:t>Lugar:</w:t>
      </w:r>
      <w:r>
        <w:t xml:space="preserve"> Ley 39/2015, art. 91.3</w:t>
      </w:r>
      <w:r>
        <w:br/>
      </w:r>
      <w:r>
        <w:rPr>
          <w:b/>
        </w:rPr>
        <w:t>Tal como está en la fuente:</w:t>
      </w:r>
      <w:r>
        <w:t xml:space="preserve"> podrá entenderse que la resolución es contraria a la indemnización del particular</w:t>
      </w:r>
      <w:r>
        <w:t>: su silencio juega contra quien reclama, que tiene que ir entonces a los tribunales.</w:t>
      </w:r>
    </w:p>
    <w:p>
      <w:pPr>
        <w:spacing w:after="60"/>
        <w:ind w:left="510" w:hanging="397"/>
      </w:pPr>
      <w:r>
        <w:rPr>
          <w:b w:val="0"/>
        </w:rPr>
        <w:t xml:space="preserve">2. </w:t>
      </w:r>
      <w:r>
        <w:rPr>
          <w:i/>
        </w:rPr>
        <w:t>La justicia decide si la justicia se equivocó.</w:t>
      </w:r>
      <w:r>
        <w:t xml:space="preserve"> La reclamación por error judicial «deberá ir precedida de una decisión judicial que expresamente lo reconozca», y la acción para obtenerla se pide «inexcusablemente en el plazo de tres meses»</w:t>
      </w:r>
      <w:r>
        <w:t xml:space="preserve"> (Ley Orgánica del Poder Judicial, art. 293.1)</w:t>
      </w:r>
      <w:r>
        <w:br/>
      </w:r>
      <w:r>
        <w:rPr>
          <w:b/>
        </w:rPr>
        <w:t>leída en su fuente · Ley Orgánica del Poder Judicial, art. 293.1</w:t>
      </w:r>
      <w:r>
        <w:br/>
      </w:r>
      <w:r>
        <w:rPr>
          <w:b/>
        </w:rPr>
        <w:t>Archivo leído:</w:t>
      </w:r>
      <w:r>
        <w:t xml:space="preserve"> lopj.html (ant\c1\lopj.html) · contraste del archivo de pasajes: ✔</w:t>
      </w:r>
      <w:r>
        <w:br/>
      </w:r>
      <w:r>
        <w:rPr>
          <w:b/>
        </w:rPr>
        <w:t>Lugar:</w:t>
      </w:r>
      <w:r>
        <w:t xml:space="preserve"> Ley Orgánica del Poder Judicial, art. 293.1</w:t>
      </w:r>
      <w:r>
        <w:br/>
      </w:r>
      <w:r>
        <w:rPr>
          <w:b/>
        </w:rPr>
        <w:t>Tal como está en la fuente:</w:t>
      </w:r>
      <w:r>
        <w:t xml:space="preserve"> inexcusablemente en el plazo de tres meses</w:t>
      </w:r>
      <w:r>
        <w:t>. El simple retraso no basta (</w:t>
      </w:r>
      <w:r>
        <w:t>10.6</w:t>
      </w:r>
      <w:r>
        <w:t xml:space="preserve">). Y cuando el anormal es el Constitucional, la indemnización la fija el Consejo de Ministros (Ley 40/2015, art. 32.8; </w:t>
      </w:r>
      <w:r>
        <w:t>10.6</w:t>
      </w:r>
      <w:r>
        <w:t>): el Gobierno decide lo que se paga.</w:t>
      </w:r>
    </w:p>
    <w:p>
      <w:pPr>
        <w:spacing w:after="60"/>
        <w:ind w:left="510" w:hanging="397"/>
      </w:pPr>
      <w:r>
        <w:rPr>
          <w:b w:val="0"/>
        </w:rPr>
        <w:t xml:space="preserve">3. </w:t>
      </w:r>
      <w:r>
        <w:rPr>
          <w:i/>
        </w:rPr>
        <w:t>¿Quién responde?</w:t>
      </w:r>
      <w:r>
        <w:t xml:space="preserve"> Por el daño de un servicio público, el ciudadano reclama a la Administración, no al empleado (Ley 40/2015, art. 36.1; </w:t>
      </w:r>
      <w:r>
        <w:t>10.4</w:t>
      </w:r>
      <w:r>
        <w:t>), y si la Administración repite después contra quien actuó con dolo o culpa grave, lo decide ella misma (art. 36.2). La institución queda fuera del Código Penal y del concurso, y 17.603 cargos están aforados (</w:t>
      </w:r>
      <w:r>
        <w:t>11.2</w:t>
      </w:r>
      <w:r>
        <w:t xml:space="preserve">, n.º 17; </w:t>
      </w:r>
      <w:r>
        <w:t>8.5</w:t>
      </w:r>
      <w:r>
        <w:t>). El daño lo paga el conjunto de los contribuyentes.</w:t>
      </w:r>
    </w:p>
    <w:p>
      <w:pPr>
        <w:spacing w:after="60"/>
        <w:ind w:left="510" w:hanging="397"/>
      </w:pPr>
      <w:r>
        <w:rPr>
          <w:b w:val="0"/>
        </w:rPr>
        <w:t xml:space="preserve">4. </w:t>
      </w:r>
      <w:r>
        <w:rPr>
          <w:i/>
        </w:rPr>
        <w:t>Las vías son lentas; el cobro, no.</w:t>
      </w:r>
      <w:r>
        <w:t xml:space="preserve"> En 2025, el Constitucional admitió 59 de 9.089 recursos de amparo (</w:t>
      </w:r>
      <w:r>
        <w:t>5.1</w:t>
      </w:r>
      <w:r>
        <w:t>, n.º 19), mientras el cobro de la Administración es inmediato y con recargo (</w:t>
      </w:r>
      <w:r>
        <w:t>cargo 13</w:t>
      </w:r>
      <w:r>
        <w:t>).</w:t>
      </w:r>
    </w:p>
    <w:p>
      <w:pPr>
        <w:spacing w:after="60"/>
        <w:ind w:left="510" w:hanging="397"/>
      </w:pPr>
      <w:r>
        <w:rPr>
          <w:b w:val="0"/>
        </w:rPr>
        <w:t xml:space="preserve">5. </w:t>
      </w:r>
      <w:r>
        <w:rPr>
          <w:i/>
        </w:rPr>
        <w:t>El mandato sin cumplir.</w:t>
      </w:r>
      <w:r>
        <w:t xml:space="preserve"> Una asociación profesional de la Guardia Civil tuvo que acudir al Tribunal Supremo para que la Administración desarrollara por reglamento el art. 30.2 de la LO 11/2007, «reformado por la Ley Orgánica 9/2015, de 28 de julio»: la STS 291/2022, de 8-III-2022, la condenó a «iniciar el desarrollo reglamentario», no a terminarlo; el mandato era de 2015, y habían pasado unos siete años</w:t>
      </w:r>
      <w:r>
        <w:t xml:space="preserve"> (STS 291/2022, de 8-III (recurso 183/2021))</w:t>
      </w:r>
      <w:r>
        <w:t>.</w:t>
      </w:r>
    </w:p>
    <w:p>
      <w:pPr>
        <w:spacing w:after="60"/>
        <w:ind w:left="510" w:hanging="397"/>
      </w:pPr>
      <w:r>
        <w:rPr>
          <w:b w:val="0"/>
        </w:rPr>
        <w:t xml:space="preserve">6. </w:t>
      </w:r>
      <w:r>
        <w:rPr>
          <w:i/>
        </w:rPr>
        <w:t>Sin ver el programa, no hay daño que probar.</w:t>
      </w:r>
      <w:r>
        <w:t xml:space="preserve"> La Administración decide con un programa, BOSCO, quién recibe el descuento en la luz de los hogares vulnerables, y conocer su código costó más de seis años de pleitos (</w:t>
      </w:r>
      <w:r>
        <w:t>8.5</w:t>
      </w:r>
      <w:r>
        <w:t>). Si no se sabe cómo decide un programa, es difícil probar que causó un daño.</w:t>
      </w:r>
    </w:p>
    <w:p>
      <w:r>
        <w:rPr>
          <w:b/>
        </w:rPr>
        <w:t>Dónde aguanta:</w:t>
      </w:r>
      <w:r>
        <w:t xml:space="preserve"> en este frente la ley pide más al Estado que a los particulares: responde sin que nadie pruebe su culpa, y la obligación alcanza hasta el legislador y el Constitucional (</w:t>
      </w:r>
      <w:r>
        <w:t>10.6</w:t>
      </w:r>
      <w:r>
        <w:t>). La obra lo concede: no todas las asimetrías juegan contra el ciudadano. Y las vías existen, con letra clara: son el mapa de lo que el propio ordenamiento ya permite (</w:t>
      </w:r>
      <w:r>
        <w:t>10.4</w:t>
      </w:r>
      <w:r>
        <w:t>).</w:t>
      </w:r>
    </w:p>
    <w:p>
      <w:r>
        <w:rPr>
          <w:b/>
        </w:rPr>
        <w:t>Lectura del autor:</w:t>
      </w:r>
      <w:r>
        <w:t xml:space="preserve"> ¿quién da la cara? Cuando una persona causa un daño, responde ella, con su nombre (Código Civil, art. 1902; </w:t>
      </w:r>
      <w:r>
        <w:t>10.6</w:t>
      </w:r>
      <w:r>
        <w:t>). Cuando lo causa la Administración, responde la máscara (</w:t>
      </w:r>
      <w:r>
        <w:t>5.3</w:t>
      </w:r>
      <w:r>
        <w:t xml:space="preserve">), con el dinero de todos, también con el de quien sufrió el daño; y quien firmó detrás de ella responde solo si la propia Administración decide pedírselo. Dios hizo al hombre a su imagen (Gn 1:27; </w:t>
      </w:r>
      <w:r>
        <w:t>2.3</w:t>
      </w:r>
      <w:r>
        <w:t>): una persona, con rostro. La criatura de la ley no tiene rostro, y por eso no puede dar la cara por sí misma (</w:t>
      </w:r>
      <w:r>
        <w:t>cargo 3</w:t>
      </w:r>
      <w:r>
        <w:t>): tiene que darla quien actúa en su nombre.</w:t>
      </w:r>
    </w:p>
    <w:p>
      <w:r>
        <w:rPr>
          <w:b/>
        </w:rPr>
        <w:t>Límite honesto:</w:t>
      </w:r>
      <w:r>
        <w:t xml:space="preserve"> la obra no tiene ninguna cifra de cuántas veces repite la Administración contra su personal, y no afirma que no lo haga: por eso lo pregunta. El camino para reclamar es estrecho, pero existe (</w:t>
      </w:r>
      <w:r>
        <w:t>10.6</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26; 09.00-7.6 y 7.7, la defensa que el capítulo 2 promete oír aquí, sin las «fianzas» de la afirmación (no están ancladas en la edición), sin «no se ha localizado publicada ninguna estadística» (sin fila: va como pregunta y como límite honesto); 31.00-8.2 a 8.11, con las citas de las Leyes 39/2015 (arts. 67.1 y 91.3) y LOPJ (art. 293.1) desde su fila del registro, sin «considerablemente cercenado» ni «muy difícil su aplicación en la práctica» (flecos: sin autor ni título), sin que la directiva incluya programas e inteligencia artificial (sin fila) y con los «más de seis años» de BOSCO en lugar de «siete años de litigio» (07, 09.00-7.3); la lectura de Kiko «¿quién es el responsable que dé la cara?» (libreta 75, 7 bis n.º 9, material de Kiko para la parte 2), con los hechos de 11.2, n.º 17. Lv 6:4-5 en la Reina-Valera Antigua (5.2). Leído hoy en local: Constitución, art. 9.3]</w:t>
      </w:r>
    </w:p>
    <w:p>
      <w:pPr>
        <w:pStyle w:val="Heading3"/>
      </w:pPr>
      <w:r>
        <w:t>Cargo 27. El diseño legal que enfrenta a la gente</w:t>
      </w:r>
    </w:p>
    <w:p>
      <w:r>
        <w:rPr>
          <w:b/>
        </w:rPr>
        <w:t>La presunción:</w:t>
      </w:r>
      <w:r>
        <w:t xml:space="preserve"> «Que la ley protege por igual a todas las partes».</w:t>
      </w:r>
    </w:p>
    <w:p>
      <w:r>
        <w:rPr>
          <w:b/>
        </w:rPr>
        <w:t>La vara.</w:t>
      </w:r>
    </w:p>
    <w:p>
      <w:pPr>
        <w:pStyle w:val="ListBullet"/>
      </w:pPr>
      <w:r>
        <w:rPr>
          <w:i/>
        </w:rPr>
        <w:t>La ley de Dios:</w:t>
      </w:r>
      <w:r>
        <w:t xml:space="preserve"> «El primero en su propia causa parece justo; Y su adversario viene, y le sondea» (Pr 18:17; </w:t>
      </w:r>
      <w:r>
        <w:t>11.1</w:t>
      </w:r>
      <w:r>
        <w:t>). Antes de decidir, se oye a las dos partes.</w:t>
      </w:r>
    </w:p>
    <w:p>
      <w:pPr>
        <w:pStyle w:val="ListBullet"/>
      </w:pPr>
      <w:r>
        <w:rPr>
          <w:i/>
        </w:rPr>
        <w:t>Las tradiciones:</w:t>
      </w:r>
      <w:r>
        <w:t xml:space="preserve"> «Si un malvado os trae una noticia, examinadla bien, no sea que lastiméis a gente por ignorancia» (Corán 49:6; </w:t>
      </w:r>
      <w:r>
        <w:t>3.2</w:t>
      </w:r>
      <w:r>
        <w:t>, P7). Y Mencio: aunque todo el pueblo pida un castigo, primero hay que examinar (</w:t>
      </w:r>
      <w:r>
        <w:t>3.2</w:t>
      </w:r>
      <w:r>
        <w:t>, P7).</w:t>
      </w:r>
    </w:p>
    <w:p>
      <w:pPr>
        <w:pStyle w:val="ListBullet"/>
      </w:pPr>
      <w:r>
        <w:rPr>
          <w:i/>
        </w:rPr>
        <w:t>Su propia ley:</w:t>
      </w:r>
      <w:r>
        <w:t xml:space="preserve"> «Los españoles son iguales ante la ley, sin que pueda prevalecer discriminación alguna por razón de nacimiento, raza, sexo, religión, opinión o cualquier otra condición o circunstancia personal o social»</w:t>
      </w:r>
      <w:r>
        <w:t xml:space="preserve"> (Constitución, art. 14)</w:t>
      </w:r>
      <w:r>
        <w:br/>
      </w:r>
      <w:r>
        <w:rPr>
          <w:b/>
        </w:rPr>
        <w:t>leída en su fuente · Constitución, art. 14</w:t>
      </w:r>
      <w:r>
        <w:br/>
      </w:r>
      <w:r>
        <w:rPr>
          <w:b/>
        </w:rPr>
        <w:t>Archivo leído:</w:t>
      </w:r>
      <w:r>
        <w:t xml:space="preserve"> ce.html (ant\c1\ce.html) · contraste del archivo de pasajes: ✔</w:t>
      </w:r>
      <w:r>
        <w:br/>
      </w:r>
      <w:r>
        <w:rPr>
          <w:b/>
        </w:rPr>
        <w:t>Lugar:</w:t>
      </w:r>
      <w:r>
        <w:t xml:space="preserve"> Constitución, art. 14</w:t>
      </w:r>
      <w:r>
        <w:br/>
      </w:r>
      <w:r>
        <w:rPr>
          <w:b/>
        </w:rPr>
        <w:t>Tal como está en la fuente:</w:t>
      </w:r>
      <w:r>
        <w:t xml:space="preserve"> Los españoles son iguales ante la ley, sin que pueda prevalecer discriminación alguna por razón de nacimiento, raza, sexo, religión, opinión o cualquier otra condición o circunstancia personal o social</w:t>
      </w:r>
      <w:r>
        <w:t xml:space="preserve">. Y rige la presunción de inocencia (art. 24.2; </w:t>
      </w:r>
      <w:r>
        <w:t>cargo 20</w:t>
      </w:r>
      <w:r>
        <w:t>).</w:t>
      </w:r>
    </w:p>
    <w:p>
      <w:r>
        <w:rPr>
          <w:b/>
        </w:rPr>
        <w:t>Dónde está probado:</w:t>
      </w:r>
      <w:r>
        <w:t xml:space="preserve"> el diseño legal que enfrenta a la gente, en sus seis frentes (</w:t>
      </w:r>
      <w:r>
        <w:t>7.7</w:t>
      </w:r>
      <w:r>
        <w:t>); y la ocupación, con su cifra (</w:t>
      </w:r>
      <w:r>
        <w:t>10.7</w:t>
      </w:r>
      <w:r>
        <w:t>).</w:t>
      </w:r>
    </w:p>
    <w:p>
      <w:r>
        <w:rPr>
          <w:b/>
        </w:rPr>
        <w:t>La pregunta:</w:t>
      </w:r>
      <w:r>
        <w:t xml:space="preserve"> ¿con qué prueba se decide, en el primer momento, quién se queda en una vivienda, quién recibe una orden de protección y quién deja de ver a sus hijos, y cómo se repara si se decidió mal?</w:t>
      </w:r>
    </w:p>
    <w:p>
      <w:r>
        <w:rPr>
          <w:b/>
        </w:rPr>
        <w:t>La defensa del Estado:</w:t>
      </w:r>
      <w:r>
        <w:t xml:space="preserve"> la letra protege a todas las partes. El propietario tiene una vía rápida: pueden pedir «la inmediata recuperación de la plena posesión» de una vivienda la persona física propietaria o poseedora legítima, las entidades sin ánimo de lucro y las entidades públicas de vivienda social (</w:t>
      </w:r>
      <w:r>
        <w:t>7.7</w:t>
      </w:r>
      <w:r>
        <w:t xml:space="preserve">, n.º 1; </w:t>
      </w:r>
      <w:r>
        <w:t>10.7</w:t>
      </w:r>
      <w:r>
        <w:t>); y la usurpación y el allanamiento de morada son delitos, y se cuentan: 16.426 en 2024 (</w:t>
      </w:r>
      <w:r>
        <w:t>10.7</w:t>
      </w:r>
      <w:r>
        <w:t>). La denuncia por violencia sobre la mujer no basta por sí sola: el juez decide en una audiencia urgente, y deniega con frecuencia: en el segundo trimestre de 2025 no se acordó el 32,3 % de las órdenes de protección (</w:t>
      </w:r>
      <w:r>
        <w:t>7.7</w:t>
      </w:r>
      <w:r>
        <w:t>, n.º 2). Las condenas por denuncia falsa son, de media, el 0,007 % de las denuncias de 2009 a 2025 (</w:t>
      </w:r>
      <w:r>
        <w:t>7.7</w:t>
      </w:r>
      <w:r>
        <w:t>, n.º 3). La mediación no cabe cuando hay violencia, porque la desigualdad entre las partes impide negociar en libertad, y lo pide el Convenio de Estambul, que España ratificó</w:t>
      </w:r>
      <w:r>
        <w:t xml:space="preserve"> (Instrumento de ratificación, BOE-A-2014-5947)</w:t>
      </w:r>
      <w:r>
        <w:t>. Y suspender las visitas cuando hay indicios de que el menor presenció o sufrió la violencia protege al menor; el progenitor investigado puede pedir que no se suspendan (</w:t>
      </w:r>
      <w:r>
        <w:t>7.7</w:t>
      </w:r>
      <w:r>
        <w:t>, n.º 6).</w:t>
      </w:r>
    </w:p>
    <w:p>
      <w:r>
        <w:rPr>
          <w:b/>
        </w:rPr>
        <w:t>Los contrapuntos de la obra:</w:t>
      </w:r>
    </w:p>
    <w:p>
      <w:pPr>
        <w:spacing w:after="60"/>
        <w:ind w:left="510" w:hanging="397"/>
      </w:pPr>
      <w:r>
        <w:rPr>
          <w:b w:val="0"/>
        </w:rPr>
        <w:t xml:space="preserve">1. </w:t>
      </w:r>
      <w:r>
        <w:rPr>
          <w:i/>
        </w:rPr>
        <w:t>Con su propia ley.</w:t>
      </w:r>
      <w:r>
        <w:t xml:space="preserve"> El Convenio obliga a prohibir «los modos alternativos obligatorios de resolución de conflictos, incluidas la mediación y la conciliación»</w:t>
      </w:r>
      <w:r>
        <w:t xml:space="preserve"> (Convenio de Estambul, art. 48.1)</w:t>
      </w:r>
      <w:r>
        <w:br/>
      </w:r>
      <w:r>
        <w:rPr>
          <w:b/>
        </w:rPr>
        <w:t>leída en su fuente · Convenio de Estambul, art. 48.1</w:t>
      </w:r>
      <w:r>
        <w:br/>
      </w:r>
      <w:r>
        <w:rPr>
          <w:b/>
        </w:rPr>
        <w:t>Archivo leído:</w:t>
      </w:r>
      <w:r>
        <w:t xml:space="preserve"> BOE-A-2014-5947.xml (c9d\BOE-A-2014-5947.xml) · contraste del archivo de pasajes: ✔</w:t>
      </w:r>
      <w:r>
        <w:br/>
      </w:r>
      <w:r>
        <w:rPr>
          <w:b/>
        </w:rPr>
        <w:t>Lugar:</w:t>
      </w:r>
      <w:r>
        <w:t xml:space="preserve"> Convenio de Estambul, art. 48.1</w:t>
      </w:r>
      <w:r>
        <w:br/>
      </w:r>
      <w:r>
        <w:rPr>
          <w:b/>
        </w:rPr>
        <w:t>Tal como está en la fuente:</w:t>
      </w:r>
      <w:r>
        <w:t xml:space="preserve"> los modos alternativos obligatorios de resolución de conflictos, incluidas la mediación y la conciliación</w:t>
      </w:r>
      <w:r>
        <w:t xml:space="preserve">: los obligatorios. La ley española va más allá: «está vedada la utilización de los medios adecuados de solución de controversias» (Ley Orgánica del Poder Judicial, art. 89.9; </w:t>
      </w:r>
      <w:r>
        <w:t>7.7</w:t>
      </w:r>
      <w:r>
        <w:t>, n.º 5), aunque las dos partes los quisieran. Es una decisión de diseño propia, no una exigencia del Convenio.</w:t>
      </w:r>
    </w:p>
    <w:p>
      <w:pPr>
        <w:spacing w:after="60"/>
        <w:ind w:left="510" w:hanging="397"/>
      </w:pPr>
      <w:r>
        <w:rPr>
          <w:b w:val="0"/>
        </w:rPr>
        <w:t xml:space="preserve">2. </w:t>
      </w:r>
      <w:r>
        <w:rPr>
          <w:i/>
        </w:rPr>
        <w:t>El fallo está en el primer momento.</w:t>
      </w:r>
      <w:r>
        <w:t xml:space="preserve"> La letra protege al propietario, pero en el primer contacto policial hay que distinguir en minutos lo que un juzgado tarda meses en aclarar: en Torrejón de Ardoz fue la familia de la propietaria la que tuvo que salir del piso (</w:t>
      </w:r>
      <w:r>
        <w:t>7.7</w:t>
      </w:r>
      <w:r>
        <w:t>, n.º 1). Y la cifra de Interior no es el fenómeno completo: quien deja de pagar la renta y no se marcha es un asunto civil, y no entra en ella (</w:t>
      </w:r>
      <w:r>
        <w:t>10.7</w:t>
      </w:r>
      <w:r>
        <w:t>).</w:t>
      </w:r>
    </w:p>
    <w:p>
      <w:pPr>
        <w:spacing w:after="60"/>
        <w:ind w:left="510" w:hanging="397"/>
      </w:pPr>
      <w:r>
        <w:rPr>
          <w:b w:val="0"/>
        </w:rPr>
        <w:t xml:space="preserve">3. </w:t>
      </w:r>
      <w:r>
        <w:rPr>
          <w:i/>
        </w:rPr>
        <w:t>Decidir antes de saber.</w:t>
      </w:r>
      <w:r>
        <w:t xml:space="preserve"> En 2024 se dictaron 4.155 suspensiones del régimen de visitas, decididas al principio del proceso, cuando la prueba suele limitarse a las declaraciones de las partes (</w:t>
      </w:r>
      <w:r>
        <w:t>7.7</w:t>
      </w:r>
      <w:r>
        <w:t>, n.º 6). Y la cifra de denuncias falsas mide también cuánto se persigue la denuncia falsa, y no solo cuántas hay; es una hipótesis sobre lo que no se mide, no un dato que la contradiga (</w:t>
      </w:r>
      <w:r>
        <w:t>7.7</w:t>
      </w:r>
      <w:r>
        <w:t>, n.º 3).</w:t>
      </w:r>
    </w:p>
    <w:p>
      <w:r>
        <w:rPr>
          <w:b/>
        </w:rPr>
        <w:t>Dónde aguanta:</w:t>
      </w:r>
      <w:r>
        <w:t xml:space="preserve"> en los tres frentes, la letra defiende a quien la crítica dice desprotegido: el propietario tiene la vía rápida; el denunciado, la audiencia y una tasa real de denegaciones; el progenitor investigado, el derecho a pedir que no se suspendan las visitas. Ninguna norma ordena tratar al propietario como intruso, y la letra no distingue por sexo (</w:t>
      </w:r>
      <w:r>
        <w:t>7.7</w:t>
      </w:r>
      <w:r>
        <w:t>).</w:t>
      </w:r>
    </w:p>
    <w:p>
      <w:r>
        <w:rPr>
          <w:b/>
        </w:rPr>
        <w:t>Límite honesto:</w:t>
      </w:r>
      <w:r>
        <w:t xml:space="preserve"> la obra no juzga a quien denuncia ni a quien es denunciado, ni pide menos protección para nadie: juzga un diseño que obliga a decidir deprisa, con la prueba todavía sin construir, y pide más prueba en el primer momento (</w:t>
      </w:r>
      <w:r>
        <w:t>7.7</w:t>
      </w:r>
      <w:r>
        <w:t>). Lo de Torrejón es un caso contado por la prensa, no una estadística (</w:t>
      </w:r>
      <w:r>
        <w:t>7.7</w:t>
      </w:r>
      <w:r>
        <w:t>). Y un diseño que enfrenta a la gente no prueba que nadie lo quisiera así (</w:t>
      </w:r>
      <w:r>
        <w:t>7.7</w:t>
      </w:r>
      <w:r>
        <w:t xml:space="preserv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27; 28.00-9.2 a 9.9, la ocupación y las visitas que el capítulo 7 promete oír aquí; la «falta de una cifra oficial» de 28.00-9.3, con lo que dice 10.7 (Interior cuenta los delitos, no el fenómeno completo); el Convenio de Estambul, art. 48.1, y su ratificación, desde su fila del registro (c9d, n.º 110, BOE-A-2014-5947); sin «parte de la doctrina la critica»: sin fila. Pr 18:17 en la Reina-Valera Antigua (11.1). Leído hoy en local: Constitución, art. 14]</w:t>
      </w:r>
    </w:p>
    <w:p>
      <w:pPr>
        <w:pStyle w:val="Heading3"/>
      </w:pPr>
      <w:r>
        <w:t>Cargo 28. La economía real</w:t>
      </w:r>
    </w:p>
    <w:p>
      <w:r>
        <w:rPr>
          <w:b/>
        </w:rPr>
        <w:t>La presunción:</w:t>
      </w:r>
      <w:r>
        <w:t xml:space="preserve"> «Que las decisiones económicas se tomaron por el bien común».</w:t>
      </w:r>
    </w:p>
    <w:p>
      <w:r>
        <w:rPr>
          <w:b/>
        </w:rPr>
        <w:t>La vara.</w:t>
      </w:r>
    </w:p>
    <w:p>
      <w:pPr>
        <w:pStyle w:val="ListBullet"/>
      </w:pPr>
      <w:r>
        <w:rPr>
          <w:i/>
        </w:rPr>
        <w:t>La ley de Dios:</w:t>
      </w:r>
      <w:r>
        <w:t xml:space="preserve"> «Por sus frutos los conoceréis» (Mt 7:16; </w:t>
      </w:r>
      <w:r>
        <w:t>0.5</w:t>
      </w:r>
      <w:r>
        <w:t xml:space="preserve">). Y «Doble pesa y doble medida, Abominación son á Jehová ambas cosas» (Pr 20:10; </w:t>
      </w:r>
      <w:r>
        <w:t>5.2</w:t>
      </w:r>
      <w:r>
        <w:t>).</w:t>
      </w:r>
    </w:p>
    <w:p>
      <w:pPr>
        <w:pStyle w:val="ListBullet"/>
      </w:pPr>
      <w:r>
        <w:rPr>
          <w:i/>
        </w:rPr>
        <w:t>Las tradiciones:</w:t>
      </w:r>
      <w:r>
        <w:t xml:space="preserve"> el rey debe dar al pueblo medios para que prospere (Kutadanta Sutta, Digha Nikaya 5; </w:t>
      </w:r>
      <w:r>
        <w:t>3.2</w:t>
      </w:r>
      <w:r>
        <w:t>, P2).</w:t>
      </w:r>
    </w:p>
    <w:p>
      <w:pPr>
        <w:pStyle w:val="ListBullet"/>
      </w:pPr>
      <w:r>
        <w:rPr>
          <w:i/>
        </w:rPr>
        <w:t>Su propia ley:</w:t>
      </w:r>
      <w:r>
        <w:t xml:space="preserve"> «Toda la riqueza del país en sus distintas formas y sea cual fuere su titularidad está subordinada al interés general» (Constitución, art. 128.1; </w:t>
      </w:r>
      <w:r>
        <w:t>7.2</w:t>
      </w:r>
      <w:r>
        <w:t>, n.º 5).</w:t>
      </w:r>
    </w:p>
    <w:p>
      <w:r>
        <w:rPr>
          <w:b/>
        </w:rPr>
        <w:t>Dónde está probado:</w:t>
      </w:r>
      <w:r>
        <w:t xml:space="preserve"> la industria, el campo y la vivienda (</w:t>
      </w:r>
      <w:r>
        <w:t>8.7</w:t>
      </w:r>
      <w:r>
        <w:t>); la deuda primero (</w:t>
      </w:r>
      <w:r>
        <w:t>7.2</w:t>
      </w:r>
      <w:r>
        <w:t>, n.º 4) y sus intereses (</w:t>
      </w:r>
      <w:r>
        <w:t>8.6</w:t>
      </w:r>
      <w:r>
        <w:t>); el salario real (</w:t>
      </w:r>
      <w:r>
        <w:t>cargo 10</w:t>
      </w:r>
      <w:r>
        <w:t>); y la vivienda (</w:t>
      </w:r>
      <w:r>
        <w:t>8.8</w:t>
      </w:r>
      <w:r>
        <w:t>).</w:t>
      </w:r>
    </w:p>
    <w:p>
      <w:r>
        <w:rPr>
          <w:b/>
        </w:rPr>
        <w:t>La pregunta:</w:t>
      </w:r>
      <w:r>
        <w:t xml:space="preserve"> ¿qué evaluación publicada midió después si la reconversión, las privatizaciones y las normas del campo sirvieron al interés general al que la Constitución subordina toda la riqueza del país?</w:t>
      </w:r>
    </w:p>
    <w:p>
      <w:r>
        <w:rPr>
          <w:b/>
        </w:rPr>
        <w:t>La defensa del Estado:</w:t>
      </w:r>
      <w:r>
        <w:t xml:space="preserve"> la industria pesada no podía sostenerse: la norma de 1981 partía de que «La situación de crisis por la que atraviesan sectores básicos de nuestra industria exige un planteamiento específico y la adopción de medidas de reconversión industrial» (Real Decreto-ley 9/1981, preámbulo), y la de 1983 se llamó de Reconversión y Reindustrialización: buscaba sustituir lo que ya no se sostenía (</w:t>
      </w:r>
      <w:r>
        <w:t>8.7</w:t>
      </w:r>
      <w:r>
        <w:t>). Las privatizaciones abrieron mercados, ingresaron 12.481 millones de euros en 1997 y 13.083 en 1998, y las hicieron Gobiernos de distinto signo (</w:t>
      </w:r>
      <w:r>
        <w:t>8.7</w:t>
      </w:r>
      <w:r>
        <w:t>). España volvió en 2025 a ser la duodécima economía del mundo por su PIB (</w:t>
      </w:r>
      <w:r>
        <w:t>8.7</w:t>
      </w:r>
      <w:r>
        <w:t>). Y las normas del campo protegen al consumidor: en 2023, los controles de toda la UE analizaron 132.793 muestras de alimentos, con un 98 % de cumplimiento (</w:t>
      </w:r>
      <w:r>
        <w:t>8.7</w:t>
      </w:r>
      <w:r>
        <w:t>).</w:t>
      </w:r>
    </w:p>
    <w:p>
      <w:r>
        <w:rPr>
          <w:b/>
        </w:rPr>
        <w:t>Los contrapuntos de la obra:</w:t>
      </w:r>
    </w:p>
    <w:p>
      <w:pPr>
        <w:spacing w:after="60"/>
        <w:ind w:left="510" w:hanging="397"/>
      </w:pPr>
      <w:r>
        <w:rPr>
          <w:b w:val="0"/>
        </w:rPr>
        <w:t xml:space="preserve">1. </w:t>
      </w:r>
      <w:r>
        <w:rPr>
          <w:i/>
        </w:rPr>
        <w:t>La obra lo concede, y añade el coste.</w:t>
      </w:r>
      <w:r>
        <w:t xml:space="preserve"> La pérdida venía de antes: entre 1977 y 1982 la industria perdió 600.000 empleos (</w:t>
      </w:r>
      <w:r>
        <w:t>8.7</w:t>
      </w:r>
      <w:r>
        <w:t xml:space="preserve">). Pero el coste lo pagaron comarcas enteras, y el mismo actor que levantó la industria pesada durante la autarquía la desmontó después (lectura del autor, </w:t>
      </w:r>
      <w:r>
        <w:t>8.7</w:t>
      </w:r>
      <w:r>
        <w:t>).</w:t>
      </w:r>
    </w:p>
    <w:p>
      <w:pPr>
        <w:spacing w:after="60"/>
        <w:ind w:left="510" w:hanging="397"/>
      </w:pPr>
      <w:r>
        <w:rPr>
          <w:b w:val="0"/>
        </w:rPr>
        <w:t xml:space="preserve">2. </w:t>
      </w:r>
      <w:r>
        <w:rPr>
          <w:i/>
        </w:rPr>
        <w:t>Una venta se cobra una vez.</w:t>
      </w:r>
      <w:r>
        <w:t xml:space="preserve"> Los ingresos de las privatizaciones entraron una sola vez, y la deuda siguió creciendo hasta tener «prioridad absoluta» en la Constitución desde 2011 (art. 135.3; </w:t>
      </w:r>
      <w:r>
        <w:t>7.2</w:t>
      </w:r>
      <w:r>
        <w:t>, n.º 4): en 2024, sus intereses fueron 38.793 millones de euros (</w:t>
      </w:r>
      <w:r>
        <w:t>8.6</w:t>
      </w:r>
      <w:r>
        <w:t>).</w:t>
      </w:r>
    </w:p>
    <w:p>
      <w:pPr>
        <w:spacing w:after="60"/>
        <w:ind w:left="510" w:hanging="397"/>
      </w:pPr>
      <w:r>
        <w:rPr>
          <w:b w:val="0"/>
        </w:rPr>
        <w:t xml:space="preserve">3. </w:t>
      </w:r>
      <w:r>
        <w:rPr>
          <w:i/>
        </w:rPr>
        <w:t>El tamaño no es el bienestar.</w:t>
      </w:r>
      <w:r>
        <w:t xml:space="preserve"> El puesto de España sube y baja según el año y la medida: octava en 2007, decimoquinta en 2024 y duodécima en 2025 (</w:t>
      </w:r>
      <w:r>
        <w:t>8.7</w:t>
      </w:r>
      <w:r>
        <w:t>). Y de 1993 a 2023 el salario medio real subió un 4,0 % en España, frente al 28,1 % en Francia y el 21,0 % en Alemania (</w:t>
      </w:r>
      <w:r>
        <w:t>cargo 10</w:t>
      </w:r>
      <w:r>
        <w:t>). Una vivienda cuesta 8,36 años de la renta bruta de un hogar mediano; y, en el ejemplo de un sindicato, parte interesada, un trabajador de la hostelería de Madrid necesitaría 58 años (</w:t>
      </w:r>
      <w:r>
        <w:t>8.8</w:t>
      </w:r>
      <w:r>
        <w:t>).</w:t>
      </w:r>
    </w:p>
    <w:p>
      <w:pPr>
        <w:spacing w:after="60"/>
        <w:ind w:left="510" w:hanging="397"/>
      </w:pPr>
      <w:r>
        <w:rPr>
          <w:b w:val="0"/>
        </w:rPr>
        <w:t xml:space="preserve">4. </w:t>
      </w:r>
      <w:r>
        <w:rPr>
          <w:i/>
        </w:rPr>
        <w:t>Dos medidas para el campo.</w:t>
      </w:r>
      <w:r>
        <w:t xml:space="preserve"> Las muestras de fuera de la UE incumplían el 3,4 %, el triple que las de dentro, el 1,0 % (</w:t>
      </w:r>
      <w:r>
        <w:t>8.7</w:t>
      </w:r>
      <w:r>
        <w:t>). Según una organización ecologista, parte interesada, con los datos oficiales, el 9,63 % de los alimentos importados en España contenía plaguicidas no autorizados en la UE, frente al 4,70 % de los de aquí (</w:t>
      </w:r>
      <w:r>
        <w:t>8.7</w:t>
      </w:r>
      <w:r>
        <w:t>). Si se exige más a quien produce aquí que a quien importa, no es una sola medida: por eso las cláusulas espejo siguen en debate (</w:t>
      </w:r>
      <w:r>
        <w:t>8.7</w:t>
      </w:r>
      <w:r>
        <w:t>).</w:t>
      </w:r>
    </w:p>
    <w:p>
      <w:r>
        <w:rPr>
          <w:b/>
        </w:rPr>
        <w:t>Dónde aguanta:</w:t>
      </w:r>
      <w:r>
        <w:t xml:space="preserve"> la pérdida de empleo industrial empezó antes de la reconversión; las privatizaciones no son de un solo color político; lo que se controla en el campo europeo cumple en un 98 %; y el puesto de España volvió a subir en 2025 (</w:t>
      </w:r>
      <w:r>
        <w:t>8.7</w:t>
      </w:r>
      <w:r>
        <w:t>).</w:t>
      </w:r>
    </w:p>
    <w:p>
      <w:r>
        <w:rPr>
          <w:b/>
        </w:rPr>
        <w:t>Lectura del autor:</w:t>
      </w:r>
      <w:r>
        <w:t xml:space="preserve"> lo que se levantó con dinero público se vendió por decisión de cada Gobierno, sin preguntar a quienes lo habían pagado; y lo que se cobra una vez no vuelve. </w:t>
      </w:r>
      <w:r>
        <w:t>[26.00-8.5]</w:t>
      </w:r>
    </w:p>
    <w:p>
      <w:r>
        <w:rPr>
          <w:b/>
        </w:rPr>
        <w:t>Límite honesto:</w:t>
      </w:r>
      <w:r>
        <w:t xml:space="preserve"> la obra no prueba que estas decisiones se tomaran contra el bien común: mide sus frutos, y dice también los que no encajan (</w:t>
      </w:r>
      <w:r>
        <w:t>8.7</w:t>
      </w:r>
      <w:r>
        <w:t>). Que el puesto de España suba o baje no depende de una sola decisión, y la causa de la vivienda sigue abierta (</w:t>
      </w:r>
      <w:r>
        <w:t>8.8</w:t>
      </w:r>
      <w:r>
        <w:t>). Y un patrón no prueba una intención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28; 26.00-8.2 y 8.3, la reconversión que el capítulo 8 promete oír aquí, sin los 1,5 billones de pesetas y los 83.000 empleos (no entran: cifras revisadas del 11) ni los 430 días de Sagunto (flecos: sin descargar), y sin que la entrada en la Comunidad Europea exigiera el ajuste (sin fila); 26.00-8.4 y 8.5, los 25.564 millones con las dos cifras anuales de 8.7, sin «ayudaron a cumplir los criterios de entrada en el euro» (sin fila); 26.00-8.6 y 8.7, el salario real con la serie actual de la OCDE (07, 20.00-35.5); 26.00-8.8 y 8.9, con el 9,63 % de 8.7 en lugar de «en torno al 10 %». Pr 20:10 en la Reina-Valera Antigua (5.2)]</w:t>
      </w:r>
    </w:p>
    <w:p>
      <w:pPr>
        <w:pStyle w:val="Heading3"/>
      </w:pPr>
      <w:r>
        <w:t>Lo que dicen juntos los veintiocho cargos</w:t>
      </w:r>
    </w:p>
    <w:p>
      <w:r>
        <w:rPr>
          <w:b/>
        </w:rPr>
        <w:t>Conclusión, lo que arrojan los datos:</w:t>
      </w:r>
      <w:r>
        <w:t xml:space="preserve"> los veintiocho cargos son presunciones: lo que el Estado da por cierto sin probarlo. En cada uno se ha oído su mejor defensa, con sus leyes y sus sentencias, y se ha dicho dónde aguanta; lo que la obra concede se queda en su capítulo, como límite honesto. Lo que se repite de un cargo a otro es la dirección de la presunción: a favor de quien manda. Los actos de la Administración se presumen válidos (</w:t>
      </w:r>
      <w:r>
        <w:t>cargo 20</w:t>
      </w:r>
      <w:r>
        <w:t>), la palabra de su agente hace prueba (</w:t>
      </w:r>
      <w:r>
        <w:t>cargo 21</w:t>
      </w:r>
      <w:r>
        <w:t>) y su cobro no espera al juez (</w:t>
      </w:r>
      <w:r>
        <w:t>cargo 13</w:t>
      </w:r>
      <w:r>
        <w:t>); y lo que la Constitución promete al ciudadano se incumple el doble que lo que organiza al poder (</w:t>
      </w:r>
      <w:r>
        <w:t>7.4</w:t>
      </w:r>
      <w:r>
        <w:t>). También se dice lo que no encaja: en la responsabilidad por daños, la ley pide más al Estado que a los particulares (</w:t>
      </w:r>
      <w:r>
        <w:t>cargo 26</w:t>
      </w:r>
      <w:r>
        <w:t>), y el freno entre poderes funciona en casos reales (</w:t>
      </w:r>
      <w:r>
        <w:t>cargo 24</w:t>
      </w:r>
      <w:r>
        <w:t>).</w:t>
      </w:r>
    </w:p>
    <w:p>
      <w:r>
        <w:rPr>
          <w:b/>
        </w:rPr>
        <w:t>Lectura del autor:</w:t>
      </w:r>
      <w:r>
        <w:t xml:space="preserve"> el Estado dice que sin sus presunciones no podría funcionar (</w:t>
      </w:r>
      <w:r>
        <w:t>cargo 20</w:t>
      </w:r>
      <w:r>
        <w:t>). Esa confesión indica la dirección: un sistema que solo se sostiene presumiendo a su favor, y no probando, se apoya en lo contrario de la verdad, que en esta obra es lo comprobado con fuente (</w:t>
      </w:r>
      <w:r>
        <w:t>0.4</w:t>
      </w:r>
      <w:r>
        <w:t xml:space="preserve">). Esto apunta hacia el padre de la mentira (Jn 8:44). En palabras del autor: «la presunción es el mayor engaño de la humanidad […]: son las grietas por donde se filtró el mal al sistema». Lo contrario de la grieta es el honor, «el valor más alto de un ser, que está alineado con su palabra, su pensamiento, su acción y su sentir»: lo que pide la ley de Dios cuando manda que el sí sea sí (Mt 5:37; </w:t>
      </w:r>
      <w:r>
        <w:t>5.2</w:t>
      </w:r>
      <w:r>
        <w:t>).</w:t>
      </w:r>
    </w:p>
    <w:p>
      <w:r>
        <w:t>Veintiocho presunciones, veintiocho preguntas. Si las respuestas llegan, el jurado las juzgará; si no llegan, el silencio también es un fruto: «Por sus frutos los conoceréis» (Mt 7:16).</w:t>
      </w:r>
    </w:p>
    <w:p>
      <w:r>
        <w:t>[37.00-37.1, con veintiocho cargos en lugar de veintitrés; 37.00-35.1, fuera: los cargos históricos eran del pilar 10, y los quince pilares salen de la obra (Kiko, 7-oct); libreta 75, 7 ter n.º 1: la lectura del autor sobre la presunción y el honor, sin lo que aún falta leer en su original (que las tradiciones convergen en el honor y la historia de los títulos de nobleza) y sin «seres poseídos por los susurros»; Mt 5:37 en la Reina-Valera Antigua (5.2). Las líneas de entrada y de fuentes de las secciones de defensa de cada pieza, ya usadas cargo a cargo, solo como trazabilidad: 01.00-17.10, 02.00-23.1 y 27.3, 03.00-34.1 y 34.12, 04.00-8.12, 05.00-12.10, 07.00-23.1 y 28.3, 08.00-7.1 y 7.10, 09.00-7.1 y 7.10, 10.00-18.1 y 18.18, 11.00-14.1 y 14.10, 12.00-6.1 y 6.10, 13.00-13.1, 14.00-8.1, 15.00-17.1, 16.00-13.1, 17.00-222.1, 18.00-7.1, 19.00-35.1, 20.00-35.1 y 35.24, 21.00-14.1, 22.00-13.1, 23.00-6.1 y 6.10, 24.00-9.1 y 9.12, 25.00-11.1 y 11.12, 26.00-8.1 y 8.12, 27.00-7.1 y 7.12, 28.00-9.1 y 9.12, 29.00-8.1 y 8.10, 30.00-170.1, 31.00-8.1 y 8.12, 32.00-21.1, 33.00-9.1 y 9.12, 34.00-13.1 y 35.00-6.1 y 6.12]</w:t>
      </w:r>
    </w:p>
    <w:p>
      <w:pPr>
        <w:pStyle w:val="Heading2"/>
      </w:pPr>
      <w:r>
        <w:t>11.4 La defensa frente al dictamen</w:t>
      </w:r>
    </w:p>
    <w:p>
      <w:pPr>
        <w:pBdr>
          <w:left w:val="single" w:sz="24" w:space="6" w:color="E2DED6"/>
        </w:pBdr>
        <w:shd w:val="clear" w:color="auto" w:fill="F1EEE8"/>
        <w:spacing w:before="80" w:after="160"/>
        <w:ind w:left="142" w:right="142"/>
      </w:pPr>
      <w:r>
        <w:rPr>
          <w:b/>
        </w:rPr>
        <w:t>La idea: frente al dictamen de la obra, «opinión desfavorable» (</w:t>
      </w:r>
      <w:r>
        <w:rPr>
          <w:b/>
        </w:rPr>
        <w:t>9.1</w:t>
      </w:r>
      <w:r>
        <w:rPr>
          <w:b/>
        </w:rPr>
        <w:t>), el Estado tiene trece objeciones. Cada una se oye en su mejor forma y se responde una vez. La obra concede lo que es cierto en cinco, y lo que queda en pie es la misma vara.</w:t>
      </w:r>
    </w:p>
    <w:p>
      <w:r>
        <w:rPr>
          <w:b/>
        </w:rPr>
        <w:t>Lo que se juzga.</w:t>
      </w:r>
      <w:r>
        <w:t xml:space="preserve"> El dictamen de la obra sobre el sistema es «opinión desfavorable»: sus cuentas no ofrecen la imagen fiel de lo que debe a los ciudadanos, y existe una incertidumbre material sobre su capacidad para continuar tal como es (</w:t>
      </w:r>
      <w:r>
        <w:t>9.1</w:t>
      </w:r>
      <w:r>
        <w:t>). El dictamen es del autor; los hechos, de todos (</w:t>
      </w:r>
      <w:r>
        <w:t>0.2</w:t>
      </w:r>
      <w:r>
        <w:t>); y el veredicto será del jurado (</w:t>
      </w:r>
      <w:r>
        <w:t>9.1</w:t>
      </w:r>
      <w:r>
        <w:t>). Aquí se oye lo que el Estado le opondría, con el orden de un cargo (</w:t>
      </w:r>
      <w:r>
        <w:t>11.1</w:t>
      </w:r>
      <w:r>
        <w:t xml:space="preserve">). Las objeciones vienen de los capítulos 6 a 9; las que decían lo mismo con otras palabras se oyen una sola vez. </w:t>
      </w:r>
      <w:r>
        <w:t>[00.0-6.1 y 6.2; clasificación de las defensas, aprobada: 11.4]</w:t>
      </w:r>
    </w:p>
    <w:p>
      <w:r>
        <w:rPr>
          <w:b/>
        </w:rPr>
        <w:t>La presunción:</w:t>
      </w:r>
      <w:r>
        <w:t xml:space="preserve"> «Que las cuentas del Estado dan la imagen fiel de lo que debe».</w:t>
      </w:r>
    </w:p>
    <w:p>
      <w:r>
        <w:rPr>
          <w:b/>
        </w:rPr>
        <w:t>La vara.</w:t>
      </w:r>
    </w:p>
    <w:p>
      <w:pPr>
        <w:pStyle w:val="ListBullet"/>
      </w:pPr>
      <w:r>
        <w:rPr>
          <w:i/>
        </w:rPr>
        <w:t>La ley de Dios:</w:t>
      </w:r>
      <w:r>
        <w:t xml:space="preserve"> «Doble pesa y doble medida, Abominación son á Jehová ambas cosas» (Pr 20:10; </w:t>
      </w:r>
      <w:r>
        <w:t>5.2</w:t>
      </w:r>
      <w:r>
        <w:t>). Una sola medida para todos.</w:t>
      </w:r>
    </w:p>
    <w:p>
      <w:pPr>
        <w:pStyle w:val="ListBullet"/>
      </w:pPr>
      <w:r>
        <w:rPr>
          <w:i/>
        </w:rPr>
        <w:t>Las tradiciones:</w:t>
      </w:r>
      <w:r>
        <w:t xml:space="preserve"> nadie debe ser juez en su propia causa (</w:t>
      </w:r>
      <w:r>
        <w:t>1.7</w:t>
      </w:r>
      <w:r>
        <w:t>).</w:t>
      </w:r>
    </w:p>
    <w:p>
      <w:pPr>
        <w:pStyle w:val="ListBullet"/>
      </w:pPr>
      <w:r>
        <w:rPr>
          <w:i/>
        </w:rPr>
        <w:t>Su propia ley:</w:t>
      </w:r>
      <w:r>
        <w:t xml:space="preserve"> una sociedad debe disolverse «Por pérdidas que dejen reducido el patrimonio neto a una cantidad inferior a la mitad del capital social» (Ley de Sociedades de Capital, art. 363.1.e; </w:t>
      </w:r>
      <w:r>
        <w:t>9.1</w:t>
      </w:r>
      <w:r>
        <w:t xml:space="preserve">), y el auditor debe indicar las «incertidumbres significativas o materiales» sobre la capacidad de la entidad «para continuar como empresa en funcionamiento» (Ley 22/2015, art. 5.1.e; </w:t>
      </w:r>
      <w:r>
        <w:t>9.1</w:t>
      </w:r>
      <w:r>
        <w:t>).</w:t>
      </w:r>
    </w:p>
    <w:p>
      <w:r>
        <w:rPr>
          <w:b/>
        </w:rPr>
        <w:t>Dónde está probado:</w:t>
      </w:r>
      <w:r>
        <w:t xml:space="preserve"> la Constitución frente a los hechos (</w:t>
      </w:r>
      <w:r>
        <w:t>capítulo 7</w:t>
      </w:r>
      <w:r>
        <w:t>), los frutos (</w:t>
      </w:r>
      <w:r>
        <w:t>capítulo 8</w:t>
      </w:r>
      <w:r>
        <w:t>) y el dictamen (</w:t>
      </w:r>
      <w:r>
        <w:t>9.1</w:t>
      </w:r>
      <w:r>
        <w:t>).</w:t>
      </w:r>
    </w:p>
    <w:p>
      <w:r>
        <w:rPr>
          <w:b/>
        </w:rPr>
        <w:t>La pregunta:</w:t>
      </w:r>
      <w:r>
        <w:t xml:space="preserve"> si la regla que el sistema aplica a cualquier sociedad lo pondría en causa de disolución, ¿con qué regla se mide su solvencia, quién la aplica y dónde se publica, junto a la deuda oficial, lo que ya ha prometido pagar?</w:t>
      </w:r>
    </w:p>
    <w:p>
      <w:pPr>
        <w:pStyle w:val="Heading3"/>
      </w:pPr>
      <w:r>
        <w:t>La vara y el formato</w:t>
      </w:r>
    </w:p>
    <w:p>
      <w:r>
        <w:rPr>
          <w:b/>
        </w:rPr>
        <w:t>1. «Un Estado no es una empresa».</w:t>
      </w:r>
    </w:p>
    <w:p>
      <w:pPr>
        <w:pStyle w:val="ListBullet"/>
      </w:pPr>
      <w:r>
        <w:rPr>
          <w:i/>
        </w:rPr>
        <w:t>La defensa del Estado:</w:t>
      </w:r>
      <w:r>
        <w:t xml:space="preserve"> la vara mercantil no sirve para un Estado. Una sociedad se disuelve porque no puede pagar; un Estado tiene poder tributario y no desaparece. Por eso la ley lo excluye del concurso: «Las entidades que integran la organización territorial del Estado, los organismos públicos y demás entes de derecho público no podrán ser declarados en concurso»</w:t>
      </w:r>
      <w:r>
        <w:t xml:space="preserve"> (texto refundido de la Ley Concursal, art. 1.3)</w:t>
      </w:r>
      <w:r>
        <w:br/>
      </w:r>
      <w:r>
        <w:rPr>
          <w:b/>
        </w:rPr>
        <w:t>leída en su fuente · texto refundido de la Ley Concursal, art. 1.3</w:t>
      </w:r>
      <w:r>
        <w:br/>
      </w:r>
      <w:r>
        <w:rPr>
          <w:b/>
        </w:rPr>
        <w:t>Archivo leído:</w:t>
      </w:r>
      <w:r>
        <w:t xml:space="preserve"> ley_concursal_rdleg1_2020.html (c5\ley_concursal_rdleg1_2020.html) · contraste del archivo de pasajes: ✔</w:t>
      </w:r>
      <w:r>
        <w:br/>
      </w:r>
      <w:r>
        <w:rPr>
          <w:b/>
        </w:rPr>
        <w:t>Lugar:</w:t>
      </w:r>
      <w:r>
        <w:t xml:space="preserve"> Art. 1.3 (#a1)</w:t>
      </w:r>
      <w:r>
        <w:br/>
      </w:r>
      <w:r>
        <w:rPr>
          <w:b/>
        </w:rPr>
        <w:t>Dirección:</w:t>
      </w:r>
      <w:r>
        <w:t xml:space="preserve"> </w:t>
      </w:r>
      <w:r>
        <w:t>https://www.boe.es/buscar/act.php?id=BOE-A-2020-4859</w:t>
      </w:r>
      <w:r>
        <w:br/>
      </w:r>
      <w:r>
        <w:rPr>
          <w:b/>
        </w:rPr>
        <w:t>Tal como está en la fuente:</w:t>
      </w:r>
      <w:r>
        <w:t xml:space="preserve"> 3. Las entidades que integran la organización territorial del Estado, los organismos públicos y demás entes de derecho público no podrán ser declarados en concurso.</w:t>
      </w:r>
      <w:r>
        <w:t>. No es un privilegio: es su naturaleza.</w:t>
      </w:r>
    </w:p>
    <w:p>
      <w:pPr>
        <w:pStyle w:val="ListBullet"/>
      </w:pPr>
      <w:r>
        <w:rPr>
          <w:i/>
        </w:rPr>
        <w:t>Lo que la obra responde:</w:t>
      </w:r>
      <w:r>
        <w:t xml:space="preserve"> concedido en su capítulo: un Estado no es una sociedad mercantil, y lo que prueban los datos es la causa de disolución con esa regla, no una quiebra en sentido legal (</w:t>
      </w:r>
      <w:r>
        <w:t>capítulo 9</w:t>
      </w:r>
      <w:r>
        <w:t>, límite honesto). Pero la vara es justamente esa: medir al sistema con la regla que él aplica a cualquier persona o empresa (</w:t>
      </w:r>
      <w:r>
        <w:t>0.5</w:t>
      </w:r>
      <w:r>
        <w:t>). La exclusión del concurso la escribe él mismo, y nadie debe ser juez en su propia causa (</w:t>
      </w:r>
      <w:r>
        <w:t>1.7</w:t>
      </w:r>
      <w:r>
        <w:t>). Su poder tributario no resuelve la deuda: la traslada a quien paga, que es a la vez su acreedor (</w:t>
      </w:r>
      <w:r>
        <w:t>9.1</w:t>
      </w:r>
      <w:r>
        <w:t xml:space="preserve">). Y con la ley de Dios, una medida para sí y otra para los demás es «Abominación» (Pr 20:10; </w:t>
      </w:r>
      <w:r>
        <w:t>5.2</w:t>
      </w:r>
      <w:r>
        <w:t>).</w:t>
      </w:r>
    </w:p>
    <w:p>
      <w:pPr>
        <w:pStyle w:val="ListBullet"/>
      </w:pPr>
      <w:r>
        <w:rPr>
          <w:i/>
        </w:rPr>
        <w:t>Dónde aguanta:</w:t>
      </w:r>
      <w:r>
        <w:t xml:space="preserve"> el Estado sigue pagando y obteniendo préstamos. No está en quiebra legal, y la obra no lo dice (</w:t>
      </w:r>
      <w:r>
        <w:t>capítulo 9</w:t>
      </w:r>
      <w:r>
        <w:t>, límite honesto).</w:t>
      </w:r>
    </w:p>
    <w:p>
      <w:r>
        <w:t>[00.0-6.3 y 6.4; la Ley Concursal, con las palabras de 5.1, n.º 7]</w:t>
      </w:r>
    </w:p>
    <w:p>
      <w:r>
        <w:rPr>
          <w:b/>
        </w:rPr>
        <w:t>2. «La deuda de pensiones no vence hoy».</w:t>
      </w:r>
    </w:p>
    <w:p>
      <w:pPr>
        <w:pStyle w:val="ListBullet"/>
      </w:pPr>
      <w:r>
        <w:rPr>
          <w:i/>
        </w:rPr>
        <w:t>La defensa del Estado:</w:t>
      </w:r>
      <w:r>
        <w:t xml:space="preserve"> los 6,13 billones de euros en pensiones ya prometidas no son una deuda exigible hoy: el propio INE advierte que son el valor actual de pagos futuros (</w:t>
      </w:r>
      <w:r>
        <w:t>5.1</w:t>
      </w:r>
      <w:r>
        <w:t>, n.º 24), y el sistema de reparto los paga con las cotizaciones de cada momento, como ha hecho siempre. Y la Constitución las garantiza: «Los poderes públicos garantizarán, mediante pensiones adecuadas y periódicamente actualizadas, la suficiencia económica a los ciudadanos durante la tercera edad»</w:t>
      </w:r>
      <w:r>
        <w:t xml:space="preserve"> (Constitución, art. 50)</w:t>
      </w:r>
      <w:r>
        <w:br/>
      </w:r>
      <w:r>
        <w:rPr>
          <w:b/>
        </w:rPr>
        <w:t>leída en su fuente · Constitución, art. 50</w:t>
      </w:r>
      <w:r>
        <w:br/>
      </w:r>
      <w:r>
        <w:rPr>
          <w:b/>
        </w:rPr>
        <w:t>Archivo leído:</w:t>
      </w:r>
      <w:r>
        <w:t xml:space="preserve"> constitucion_1978.html (c5\constitucion_1978.html) · contraste del archivo de pasajes: ✔</w:t>
      </w:r>
      <w:r>
        <w:br/>
      </w:r>
      <w:r>
        <w:rPr>
          <w:b/>
        </w:rPr>
        <w:t>Lugar:</w:t>
      </w:r>
      <w:r>
        <w:t xml:space="preserve"> Art. 50 (#a50)</w:t>
      </w:r>
      <w:r>
        <w:br/>
      </w:r>
      <w:r>
        <w:rPr>
          <w:b/>
        </w:rPr>
        <w:t>Dirección:</w:t>
      </w:r>
      <w:r>
        <w:t xml:space="preserve"> </w:t>
      </w:r>
      <w:r>
        <w:t>https://www.boe.es/buscar/act.php?id=BOE-A-1978-31229</w:t>
      </w:r>
      <w:r>
        <w:br/>
      </w:r>
      <w:r>
        <w:rPr>
          <w:b/>
        </w:rPr>
        <w:t>Tal como está en la fuente:</w:t>
      </w:r>
      <w:r>
        <w:t xml:space="preserve"> Los poderes públicos garantizarán, mediante pensiones adecuadas y periódicamente actualizadas, la suficiencia</w:t>
      </w:r>
      <w:r>
        <w:t>.</w:t>
      </w:r>
    </w:p>
    <w:p>
      <w:pPr>
        <w:pStyle w:val="ListBullet"/>
      </w:pPr>
      <w:r>
        <w:rPr>
          <w:i/>
        </w:rPr>
        <w:t>Lo que la obra responde:</w:t>
      </w:r>
      <w:r>
        <w:t xml:space="preserve"> el dictamen recoge esa misma advertencia (</w:t>
      </w:r>
      <w:r>
        <w:t>9.1</w:t>
      </w:r>
      <w:r>
        <w:t>). Pero pagar a los de antes con lo que se pide a los que vienen detrás es lo que la lectura del autor llama pirámide (</w:t>
      </w:r>
      <w:r>
        <w:t>9.1</w:t>
      </w:r>
      <w:r>
        <w:t>). Del Fondo de Reserva, la hucha, se dispusieron 80.337 millones de euros entre 2012 y 2019, y hoy se rellena con una cotización nueva que pagan trabajadores y empresas desde 2023 (</w:t>
      </w:r>
      <w:r>
        <w:t>8.6</w:t>
      </w:r>
      <w:r>
        <w:t xml:space="preserve">). La garantía del art. 50 la pagan los mismos ciudadanos, mientras el pago de la deuda «gozará de prioridad absoluta» (art. 135.3; </w:t>
      </w:r>
      <w:r>
        <w:t>7.2</w:t>
      </w:r>
      <w:r>
        <w:t>, n.º 4). Y quienes aún no han nacido no han consentido esa carga (</w:t>
      </w:r>
      <w:r>
        <w:t>cargo 9</w:t>
      </w:r>
      <w:r>
        <w:t>).</w:t>
      </w:r>
    </w:p>
    <w:p>
      <w:pPr>
        <w:pStyle w:val="ListBullet"/>
      </w:pPr>
      <w:r>
        <w:rPr>
          <w:i/>
        </w:rPr>
        <w:t>Dónde aguanta:</w:t>
      </w:r>
      <w:r>
        <w:t xml:space="preserve"> nadie reclama hoy esos 6,13 billones, y compararlos con la deuda oficial es un cálculo de la obra (</w:t>
      </w:r>
      <w:r>
        <w:t>capítulo 9</w:t>
      </w:r>
      <w:r>
        <w:t>, límite honesto).</w:t>
      </w:r>
    </w:p>
    <w:p>
      <w:r>
        <w:t>[00.0-6.5 y 6.6; Constitución, art. 50, leído hoy en local]</w:t>
      </w:r>
    </w:p>
    <w:p>
      <w:r>
        <w:rPr>
          <w:b/>
        </w:rPr>
        <w:t>3. «Un dinero sin respaldo material es la norma mundial».</w:t>
      </w:r>
    </w:p>
    <w:p>
      <w:pPr>
        <w:pStyle w:val="ListBullet"/>
      </w:pPr>
      <w:r>
        <w:rPr>
          <w:i/>
        </w:rPr>
        <w:t>La defensa del Estado:</w:t>
      </w:r>
      <w:r>
        <w:t xml:space="preserve"> desde 1971, el sistema monetario internacional es fiduciario (</w:t>
      </w:r>
      <w:r>
        <w:t>8.1</w:t>
      </w:r>
      <w:r>
        <w:t>), y la mejor evidencia histórica no culpa de la Gran Depresión a la moneda sin respaldo, sino a la rigidez del oro (</w:t>
      </w:r>
      <w:r>
        <w:t>8.1</w:t>
      </w:r>
      <w:r>
        <w:t>). No hay nada anómalo en ello.</w:t>
      </w:r>
    </w:p>
    <w:p>
      <w:pPr>
        <w:pStyle w:val="ListBullet"/>
      </w:pPr>
      <w:r>
        <w:rPr>
          <w:i/>
        </w:rPr>
        <w:t>Lo que la obra responde:</w:t>
      </w:r>
      <w:r>
        <w:t xml:space="preserve"> la obra lo recoge con la misma evidencia (</w:t>
      </w:r>
      <w:r>
        <w:t>8.1</w:t>
      </w:r>
      <w:r>
        <w:t>). Lo que el dictamen mide es el efecto: 100 euros guardados el 1 de enero de 1971 compran hoy lo que entonces 3,90, y la subida de los precios rebajó la deuda pública, en términos reales, en 306.760 millones de euros entre 2021 y 2025 (</w:t>
      </w:r>
      <w:r>
        <w:t>8.3</w:t>
      </w:r>
      <w:r>
        <w:t>). Que sea la norma en todo el mundo no cambia quién paga la pérdida de valor: quien guardó (</w:t>
      </w:r>
      <w:r>
        <w:t>cargo 4</w:t>
      </w:r>
      <w:r>
        <w:t>).</w:t>
      </w:r>
    </w:p>
    <w:p>
      <w:pPr>
        <w:pStyle w:val="ListBullet"/>
      </w:pPr>
      <w:r>
        <w:rPr>
          <w:i/>
        </w:rPr>
        <w:t>Dónde aguanta:</w:t>
      </w:r>
      <w:r>
        <w:t xml:space="preserve"> es la norma en todo el mundo, y la obra no culpa a la moneda sin respaldo de la Gran Depresión (</w:t>
      </w:r>
      <w:r>
        <w:t>8.1</w:t>
      </w:r>
      <w:r>
        <w:t>).</w:t>
      </w:r>
    </w:p>
    <w:p>
      <w:r>
        <w:t>[00.0-6.7 y 6.8]</w:t>
      </w:r>
    </w:p>
    <w:p>
      <w:r>
        <w:rPr>
          <w:b/>
        </w:rPr>
        <w:t>4. «"Opinión desfavorable" no es una auditoría oficial».</w:t>
      </w:r>
    </w:p>
    <w:p>
      <w:pPr>
        <w:pStyle w:val="ListBullet"/>
      </w:pPr>
      <w:r>
        <w:rPr>
          <w:i/>
        </w:rPr>
        <w:t>La defensa del Estado:</w:t>
      </w:r>
      <w:r>
        <w:t xml:space="preserve"> la obra no es un auditor inscrito ni un órgano de control. Usar el formato de la ley de auditoría (Ley 22/2015, art. 5.1.e) para dictaminar sobre el Estado no tiene ningún valor oficial.</w:t>
      </w:r>
    </w:p>
    <w:p>
      <w:pPr>
        <w:pStyle w:val="ListBullet"/>
      </w:pPr>
      <w:r>
        <w:rPr>
          <w:i/>
        </w:rPr>
        <w:t>Lo que la obra responde:</w:t>
      </w:r>
      <w:r>
        <w:t xml:space="preserve"> es cierto, y la obra lo dice: usa el formato para que su conclusión se lea con categorías conocidas, no para darle un valor que no tiene (</w:t>
      </w:r>
      <w:r>
        <w:t>9.1</w:t>
      </w:r>
      <w:r>
        <w:t>). Los datos no son del autor: salen de las cuentas y las estadísticas del propio Estado (el Tribunal de Cuentas, el INE, la Seguridad Social, el BOE) y de Eurostat (capítulos 7 a 9). El método se puede repetir (</w:t>
      </w:r>
      <w:r>
        <w:t>anexo G</w:t>
      </w:r>
      <w:r>
        <w:t>), y cada institución tiene su defensa escrita antes del veredicto (</w:t>
      </w:r>
      <w:r>
        <w:t>11.2</w:t>
      </w:r>
      <w:r>
        <w:t xml:space="preserve"> y </w:t>
      </w:r>
      <w:r>
        <w:t>11.3</w:t>
      </w:r>
      <w:r>
        <w:t>).</w:t>
      </w:r>
    </w:p>
    <w:p>
      <w:pPr>
        <w:pStyle w:val="ListBullet"/>
      </w:pPr>
      <w:r>
        <w:rPr>
          <w:i/>
        </w:rPr>
        <w:t>Dónde aguanta:</w:t>
      </w:r>
      <w:r>
        <w:t xml:space="preserve"> entera. El dictamen no tiene valor oficial, y la obra lo suscribe.</w:t>
      </w:r>
    </w:p>
    <w:p>
      <w:r>
        <w:t>[00.0-6.9 y 6.10]</w:t>
      </w:r>
    </w:p>
    <w:p>
      <w:r>
        <w:rPr>
          <w:b/>
        </w:rPr>
        <w:t>5. «Anunciar el cierre de una forma de gobierno invita a desobedecer».</w:t>
      </w:r>
    </w:p>
    <w:p>
      <w:pPr>
        <w:pStyle w:val="ListBullet"/>
      </w:pPr>
      <w:r>
        <w:rPr>
          <w:i/>
        </w:rPr>
        <w:t>La defensa del Estado:</w:t>
      </w:r>
      <w:r>
        <w:t xml:space="preserve"> declarar que esta forma de gobierno ha llegado a su final deslegitima las instituciones democráticas, y puede leerse como una invitación a no cumplir la ley. Y la ley obliga a todos: «Los ciudadanos y los poderes públicos están sujetos a la Constitución y al resto del ordenamiento jurídico»</w:t>
      </w:r>
      <w:r>
        <w:t xml:space="preserve"> (Constitución, art. 9.1)</w:t>
      </w:r>
      <w:r>
        <w:br/>
      </w:r>
      <w:r>
        <w:rPr>
          <w:b/>
        </w:rPr>
        <w:t>leída en su fuente · Constitución, art. 9.1</w:t>
      </w:r>
      <w:r>
        <w:br/>
      </w:r>
      <w:r>
        <w:rPr>
          <w:b/>
        </w:rPr>
        <w:t>Archivo leído:</w:t>
      </w:r>
      <w:r>
        <w:t xml:space="preserve"> constitucion_1978.html (c5\constitucion_1978.html) · contraste del archivo de pasajes: ✔</w:t>
      </w:r>
      <w:r>
        <w:br/>
      </w:r>
      <w:r>
        <w:rPr>
          <w:b/>
        </w:rPr>
        <w:t>Lugar:</w:t>
      </w:r>
      <w:r>
        <w:t xml:space="preserve"> Art. 9.1 (#a9)</w:t>
      </w:r>
      <w:r>
        <w:br/>
      </w:r>
      <w:r>
        <w:rPr>
          <w:b/>
        </w:rPr>
        <w:t>Dirección:</w:t>
      </w:r>
      <w:r>
        <w:t xml:space="preserve"> </w:t>
      </w:r>
      <w:r>
        <w:t>https://www.boe.es/buscar/act.php?id=BOE-A-1978-31229</w:t>
      </w:r>
      <w:r>
        <w:br/>
      </w:r>
      <w:r>
        <w:rPr>
          <w:b/>
        </w:rPr>
        <w:t>Tal como está en la fuente:</w:t>
      </w:r>
      <w:r>
        <w:t xml:space="preserve"> 1. Los ciudadanos y los poderes públicos están sujetos a la Constitución y al resto del ordenamiento jurídico.</w:t>
      </w:r>
      <w:r>
        <w:t>.</w:t>
      </w:r>
    </w:p>
    <w:p>
      <w:pPr>
        <w:pStyle w:val="ListBullet"/>
      </w:pPr>
      <w:r>
        <w:rPr>
          <w:i/>
        </w:rPr>
        <w:t>Lo que la obra responde:</w:t>
      </w:r>
      <w:r>
        <w:t xml:space="preserve"> el propio dictamen lo descarta por escrito: no exime a nadie de sus obligaciones vigentes, y es el diagnóstico que funda la reforma, no una orden de desobediencia (</w:t>
      </w:r>
      <w:r>
        <w:t>9.1</w:t>
      </w:r>
      <w:r>
        <w:t>). El cierre que anuncia es el de una forma de gobierno, no el de la comunidad, el orden o la ley, y va como lectura del autor (</w:t>
      </w:r>
      <w:r>
        <w:t>9.1</w:t>
      </w:r>
      <w:r>
        <w:t>). Y el camino que propone es el que la propia ley ofrece: la petición documentada (</w:t>
      </w:r>
      <w:r>
        <w:t>10.4</w:t>
      </w:r>
      <w:r>
        <w:t>), la metamorfosis a la que se invita (</w:t>
      </w:r>
      <w:r>
        <w:t>0.2</w:t>
      </w:r>
      <w:r>
        <w:t xml:space="preserve">) y la revisión total que la Constitución dejó abierta (art. 168; </w:t>
      </w:r>
      <w:r>
        <w:t>5.2</w:t>
      </w:r>
      <w:r>
        <w:t>). La objeción general, que retirar la creencia es invitar a desobedecer, ya se respondió (</w:t>
      </w:r>
      <w:r>
        <w:t>11.2</w:t>
      </w:r>
      <w:r>
        <w:t>, n.º 22).</w:t>
      </w:r>
    </w:p>
    <w:p>
      <w:pPr>
        <w:pStyle w:val="ListBullet"/>
      </w:pPr>
      <w:r>
        <w:rPr>
          <w:i/>
        </w:rPr>
        <w:t>Dónde aguanta:</w:t>
      </w:r>
      <w:r>
        <w:t xml:space="preserve"> la Constitución no recoge un derecho de resistencia (</w:t>
      </w:r>
      <w:r>
        <w:t>6.5</w:t>
      </w:r>
      <w:r>
        <w:t>), y la obra no lo reclama.</w:t>
      </w:r>
    </w:p>
    <w:p>
      <w:r>
        <w:t>[00.0-6.11 y 6.12]</w:t>
      </w:r>
    </w:p>
    <w:p>
      <w:pPr>
        <w:pStyle w:val="Heading3"/>
      </w:pPr>
      <w:r>
        <w:t>La auditoría de España</w:t>
      </w:r>
    </w:p>
    <w:p>
      <w:r>
        <w:rPr>
          <w:b/>
        </w:rPr>
        <w:t>6. «España tiene un perfil mixto».</w:t>
      </w:r>
    </w:p>
    <w:p>
      <w:pPr>
        <w:pStyle w:val="ListBullet"/>
      </w:pPr>
      <w:r>
        <w:rPr>
          <w:i/>
        </w:rPr>
        <w:t>La defensa del Estado:</w:t>
      </w:r>
      <w:r>
        <w:t xml:space="preserve"> la propia obra concluye que España no es un orden de acceso limitado: hay sanciones, disoluciones judiciales, sentencias que anulan y partidos nuevos que han entrado (</w:t>
      </w:r>
      <w:r>
        <w:t>6.4</w:t>
      </w:r>
      <w:r>
        <w:t>). Tiene un perfil mixto, con mecanismos reales de acceso abierto. Luego no hay un problema estructural, sino defectos concretos que se pueden ir corrigiendo.</w:t>
      </w:r>
    </w:p>
    <w:p>
      <w:pPr>
        <w:pStyle w:val="ListBullet"/>
      </w:pPr>
      <w:r>
        <w:rPr>
          <w:i/>
        </w:rPr>
        <w:t>Lo que la obra responde:</w:t>
      </w:r>
      <w:r>
        <w:t xml:space="preserve"> el perfil mixto es exacto, y dice dónde falla: en las puertas. Los órganos de control, el Consejo General del Poder Judicial, el Tribunal de Cuentas y parte del Constitucional, los eligen las Cámaras por tres quintos, es decir, los partidos a los que controlan (</w:t>
      </w:r>
      <w:r>
        <w:t>6.4</w:t>
      </w:r>
      <w:r>
        <w:t>). Y la vía del ciudadano para cambiarlo la cierra su propia ley: la iniciativa popular «No procederá […] en materias propias de ley orgánica, tributarias o de carácter internacional»</w:t>
      </w:r>
      <w:r>
        <w:t xml:space="preserve"> (Constitución, art. 87.3)</w:t>
      </w:r>
      <w:r>
        <w:br/>
      </w:r>
      <w:r>
        <w:rPr>
          <w:b/>
        </w:rPr>
        <w:t>leída en su fuente · Constitución, art. 87.3</w:t>
      </w:r>
      <w:r>
        <w:br/>
      </w:r>
      <w:r>
        <w:rPr>
          <w:b/>
        </w:rPr>
        <w:t>Archivo leído:</w:t>
      </w:r>
      <w:r>
        <w:t xml:space="preserve"> constitucion_1978.html (c5\constitucion_1978.html) · contraste del archivo de pasajes: ✔</w:t>
      </w:r>
      <w:r>
        <w:br/>
      </w:r>
      <w:r>
        <w:rPr>
          <w:b/>
        </w:rPr>
        <w:t>Lugar:</w:t>
      </w:r>
      <w:r>
        <w:t xml:space="preserve"> Art. 122.3</w:t>
      </w:r>
      <w:r>
        <w:br/>
      </w:r>
      <w:r>
        <w:rPr>
          <w:b/>
        </w:rPr>
        <w:t>Dirección:</w:t>
      </w:r>
      <w:r>
        <w:t xml:space="preserve"> </w:t>
      </w:r>
      <w:r>
        <w:t>https://www.boe.es/buscar/act.php?id=BOE-A-1978-31229</w:t>
      </w:r>
      <w:r>
        <w:br/>
      </w:r>
      <w:r>
        <w:rPr>
          <w:b/>
        </w:rPr>
        <w:t>Tal como está en la fuente:</w:t>
      </w:r>
      <w:r>
        <w:t xml:space="preserve"> No procederá dicha iniciativa en materias propias de ley orgánica, tributarias o de carácter internacional, ni en lo relativo a la prerrogativa de gracia.</w:t>
      </w:r>
      <w:r>
        <w:t>, y la ley electoral y la del poder judicial son orgánicas (</w:t>
      </w:r>
      <w:r>
        <w:t>6.4</w:t>
      </w:r>
      <w:r>
        <w:t>). Un defecto que nadie puede corregir desde fuera no es un defecto concreto: es el diseño.</w:t>
      </w:r>
    </w:p>
    <w:p>
      <w:pPr>
        <w:pStyle w:val="ListBullet"/>
      </w:pPr>
      <w:r>
        <w:rPr>
          <w:i/>
        </w:rPr>
        <w:t>Dónde aguanta:</w:t>
      </w:r>
      <w:r>
        <w:t xml:space="preserve"> España no es un orden de acceso limitado puro, y la obra lo dice: el método no encontró la condena total (</w:t>
      </w:r>
      <w:r>
        <w:t>6.4</w:t>
      </w:r>
      <w:r>
        <w:t>).</w:t>
      </w:r>
    </w:p>
    <w:p>
      <w:r>
        <w:t>[13.00-13.16 y 13.17, sin que la revisión total «nunca se ha activado» (sin fila); Constitución, art. 87.3, leído hoy en local]</w:t>
      </w:r>
    </w:p>
    <w:p>
      <w:r>
        <w:rPr>
          <w:b/>
        </w:rPr>
        <w:t>7. «El Estado cumple la mayor parte de su Constitución».</w:t>
      </w:r>
    </w:p>
    <w:p>
      <w:pPr>
        <w:pStyle w:val="ListBullet"/>
      </w:pPr>
      <w:r>
        <w:rPr>
          <w:i/>
        </w:rPr>
        <w:t>La defensa del Estado:</w:t>
      </w:r>
      <w:r>
        <w:t xml:space="preserve"> 93 de sus 169 artículos se cumplen sin incidencia relevante (</w:t>
      </w:r>
      <w:r>
        <w:t>7.1</w:t>
      </w:r>
      <w:r>
        <w:t>). El Estado cumple la mayor parte de su Constitución.</w:t>
      </w:r>
    </w:p>
    <w:p>
      <w:pPr>
        <w:pStyle w:val="ListBullet"/>
      </w:pPr>
      <w:r>
        <w:rPr>
          <w:i/>
        </w:rPr>
        <w:t>Lo que la obra responde:</w:t>
      </w:r>
      <w:r>
        <w:t xml:space="preserve"> concedido en su capítulo (</w:t>
      </w:r>
      <w:r>
        <w:t>capítulo 9</w:t>
      </w:r>
      <w:r>
        <w:t>, límite honesto). Pero el hallazgo no es la cifra total, sino dónde recae el incumplimiento: en el 62,1 % de los artículos sobre el bien común, frente al 27,2 % de los que regulan el organigrama del poder (</w:t>
      </w:r>
      <w:r>
        <w:t>7.4</w:t>
      </w:r>
      <w:r>
        <w:t>). Cuando hubo una extralimitación real, otro poder la corrigió en el 26,32 % de los casos del organigrama y en el 4,65 % de los del bien común (</w:t>
      </w:r>
      <w:r>
        <w:t>7.4</w:t>
      </w:r>
      <w:r>
        <w:t>). Se cumple lo que organiza al poder y se aplaza lo que se promete al pueblo: el cobro blindado y el deber aplazado (</w:t>
      </w:r>
      <w:r>
        <w:t>7.6</w:t>
      </w:r>
      <w:r>
        <w:t xml:space="preserve">). Y la Constitución se dio como fin «el bien de cuantos la integran» (preámbulo; </w:t>
      </w:r>
      <w:r>
        <w:t>11.2</w:t>
      </w:r>
      <w:r>
        <w:t>).</w:t>
      </w:r>
    </w:p>
    <w:p>
      <w:pPr>
        <w:pStyle w:val="ListBullet"/>
      </w:pPr>
      <w:r>
        <w:rPr>
          <w:i/>
        </w:rPr>
        <w:t>Dónde aguanta:</w:t>
      </w:r>
      <w:r>
        <w:t xml:space="preserve"> la mayor parte de los artículos se cumplen, y la obra lo reconoce (</w:t>
      </w:r>
      <w:r>
        <w:t>7.1</w:t>
      </w:r>
      <w:r>
        <w:t>).</w:t>
      </w:r>
    </w:p>
    <w:p>
      <w:r>
        <w:t>[14.00-8.10 y 8.11; la defensa que el capítulo 7 promete oír aquí]</w:t>
      </w:r>
    </w:p>
    <w:p>
      <w:r>
        <w:rPr>
          <w:b/>
        </w:rPr>
        <w:t>8. «Las amenazas corregidas prueban que el sistema se frena a sí mismo».</w:t>
      </w:r>
    </w:p>
    <w:p>
      <w:pPr>
        <w:pStyle w:val="ListBullet"/>
      </w:pPr>
      <w:r>
        <w:rPr>
          <w:i/>
        </w:rPr>
        <w:t>La defensa del Estado:</w:t>
      </w:r>
      <w:r>
        <w:t xml:space="preserve"> que haya habido amenazas y que algunas se hayan corregido demuestra que el sistema funciona: hay doce intentos frenados por los tribunales (</w:t>
      </w:r>
      <w:r>
        <w:t>7.4</w:t>
      </w:r>
      <w:r>
        <w:t>). Tiene mecanismos para frenarse a sí mismo.</w:t>
      </w:r>
    </w:p>
    <w:p>
      <w:pPr>
        <w:pStyle w:val="ListBullet"/>
      </w:pPr>
      <w:r>
        <w:rPr>
          <w:i/>
        </w:rPr>
        <w:t>Lo que la obra responde:</w:t>
      </w:r>
      <w:r>
        <w:t xml:space="preserve"> en el bien común, el 65,2 % de los artículos ha estado alguna vez bajo una amenaza real, y el freno actuó en 2 de 43 extralimitaciones (</w:t>
      </w:r>
      <w:r>
        <w:t>7.4</w:t>
      </w:r>
      <w:r>
        <w:t>). Cuando el Constitucional anula una norma tributaria, lo pagado y firme no se devuelve: el freno llega tarde y no repara (</w:t>
      </w:r>
      <w:r>
        <w:t>5.1</w:t>
      </w:r>
      <w:r>
        <w:t xml:space="preserve">, n.º 9; </w:t>
      </w:r>
      <w:r>
        <w:t>7.2</w:t>
      </w:r>
      <w:r>
        <w:t xml:space="preserve">). Y las dos puertas de reforma no se parecen: la que dio prioridad absoluta a la deuda se votó en las dos Cámaras entre el 2 y el 7 de septiembre de 2011, sin referéndum, porque no lo pidió la décima parte de ninguna Cámara (art. 167.3; </w:t>
      </w:r>
      <w:r>
        <w:t>8.1</w:t>
      </w:r>
      <w:r>
        <w:t>); la revisión total, la que permitiría al pueblo revisar el conjunto, exige dos tercios de cada Cámara, disolverlas, que las nuevas la ratifiquen por dos tercios y un referéndum (</w:t>
      </w:r>
      <w:r>
        <w:t>5.2</w:t>
      </w:r>
      <w:r>
        <w:t>).</w:t>
      </w:r>
    </w:p>
    <w:p>
      <w:pPr>
        <w:pStyle w:val="ListBullet"/>
      </w:pPr>
      <w:r>
        <w:rPr>
          <w:i/>
        </w:rPr>
        <w:t>Dónde aguanta:</w:t>
      </w:r>
      <w:r>
        <w:t xml:space="preserve"> no es tiranía sistemática: los contrapesos actúan, y el sistema se corrigió en casos reales (</w:t>
      </w:r>
      <w:r>
        <w:t>capítulo 7</w:t>
      </w:r>
      <w:r>
        <w:t>, límite honesto).</w:t>
      </w:r>
    </w:p>
    <w:p>
      <w:r>
        <w:t>[18.00-7.10 y 7.11, sin «en menos de dos semanas» (la obra tiene las fechas de las votaciones, no la de la propuesta) ni que la revisión total «nunca se ha activado» (sin fila); 17.00-244.1 y 244.2, con lo que dicen 8.1 y 5.2, sin «las cuatro reformas, sin referéndum» ni el «autobloqueo» (sin fila)]</w:t>
      </w:r>
    </w:p>
    <w:p>
      <w:r>
        <w:rPr>
          <w:b/>
        </w:rPr>
        <w:t>9. «La lectura de conjunto» y «la conclusión de conjunto»: los frutos.</w:t>
      </w:r>
    </w:p>
    <w:p>
      <w:pPr>
        <w:pStyle w:val="ListBullet"/>
      </w:pPr>
      <w:r>
        <w:rPr>
          <w:i/>
        </w:rPr>
        <w:t>La defensa del Estado:</w:t>
      </w:r>
      <w:r>
        <w:t xml:space="preserve"> España se constituye en «un Estado social y democrático de Derecho»</w:t>
      </w:r>
      <w:r>
        <w:t xml:space="preserve"> (Constitución, art. 1.1)</w:t>
      </w:r>
      <w:r>
        <w:br/>
      </w:r>
      <w:r>
        <w:rPr>
          <w:b/>
        </w:rPr>
        <w:t>leída en su fuente · Constitución, art. 1.1</w:t>
      </w:r>
      <w:r>
        <w:br/>
      </w:r>
      <w:r>
        <w:rPr>
          <w:b/>
        </w:rPr>
        <w:t>Archivo leído:</w:t>
      </w:r>
      <w:r>
        <w:t xml:space="preserve"> constitucion_1978.html (c5\constitucion_1978.html) · contraste del archivo de pasajes: ✔</w:t>
      </w:r>
      <w:r>
        <w:br/>
      </w:r>
      <w:r>
        <w:rPr>
          <w:b/>
        </w:rPr>
        <w:t>Lugar:</w:t>
      </w:r>
      <w:r>
        <w:t xml:space="preserve"> Art. 1.1 (#a1)</w:t>
      </w:r>
      <w:r>
        <w:br/>
      </w:r>
      <w:r>
        <w:rPr>
          <w:b/>
        </w:rPr>
        <w:t>Dirección:</w:t>
      </w:r>
      <w:r>
        <w:t xml:space="preserve"> </w:t>
      </w:r>
      <w:r>
        <w:t>https://www.boe.es/buscar/act.php?id=BOE-A-1978-31229</w:t>
      </w:r>
      <w:r>
        <w:br/>
      </w:r>
      <w:r>
        <w:rPr>
          <w:b/>
        </w:rPr>
        <w:t>Tal como está en la fuente:</w:t>
      </w:r>
      <w:r>
        <w:t xml:space="preserve"> 1. España se constituye en un Estado social y democrático de Derecho, que propugna</w:t>
      </w:r>
      <w:r>
        <w:t>, y lo es, con logros reales: sanidad universal, una pensión que la OCDE calcula en el 80,4 % del salario y una esperanza de vida de 84 años (</w:t>
      </w:r>
      <w:r>
        <w:t>8.4</w:t>
      </w:r>
      <w:r>
        <w:t>). Un sistema que da esos frutos no puede llamarse un sistema que solo se sirve a sí mismo.</w:t>
      </w:r>
    </w:p>
    <w:p>
      <w:pPr>
        <w:pStyle w:val="ListBullet"/>
      </w:pPr>
      <w:r>
        <w:rPr>
          <w:i/>
        </w:rPr>
        <w:t>Lo que la obra responde:</w:t>
      </w:r>
      <w:r>
        <w:t xml:space="preserve"> la obra reconoce esos frutos, y por eso los mide con la misma vara (</w:t>
      </w:r>
      <w:r>
        <w:t>capítulo 9</w:t>
      </w:r>
      <w:r>
        <w:t>, límite honesto). El incumplimiento recae el doble en lo que la Constitución promete al pueblo, el 62,1 % de esos artículos, que en lo que organiza al poder, el 27,2 % (</w:t>
      </w:r>
      <w:r>
        <w:t>7.4</w:t>
      </w:r>
      <w:r>
        <w:t>). De cada jornada de ocho horas de un asalariado medio, 3 horas y 19 minutos se van en IRPF y cotizaciones (</w:t>
      </w:r>
      <w:r>
        <w:t>8.3</w:t>
      </w:r>
      <w:r>
        <w:t>): el ciudadano cumple su parte de forma automática. En 2025, el 33,8 % de los menores de 18 años estaba en riesgo de pobreza o exclusión social (</w:t>
      </w:r>
      <w:r>
        <w:t>7.5</w:t>
      </w:r>
      <w:r>
        <w:t>). Y las pensiones ya prometidas, 6,13 billones de euros, no figuran en la deuda oficial, mientras la Seguridad Social lleva ocho cierres seguidos con patrimonio neto negativo (</w:t>
      </w:r>
      <w:r>
        <w:t>9.1</w:t>
      </w:r>
      <w:r>
        <w:t>).</w:t>
      </w:r>
    </w:p>
    <w:p>
      <w:pPr>
        <w:pStyle w:val="ListBullet"/>
      </w:pPr>
      <w:r>
        <w:rPr>
          <w:i/>
        </w:rPr>
        <w:t>Dónde aguanta:</w:t>
      </w:r>
      <w:r>
        <w:t xml:space="preserve"> los frutos son reales, y parte del aumento del gasto se explica porque se vive más (</w:t>
      </w:r>
      <w:r>
        <w:t>9.1</w:t>
      </w:r>
      <w:r>
        <w:t xml:space="preserve">; </w:t>
      </w:r>
      <w:r>
        <w:t>capítulo 9</w:t>
      </w:r>
      <w:r>
        <w:t>, límite honesto).</w:t>
      </w:r>
    </w:p>
    <w:p>
      <w:r>
        <w:t>[18.00-7.12 y 7.13, la lectura de conjunto, que el capítulo 7 promete oír aquí; 34.00-13.12 y 13.13, la conclusión de conjunto, que promete el capítulo 8: son la misma defensa, y se responde una vez. Constitución, art. 1.1, leído hoy en local]</w:t>
      </w:r>
    </w:p>
    <w:p>
      <w:pPr>
        <w:pStyle w:val="Heading3"/>
      </w:pPr>
      <w:r>
        <w:t>La forma y la historia</w:t>
      </w:r>
    </w:p>
    <w:p>
      <w:r>
        <w:rPr>
          <w:b/>
        </w:rPr>
        <w:t>10. «"Una forma sin sustancia es corrupción" es una idea moral, no jurídica».</w:t>
      </w:r>
    </w:p>
    <w:p>
      <w:pPr>
        <w:pStyle w:val="ListBullet"/>
      </w:pPr>
      <w:r>
        <w:rPr>
          <w:i/>
        </w:rPr>
        <w:t>La defensa del Estado:</w:t>
      </w:r>
      <w:r>
        <w:t xml:space="preserve"> «corrupción» es una categoría moral y filosófica, no jurídica. Las instituciones españolas conservan su sustancia: elecciones libres, tribunales que funcionan, prensa libre. Y aplicarles un criterio de Aristóteles o de Confucio no es una auditoría.</w:t>
      </w:r>
    </w:p>
    <w:p>
      <w:pPr>
        <w:pStyle w:val="ListBullet"/>
      </w:pPr>
      <w:r>
        <w:rPr>
          <w:i/>
        </w:rPr>
        <w:t>Lo que la obra responde:</w:t>
      </w:r>
      <w:r>
        <w:t xml:space="preserve"> con su propia vara: el criterio no es solo de filósofos antiguos, sino del propio auditado. La norma internacional de los tribunales de cuentas define la auditoría de desempeño por «los principios de economía, eficiencia y eficacia»: no mide si se siguió el procedimiento, sino si se logró el resultado (ISSAI 300; </w:t>
      </w:r>
      <w:r>
        <w:t>7.5</w:t>
      </w:r>
      <w:r>
        <w:t>). Con esa vara, se incumple el 62,1 % de los artículos de la Constitución sobre el bien común (</w:t>
      </w:r>
      <w:r>
        <w:t>7.4</w:t>
      </w:r>
      <w:r>
        <w:t>). Y la obra dice lo que el criterio no permite: no declara corrompida a una institución entera, sino casos puntuales, cada uno con su fuente (</w:t>
      </w:r>
      <w:r>
        <w:t>7.5</w:t>
      </w:r>
      <w:r>
        <w:t>).</w:t>
      </w:r>
    </w:p>
    <w:p>
      <w:pPr>
        <w:pStyle w:val="ListBullet"/>
      </w:pPr>
      <w:r>
        <w:rPr>
          <w:i/>
        </w:rPr>
        <w:t>Dónde aguanta:</w:t>
      </w:r>
      <w:r>
        <w:t xml:space="preserve"> la corrupción de la forma es un diagnóstico puntual, no una sentencia: dos de los siete casos están reparados o en reparación, y dos son lagunas de diseño (</w:t>
      </w:r>
      <w:r>
        <w:t>capítulo 7</w:t>
      </w:r>
      <w:r>
        <w:t>, límite honesto).</w:t>
      </w:r>
    </w:p>
    <w:p>
      <w:r>
        <w:t>[19.00-35.2 y 35.3]</w:t>
      </w:r>
    </w:p>
    <w:p>
      <w:r>
        <w:rPr>
          <w:b/>
        </w:rPr>
        <w:t>11. «Comparar a España con los diez casos es ilegítimo».</w:t>
      </w:r>
    </w:p>
    <w:p>
      <w:pPr>
        <w:pStyle w:val="ListBullet"/>
      </w:pPr>
      <w:r>
        <w:rPr>
          <w:i/>
        </w:rPr>
        <w:t>La defensa del Estado:</w:t>
      </w:r>
      <w:r>
        <w:t xml:space="preserve"> aquellos casos, la India colonial, los regímenes comunistas de Europa, Marcos, Suharto o el apartheid, eran colonias o dictaduras. España es una democracia con elecciones libres, y compararla con ellos es ilegítimo.</w:t>
      </w:r>
    </w:p>
    <w:p>
      <w:pPr>
        <w:pStyle w:val="ListBullet"/>
      </w:pPr>
      <w:r>
        <w:rPr>
          <w:i/>
        </w:rPr>
        <w:t>Lo que la obra responde:</w:t>
      </w:r>
      <w:r>
        <w:t xml:space="preserve"> la obra no los equipara: lo que comparten no es el régimen, sino la secuencia. Primero se agota la sustancia del poder, y consta por escrito; solo después el pueblo deja de sostenerlo (</w:t>
      </w:r>
      <w:r>
        <w:t>9.2</w:t>
      </w:r>
      <w:r>
        <w:t>). Y no todos eran colonias o dictaduras: en Inglaterra, el conflicto fue con un rey que pretendía suspender las leyes sin el Parlamento; en Islandia, tras la quiebra de sus tres mayores bancos, dimitió el Gobierno y hubo elecciones: el cambio se hizo por las vías ordinarias (</w:t>
      </w:r>
      <w:r>
        <w:t>9.2</w:t>
      </w:r>
      <w:r>
        <w:t>). El camino de la obra es pacífico y legal: la constancia escrita, el Registro y este juicio (</w:t>
      </w:r>
      <w:r>
        <w:t>capítulo 10</w:t>
      </w:r>
      <w:r>
        <w:t>).</w:t>
      </w:r>
    </w:p>
    <w:p>
      <w:pPr>
        <w:pStyle w:val="ListBullet"/>
      </w:pPr>
      <w:r>
        <w:rPr>
          <w:i/>
        </w:rPr>
        <w:t>Dónde aguanta:</w:t>
      </w:r>
      <w:r>
        <w:t xml:space="preserve"> los diez casos son constancia histórica, no una ley de la historia, y la comparación con España la hace el autor, no los datos (</w:t>
      </w:r>
      <w:r>
        <w:t>capítulo 9</w:t>
      </w:r>
      <w:r>
        <w:t>, límite honesto).</w:t>
      </w:r>
    </w:p>
    <w:p>
      <w:r>
        <w:t>[19.00-35.4 y 35.5, sin «la red de conflictos de interés» de Islandia: va lo que concluyó su comisión, en 9.2]</w:t>
      </w:r>
    </w:p>
    <w:p>
      <w:pPr>
        <w:pStyle w:val="Heading3"/>
      </w:pPr>
      <w:r>
        <w:t>Los frutos</w:t>
      </w:r>
    </w:p>
    <w:p>
      <w:r>
        <w:rPr>
          <w:b/>
        </w:rPr>
        <w:t>12. «La confianza alta entre la gente prueba que el marco funciona».</w:t>
      </w:r>
    </w:p>
    <w:p>
      <w:pPr>
        <w:pStyle w:val="ListBullet"/>
      </w:pPr>
      <w:r>
        <w:rPr>
          <w:i/>
        </w:rPr>
        <w:t>La defensa del Estado:</w:t>
      </w:r>
      <w:r>
        <w:t xml:space="preserve"> si la confianza entre los ciudadanos es alta, es porque viven en un marco de seguridad, justicia y servicios públicos que lo hace posible. El mérito es también de las instituciones.</w:t>
      </w:r>
    </w:p>
    <w:p>
      <w:pPr>
        <w:pStyle w:val="ListBullet"/>
      </w:pPr>
      <w:r>
        <w:rPr>
          <w:i/>
        </w:rPr>
        <w:t>Lo que la obra responde:</w:t>
      </w:r>
      <w:r>
        <w:t xml:space="preserve"> si el mérito fuera del marco, se confiaría también en él, y no es así. El mismo estudio que encuentra «un grado de confianza entre la ciudadanía elevado» encuentra que «la confianza institucional es generalmente baja: ninguna administración (local, autonómica, central, europea) consigue el aprobado en España» (EsadeEcPol; </w:t>
      </w:r>
      <w:r>
        <w:t>8.9</w:t>
      </w:r>
      <w:r>
        <w:t xml:space="preserve">). En julio de 2020, en plena pandemia, la confianza entre la gente estaba por encima de la de 2014, y lo sigue estando (CIS; </w:t>
      </w:r>
      <w:r>
        <w:t>8.9</w:t>
      </w:r>
      <w:r>
        <w:t>): fue la gente la que respondió. Y la desconfianza en las instituciones tiene motivos medidos: el Consejo de Transparencia recibió 2.767 reclamaciones en 2025 (</w:t>
      </w:r>
      <w:r>
        <w:t>10.2</w:t>
      </w:r>
      <w:r>
        <w:t>).</w:t>
      </w:r>
    </w:p>
    <w:p>
      <w:pPr>
        <w:pStyle w:val="ListBullet"/>
      </w:pPr>
      <w:r>
        <w:rPr>
          <w:i/>
        </w:rPr>
        <w:t>Dónde aguanta:</w:t>
      </w:r>
      <w:r>
        <w:t xml:space="preserve"> el marco hace su parte, y la obra no mide cuánto de esa confianza se le debe.</w:t>
      </w:r>
    </w:p>
    <w:p>
      <w:r>
        <w:t>[29.00-8.4 y 8.5, sin el «récord» de reclamaciones (10.2 da la cifra) ni «cuando los sociólogos esperaban lo contrario» (sin fila)]</w:t>
      </w:r>
    </w:p>
    <w:p>
      <w:r>
        <w:rPr>
          <w:b/>
        </w:rPr>
        <w:t>13. «Decir que "el sistema creó los problemas" es un salto».</w:t>
      </w:r>
    </w:p>
    <w:p>
      <w:pPr>
        <w:pStyle w:val="ListBullet"/>
      </w:pPr>
      <w:r>
        <w:rPr>
          <w:i/>
        </w:rPr>
        <w:t>La defensa del Estado:</w:t>
      </w:r>
      <w:r>
        <w:t xml:space="preserve"> la conclusión con que se cierra el capítulo de los frutos, que el sistema ha creado los problemas actuales, no se deduce de los datos: la propia obra deja abierta la pregunta por la causa de la vivienda y de la fecundidad (</w:t>
      </w:r>
      <w:r>
        <w:t>8.8</w:t>
      </w:r>
      <w:r>
        <w:t>).</w:t>
      </w:r>
    </w:p>
    <w:p>
      <w:pPr>
        <w:pStyle w:val="ListBullet"/>
      </w:pPr>
      <w:r>
        <w:rPr>
          <w:i/>
        </w:rPr>
        <w:t>Lo que la obra responde:</w:t>
      </w:r>
      <w:r>
        <w:t xml:space="preserve"> es cierto, y por eso la obra la marca como lo que es: lectura del autor, separada de la conclusión de los datos (</w:t>
      </w:r>
      <w:r>
        <w:t>8.9</w:t>
      </w:r>
      <w:r>
        <w:t>). Lo que arrojan los datos es más modesto: la confianza entre las personas es hoy mayor que hace doce años, la desconfianza apunta a las instituciones, y el diseño legal enfrenta a la gente sin que nadie tenga que actuar de mala fe (</w:t>
      </w:r>
      <w:r>
        <w:t>8.9</w:t>
      </w:r>
      <w:r>
        <w:t xml:space="preserve">; </w:t>
      </w:r>
      <w:r>
        <w:t>7.7</w:t>
      </w:r>
      <w:r>
        <w:t>). El problema no está en la gente. La obra deja al lector las dos capas, una al lado de la otra (</w:t>
      </w:r>
      <w:r>
        <w:t>0.3</w:t>
      </w:r>
      <w:r>
        <w:t>).</w:t>
      </w:r>
    </w:p>
    <w:p>
      <w:pPr>
        <w:pStyle w:val="ListBullet"/>
      </w:pPr>
      <w:r>
        <w:rPr>
          <w:i/>
        </w:rPr>
        <w:t>Dónde aguanta:</w:t>
      </w:r>
      <w:r>
        <w:t xml:space="preserve"> entera, como conclusión de los datos: la causa no está demostrada (</w:t>
      </w:r>
      <w:r>
        <w:t>capítulo 8</w:t>
      </w:r>
      <w:r>
        <w:t>, límite honesto).</w:t>
      </w:r>
    </w:p>
    <w:p>
      <w:r>
        <w:t>[29.00-8.8 y 8.9; la defensa que el capítulo 8 promete oír aquí]</w:t>
      </w:r>
    </w:p>
    <w:p>
      <w:r>
        <w:rPr>
          <w:b/>
        </w:rPr>
        <w:t>Conclusión, lo que arrojan los datos:</w:t>
      </w:r>
      <w:r>
        <w:t xml:space="preserve"> de las trece objeciones, la obra concede lo que es cierto en cinco: un Estado no es una empresa y no está en quiebra legal; el dictamen no tiene valor oficial; la mayor parte de la Constitución se cumple; los frutos son reales; y que el sistema creó los problemas es lectura del autor. Ninguna de esas concesiones toca los hechos en que se apoya el dictamen: la Seguridad Social lleva ocho cierres seguidos con patrimonio neto negativo, las pensiones ya prometidas no figuran en la deuda oficial, y la ley que el sistema escribe lo excluye del concurso (</w:t>
      </w:r>
      <w:r>
        <w:t>9.1</w:t>
      </w:r>
      <w:r>
        <w:t>); el incumplimiento recae el doble en lo que se promete al pueblo, y el freno lo protege menos (</w:t>
      </w:r>
      <w:r>
        <w:t>7.4</w:t>
      </w:r>
      <w:r>
        <w:t>). Con la regla que aplica a cualquier empresa, el sistema estaría en causa de disolución (</w:t>
      </w:r>
      <w:r>
        <w:t>9.1</w:t>
      </w:r>
      <w:r>
        <w:t>).</w:t>
      </w:r>
    </w:p>
    <w:p>
      <w:r>
        <w:rPr>
          <w:b/>
        </w:rPr>
        <w:t>Límite honesto:</w:t>
      </w:r>
      <w:r>
        <w:t xml:space="preserve"> lo que la obra concede frente al dictamen está en su capítulo (</w:t>
      </w:r>
      <w:r>
        <w:t>capítulo 9</w:t>
      </w:r>
      <w:r>
        <w:t>, «Límite honesto de la prueba»), y aquí no se repite. El dictamen es del autor; el veredicto será del jurado (</w:t>
      </w:r>
      <w:r>
        <w:t>9.1</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las instituciones:</w:t>
      </w:r>
      <w:r>
        <w:t xml:space="preserve"> pendiente; se registrará la respuesta o el silencio.</w:t>
      </w:r>
    </w:p>
    <w:p>
      <w:r>
        <w:t>[clasificación de las defensas, aprobada, 11.4: catorce defensas, trece aquí, porque la lectura de conjunto y la conclusión de conjunto son una sola; 00.0-6.13 y 6.14, dónde está la prueba y las fuentes de la sección; Pr 20:10 en la Reina-Valera Antigua (5.2)]</w:t>
      </w:r>
    </w:p>
    <w:p>
      <w:pPr>
        <w:pStyle w:val="Heading2"/>
      </w:pPr>
      <w:r>
        <w:t>11.5 Las preguntas para el juicio y el relevo</w:t>
      </w:r>
    </w:p>
    <w:p>
      <w:pPr>
        <w:pBdr>
          <w:left w:val="single" w:sz="24" w:space="6" w:color="E2DED6"/>
        </w:pBdr>
        <w:shd w:val="clear" w:color="auto" w:fill="F1EEE8"/>
        <w:spacing w:before="80" w:after="160"/>
        <w:ind w:left="142" w:right="142"/>
      </w:pPr>
      <w:r>
        <w:rPr>
          <w:b/>
        </w:rPr>
        <w:t>La idea: las preguntas para el juicio van a las instituciones, y cualquiera puede enviarlas ya; las preguntas para el relevo, a quien quiera seguir investigando. El relevo es la invitación a continuar la obra con el mismo método.</w:t>
      </w:r>
    </w:p>
    <w:p>
      <w:r>
        <w:rPr>
          <w:b/>
        </w:rPr>
        <w:t>Dos clases de preguntas.</w:t>
      </w:r>
      <w:r>
        <w:t xml:space="preserve"> Las preguntas para el juicio van dirigidas a las instituciones, que serán invitadas a responderlas; cualquiera puede enviarlas ya por escrito. Las preguntas para el relevo son las que aún necesitan investigación, para quien quiera continuar la obra. </w:t>
      </w:r>
      <w:r>
        <w:t>[00.0-10.14; glosario 8.12]</w:t>
      </w:r>
    </w:p>
    <w:p>
      <w:pPr>
        <w:pStyle w:val="Heading3"/>
      </w:pPr>
      <w:r>
        <w:t>Las preguntas para el juicio</w:t>
      </w:r>
    </w:p>
    <w:p>
      <w:r>
        <w:t>Cada cargo tiene su pregunta (</w:t>
      </w:r>
      <w:r>
        <w:t>11.3</w:t>
      </w:r>
      <w:r>
        <w:t>), y el dictamen la suya (</w:t>
      </w:r>
      <w:r>
        <w:t>11.4</w:t>
      </w:r>
      <w:r>
        <w:t>). Aquí van ordenadas por destinatario las del catálogo de la obra: las que ya están en un cargo solo se nombran, con su número; las demás se escriben enteras. Cada institución será invitada a responderlas, y su respuesta, o su silencio, quedará registrada. Mientras tanto, cualquier ciudadano puede enviarlas por escrito con los modelos del botiquín (</w:t>
      </w:r>
      <w:r>
        <w:t>10.5</w:t>
      </w:r>
      <w:r>
        <w:t>) y guardar la respuesta o el silencio; cuando exista el Registro de los frutos, quedará constancia en él (</w:t>
      </w:r>
      <w:r>
        <w:t>10.8</w:t>
      </w:r>
      <w:r>
        <w:t xml:space="preserve">). </w:t>
      </w:r>
      <w:r>
        <w:t>[00.1-10.1]</w:t>
      </w:r>
    </w:p>
    <w:p>
      <w:pPr>
        <w:pStyle w:val="ListBullet"/>
      </w:pPr>
      <w:r>
        <w:rPr>
          <w:b/>
        </w:rPr>
        <w:t>Ministerio de Inclusión, Seguridad Social y Migraciones:</w:t>
      </w:r>
      <w:r>
        <w:t xml:space="preserve"> ¿qué parte de lo que he cotizado está a mi nombre, y qué norma garantiza la cuantía de mi pensión futura? Y la del Fondo de Reserva (</w:t>
      </w:r>
      <w:r>
        <w:t>cargo 15</w:t>
      </w:r>
      <w:r>
        <w:t>).</w:t>
      </w:r>
    </w:p>
    <w:p>
      <w:pPr>
        <w:pStyle w:val="ListBullet"/>
      </w:pPr>
      <w:r>
        <w:rPr>
          <w:b/>
        </w:rPr>
        <w:t>Intervención General de la Administración del Estado:</w:t>
      </w:r>
      <w:r>
        <w:t xml:space="preserve"> ¿cuánto cotizaron en 2025 las administraciones públicas por su propio personal? Y la de la partida de vejez (</w:t>
      </w:r>
      <w:r>
        <w:t>cargo 23</w:t>
      </w:r>
      <w:r>
        <w:t>).</w:t>
      </w:r>
    </w:p>
    <w:p>
      <w:pPr>
        <w:pStyle w:val="ListBullet"/>
      </w:pPr>
      <w:r>
        <w:rPr>
          <w:b/>
        </w:rPr>
        <w:t>Ministerio de Hacienda:</w:t>
      </w:r>
      <w:r>
        <w:t xml:space="preserve"> ¿qué porcentaje del coste laboral de un asalariado medio va, sumadas todas las capas, a impuestos y cotizaciones? ¿Cuánto ha recaudado de más el IRPF estatal desde 2015 por no actualizar la escala y el mínimo con la inflación? (</w:t>
      </w:r>
      <w:r>
        <w:t>5.1</w:t>
      </w:r>
      <w:r>
        <w:t>, n.º 5). ¿Qué partidas de gasto social quedaron por debajo de lo presupuestado en los años en que se pagaron íntegros los intereses de la deuda? Y la del concurso (</w:t>
      </w:r>
      <w:r>
        <w:t>cargo 5</w:t>
      </w:r>
      <w:r>
        <w:t>).</w:t>
      </w:r>
    </w:p>
    <w:p>
      <w:pPr>
        <w:pStyle w:val="ListBullet"/>
      </w:pPr>
      <w:r>
        <w:rPr>
          <w:b/>
        </w:rPr>
        <w:t>Ministerio de Hacienda y Banco de España:</w:t>
      </w:r>
      <w:r>
        <w:t xml:space="preserve"> la de la inflación y la deuda (</w:t>
      </w:r>
      <w:r>
        <w:t>cargo 14</w:t>
      </w:r>
      <w:r>
        <w:t>).</w:t>
      </w:r>
    </w:p>
    <w:p>
      <w:pPr>
        <w:pStyle w:val="ListBullet"/>
      </w:pPr>
      <w:r>
        <w:rPr>
          <w:b/>
        </w:rPr>
        <w:t>Ministerio de Hacienda y Federación Española de Municipios y Provincias:</w:t>
      </w:r>
      <w:r>
        <w:t xml:space="preserve"> ¿cuánto se recaudó con la plusvalía anulada que no se ha devuelto? (</w:t>
      </w:r>
      <w:r>
        <w:t>5.1</w:t>
      </w:r>
      <w:r>
        <w:t>, n.º 9).</w:t>
      </w:r>
    </w:p>
    <w:p>
      <w:pPr>
        <w:pStyle w:val="ListBullet"/>
      </w:pPr>
      <w:r>
        <w:rPr>
          <w:b/>
        </w:rPr>
        <w:t>Banco de España:</w:t>
      </w:r>
      <w:r>
        <w:t xml:space="preserve"> ¿cuánto poder adquisitivo han perdido desde 2005 los ahorros depositados a la vista? Y las del dinero (cargos 17 y 18).</w:t>
      </w:r>
    </w:p>
    <w:p>
      <w:pPr>
        <w:pStyle w:val="ListBullet"/>
      </w:pPr>
      <w:r>
        <w:rPr>
          <w:b/>
        </w:rPr>
        <w:t>Ministerio de la Presidencia:</w:t>
      </w:r>
      <w:r>
        <w:t xml:space="preserve"> ¿cuántos decretos-leyes de esta legislatura se convalidaron sin tramitarse como ley? Y las del consentimiento y la urgencia (cargos 11 y 12).</w:t>
      </w:r>
    </w:p>
    <w:p>
      <w:pPr>
        <w:pStyle w:val="ListBullet"/>
      </w:pPr>
      <w:r>
        <w:rPr>
          <w:b/>
        </w:rPr>
        <w:t>Agencia Tributaria:</w:t>
      </w:r>
      <w:r>
        <w:t xml:space="preserve"> ¿cuánto pagó Hacienda en 2025 por devolver tarde? Y la del recargo (</w:t>
      </w:r>
      <w:r>
        <w:t>cargo 13</w:t>
      </w:r>
      <w:r>
        <w:t>).</w:t>
      </w:r>
    </w:p>
    <w:p>
      <w:pPr>
        <w:pStyle w:val="ListBullet"/>
      </w:pPr>
      <w:r>
        <w:rPr>
          <w:b/>
        </w:rPr>
        <w:t>Ministerio de Vivienda:</w:t>
      </w:r>
      <w:r>
        <w:t xml:space="preserve"> ¿qué ley permite hoy a un ciudadano reclamar ante un juez su derecho a una vivienda digna?</w:t>
      </w:r>
    </w:p>
    <w:p>
      <w:pPr>
        <w:pStyle w:val="ListBullet"/>
      </w:pPr>
      <w:r>
        <w:rPr>
          <w:b/>
        </w:rPr>
        <w:t>Congreso de los Diputados:</w:t>
      </w:r>
      <w:r>
        <w:t xml:space="preserve"> la de la representación (</w:t>
      </w:r>
      <w:r>
        <w:t>cargo 6</w:t>
      </w:r>
      <w:r>
        <w:t>).</w:t>
      </w:r>
    </w:p>
    <w:p>
      <w:pPr>
        <w:pStyle w:val="ListBullet"/>
      </w:pPr>
      <w:r>
        <w:rPr>
          <w:b/>
        </w:rPr>
        <w:t>Junta Electoral Central:</w:t>
      </w:r>
      <w:r>
        <w:t xml:space="preserve"> ¿qué norma obliga a los partidos a que sus afiliados o sus votantes elijan a los candidatos de las listas?</w:t>
      </w:r>
    </w:p>
    <w:p>
      <w:pPr>
        <w:pStyle w:val="ListBullet"/>
      </w:pPr>
      <w:r>
        <w:rPr>
          <w:b/>
        </w:rPr>
        <w:t>Tribunal Constitucional:</w:t>
      </w:r>
      <w:r>
        <w:t xml:space="preserve"> ¿por qué motivos se inadmitieron los recursos de amparo de 2025, y cuántos sin motivar?</w:t>
      </w:r>
    </w:p>
    <w:p>
      <w:pPr>
        <w:pStyle w:val="ListBullet"/>
      </w:pPr>
      <w:r>
        <w:rPr>
          <w:b/>
        </w:rPr>
        <w:t>Defensor del Pueblo:</w:t>
      </w:r>
      <w:r>
        <w:t xml:space="preserve"> la del bien común (</w:t>
      </w:r>
      <w:r>
        <w:t>cargo 10</w:t>
      </w:r>
      <w:r>
        <w:t>).</w:t>
      </w:r>
    </w:p>
    <w:p>
      <w:pPr>
        <w:pStyle w:val="ListBullet"/>
      </w:pPr>
      <w:r>
        <w:rPr>
          <w:b/>
        </w:rPr>
        <w:t>Consejo de Transparencia y Buen Gobierno:</w:t>
      </w:r>
      <w:r>
        <w:t xml:space="preserve"> la de lo que cobran los cargos públicos (</w:t>
      </w:r>
      <w:r>
        <w:t>cargo 22</w:t>
      </w:r>
      <w:r>
        <w:t>).</w:t>
      </w:r>
    </w:p>
    <w:p>
      <w:pPr>
        <w:pStyle w:val="ListBullet"/>
      </w:pPr>
      <w:r>
        <w:rPr>
          <w:b/>
        </w:rPr>
        <w:t>Real Academia Española:</w:t>
      </w:r>
      <w:r>
        <w:t xml:space="preserve"> ¿en qué edición entró el sentido económico de «inflación», con qué definición, por qué se suprimieron después «notable» y «con efectos desfavorables», y qué parte del presupuesto de la Academia procede de fondos públicos? (</w:t>
      </w:r>
      <w:r>
        <w:t>5.1</w:t>
      </w:r>
      <w:r>
        <w:t>).</w:t>
      </w:r>
    </w:p>
    <w:p>
      <w:pPr>
        <w:pStyle w:val="ListBullet"/>
      </w:pPr>
      <w:r>
        <w:rPr>
          <w:b/>
        </w:rPr>
        <w:t>INE y Ministerio de Hacienda:</w:t>
      </w:r>
      <w:r>
        <w:t xml:space="preserve"> ¿por qué los compromisos de pensiones no se publican junto a la cifra de deuda pública, y cuándo se actualizará la tabla de 2021? (</w:t>
      </w:r>
      <w:r>
        <w:t>5.1</w:t>
      </w:r>
      <w:r>
        <w:t>, n.º 24).</w:t>
      </w:r>
    </w:p>
    <w:p>
      <w:r>
        <w:t>[00.1-11.1 a 26.1, con su destinatario; las que repiten la pregunta de un cargo, solo nombradas: 00.1-11.2, 12.2, 13.3, 14.1, 16.1, 16.2, 17.1, 18.1, 20.1, 23.1 y 24.1, y la primera mitad de 17.2]</w:t>
      </w:r>
    </w:p>
    <w:p>
      <w:pPr>
        <w:pStyle w:val="Heading3"/>
      </w:pPr>
      <w:r>
        <w:t>Las preguntas para el relevo</w:t>
      </w:r>
    </w:p>
    <w:p>
      <w:r>
        <w:t>Lo que la obra no ha podido comprobar queda escrito, con su dificultad, para quien quiera seguir:</w:t>
      </w:r>
    </w:p>
    <w:p>
      <w:pPr>
        <w:pStyle w:val="ListBullet"/>
      </w:pPr>
      <w:r>
        <w:t>las ediciones del diccionario de la Academia entre 1925 y 1992, que no se han podido consultar: en cuál entró el sentido económico de «inflación» (</w:t>
      </w:r>
      <w:r>
        <w:t>5.1</w:t>
      </w:r>
      <w:r>
        <w:t>); y cualquier otra palabra cuyo significado oficial se haya movido de la causa al efecto. Basta comparar las ediciones originales, con su fecha, y dejar constancia;</w:t>
      </w:r>
    </w:p>
    <w:p>
      <w:pPr>
        <w:pStyle w:val="ListBullet"/>
      </w:pPr>
      <w:r>
        <w:t>la causa de los mínimos de la vivienda y de la fecundidad, que sigue abierta (</w:t>
      </w:r>
      <w:r>
        <w:t>8.8</w:t>
      </w:r>
      <w:r>
        <w:t>);</w:t>
      </w:r>
    </w:p>
    <w:p>
      <w:pPr>
        <w:pStyle w:val="ListBullet"/>
      </w:pPr>
      <w:r>
        <w:t>los casos en que el pueblo dejó de obedecer y el poder no cayó, y qué vino después en cada país, que la obra no ha estudiado (</w:t>
      </w:r>
      <w:r>
        <w:t>capítulo 9</w:t>
      </w:r>
      <w:r>
        <w:t>, límite honesto);</w:t>
      </w:r>
    </w:p>
    <w:p>
      <w:pPr>
        <w:pStyle w:val="ListBullet"/>
      </w:pPr>
      <w:r>
        <w:t>y lo que cada capítulo dice que no entra: es lo que no se pudo leer en su fuente, y es también trabajo para el relevo.</w:t>
      </w:r>
    </w:p>
    <w:p>
      <w:r>
        <w:t>[00.1-29.1; capítulos 5, 8 y 9]</w:t>
      </w:r>
    </w:p>
    <w:p>
      <w:pPr>
        <w:pStyle w:val="Heading3"/>
      </w:pPr>
      <w:r>
        <w:t>El relevo</w:t>
      </w:r>
    </w:p>
    <w:p>
      <w:r>
        <w:rPr>
          <w:b/>
        </w:rPr>
        <w:t>Lectura del autor:</w:t>
      </w:r>
      <w:r>
        <w:t xml:space="preserve"> «este trabajo es muy grande para una persona sola. Las preguntas de este catálogo quedan como invitación: cualquiera puede hacerlas por escrito, guardar la respuesta o el silencio, y seguir investigando por su cuenta. Si alguien quiere coger el relevo, que amplíe la obra con más datos, con el mismo método: cada afirmación con su fuente, y la corrección en paz de cualquier error». La pregunta que el autor deja para el relevo es esta: «¿qué intenta aparentar el Estado y qué es en realidad, y hasta dónde llegan sus tentáculos y la contaminación del sistema actual que afecta al ciudadano común?». E invita especialmente a las nuevas generaciones a investigar cómo el sistema tuerce lo natural y cambia el significado de las palabras para protegerse.</w:t>
      </w:r>
    </w:p>
    <w:p>
      <w:r>
        <w:t xml:space="preserve">Las reglas con que se hizo la obra, para repetirla en otro país, están en el </w:t>
      </w:r>
      <w:r>
        <w:t>anexo G</w:t>
      </w:r>
      <w:r>
        <w:t xml:space="preserve"> (</w:t>
      </w:r>
      <w:r>
        <w:t>0.2</w:t>
      </w:r>
      <w:r>
        <w:t>).</w:t>
      </w:r>
    </w:p>
    <w:p>
      <w:r>
        <w:t>[00.0-10.16; 00.1-29.1, palabras del autor]</w:t>
      </w:r>
    </w:p>
    <w:p>
      <w:pPr>
        <w:pStyle w:val="Heading2"/>
      </w:pPr>
      <w:r>
        <w:t>11.6 El llamamiento</w:t>
      </w:r>
    </w:p>
    <w:p>
      <w:pPr>
        <w:pBdr>
          <w:left w:val="single" w:sz="24" w:space="6" w:color="E2DED6"/>
        </w:pBdr>
        <w:shd w:val="clear" w:color="auto" w:fill="F1EEE8"/>
        <w:spacing w:before="80" w:after="160"/>
        <w:ind w:left="142" w:right="142"/>
      </w:pPr>
      <w:r>
        <w:rPr>
          <w:b/>
        </w:rPr>
        <w:t xml:space="preserve">La idea: el juicio no termina con una condena, sino con un llamamiento: a quien sabe hacer lo bueno, que actúe; a quien se reconoce en un patrón de mentira, que rectifique; a los mensajeros de la verdad, que disciernan con pruebas; y a quien lee, la pregunta que deja el experimento de las improntas, con la brújula de </w:t>
      </w:r>
      <w:r>
        <w:rPr>
          <w:b/>
        </w:rPr>
        <w:t>10.9</w:t>
      </w:r>
      <w:r>
        <w:rPr>
          <w:b/>
        </w:rPr>
        <w:t>. Lo que clama al cielo se dice aquí, una sola vez.</w:t>
      </w:r>
    </w:p>
    <w:p>
      <w:r>
        <w:t xml:space="preserve">Todo este apartado es la voz del autor, y se lee como lectura del autor: no añade hechos. Los que nombra ya están probados en su capítulo, y se remite a él. Es la consecuencia práctica de todo lo anterior: pedir que quien ya lo sabe, actúe. </w:t>
      </w:r>
      <w:r>
        <w:t>[00.00-12.4]</w:t>
      </w:r>
    </w:p>
    <w:p>
      <w:r>
        <w:rPr>
          <w:b/>
        </w:rPr>
        <w:t>A quienes saben hacer lo bueno.</w:t>
      </w:r>
      <w:r>
        <w:t xml:space="preserve"> A quienes se consideren aprendices de los justos: aquí es donde los justos resucitan, porque el rumbo ya queda marcado en estas páginas. Y a quienes ya han aprendido lo que significa obrar con justicia, porque «El pecado, pues, está en aquel que sabe hacer lo bueno, y no lo hace» (Stg 4:17; </w:t>
      </w:r>
      <w:r>
        <w:t>10.1</w:t>
      </w:r>
      <w:r>
        <w:t>): no os quedéis quietos. No os pedimos que acuséis, sino que comprobéis; que aportéis vuestros actos y vuestros testimonios, que os avaléis unos a otros con documentos y que participéis en el camino de la constancia escrita, la petición documentada y este juicio (</w:t>
      </w:r>
      <w:r>
        <w:t>capítulo 10</w:t>
      </w:r>
      <w:r>
        <w:t>). Se os conocerá por vuestros frutos (Mt 7:16). Nadie se declara justo a sí mismo, y quien se sabe aprendiz también es bienvenido (</w:t>
      </w:r>
      <w:r>
        <w:t>2.5</w:t>
      </w:r>
      <w:r>
        <w:t>).</w:t>
      </w:r>
    </w:p>
    <w:p>
      <w:r>
        <w:t>[00.00-1.1, el llamamiento breve que el capítulo 2 remite aquí, y 00.00-12.1, sin «hermanas y hermanos que ya han madurado»: nadie se declara maduro a sí mismo (glosario 9.2; 2.5); Stg 4:17 en la Reina-Valera Antigua (10.1)]</w:t>
      </w:r>
    </w:p>
    <w:p>
      <w:r>
        <w:rPr>
          <w:b/>
        </w:rPr>
        <w:t>Nadie nace hijo del mal.</w:t>
      </w:r>
      <w:r>
        <w:t xml:space="preserve"> Ningún ser humano nace hijo del mal por naturaleza: son los hechos, no el origen, lo que puede acercar a él, por imitación y no por nacimiento, como enseñó Agustín (</w:t>
      </w:r>
      <w:r>
        <w:t>11.2</w:t>
      </w:r>
      <w:r>
        <w:t>, n.º 16). De dónde viene la inclinación de cada persona, las tradiciones lo explican de formas distintas, y la obra no lo puede comprobar como hecho (</w:t>
      </w:r>
      <w:r>
        <w:t>2.5</w:t>
      </w:r>
      <w:r>
        <w:t>). Lo que tienen en común es que se corrige la práctica, no el origen.</w:t>
      </w:r>
    </w:p>
    <w:p>
      <w:r>
        <w:t>[00.00-12.2]</w:t>
      </w:r>
    </w:p>
    <w:p>
      <w:r>
        <w:rPr>
          <w:b/>
        </w:rPr>
        <w:t>Con tu misma vida, serías tú.</w:t>
      </w:r>
      <w:r>
        <w:t xml:space="preserve"> El autor lo deja como experimento mental, no como hecho (</w:t>
      </w:r>
      <w:r>
        <w:t>4.4</w:t>
      </w:r>
      <w:r>
        <w:t>): si uno hubiera nacido en otro país y en otra religión, de otros padres, con las improntas y las experiencias irrepetibles de otra persona, sería esa persona; para ser distinto tendrían que haberse dado las mismas situaciones y haberse resuelto cada una de la misma manera. Por eso este juicio no juzga personas (</w:t>
      </w:r>
      <w:r>
        <w:t>11.1</w:t>
      </w:r>
      <w:r>
        <w:t>): cada configuración interior es fruto de circunstancias que no se repiten. Y por eso la pregunta que deja el experimento no es «quién tiene la culpa», sino la que el autor hace a quien lee y se hace a sí mismo: qué hacemos con nuestras vidas, perdiendo el tiempo y enfrentándonos unos a otros. Mira cómo vivimos: ¿en serio queremos seguir en esa situación? ¿En serio este es el rumbo y el propósito que le queremos dar a nuestra vida? Si las mismas circunstancias dan el mismo ser, ¿dónde queda la libertad? En esto: saberlo ya es una circunstancia nueva, y por repetición se cambia el hábito (</w:t>
      </w:r>
      <w:r>
        <w:t>4.4</w:t>
      </w:r>
      <w:r>
        <w:t>). La brújula del capítulo anterior sirve para elegir hacia dónde (</w:t>
      </w:r>
      <w:r>
        <w:t>10.9</w:t>
      </w:r>
      <w:r>
        <w:t>). Y a quien se hizo el muerto para sobrevivir al miedo (</w:t>
      </w:r>
      <w:r>
        <w:t>10.9</w:t>
      </w:r>
      <w:r>
        <w:t>), este llamamiento le dice lo mismo que a todos: llegará el día en que los justos resuciten. No es solo voz del autor: el Evangelio lo promete a quien da sin que puedan devolvérselo, «mas te será recompensado en la resurrección de los justos»</w:t>
      </w:r>
      <w:r>
        <w:t xml:space="preserve"> (Lc 14:14)</w:t>
      </w:r>
      <w:r>
        <w:br/>
      </w:r>
      <w:r>
        <w:rPr>
          <w:b/>
        </w:rPr>
        <w:t>leída en su fuente · Lc 14:14</w:t>
      </w:r>
      <w:r>
        <w:br/>
      </w:r>
      <w:r>
        <w:rPr>
          <w:b/>
        </w:rPr>
        <w:t>Archivo leído:</w:t>
      </w:r>
      <w:r>
        <w:t xml:space="preserve"> lc_14_14_rva.html (c9h\lc_14_14_rva.html) · contraste del archivo de pasajes: ✔</w:t>
      </w:r>
      <w:r>
        <w:br/>
      </w:r>
      <w:r>
        <w:rPr>
          <w:b/>
        </w:rPr>
        <w:t>Lugar:</w:t>
      </w:r>
      <w:r>
        <w:t xml:space="preserve"> v. 14</w:t>
      </w:r>
      <w:r>
        <w:br/>
      </w:r>
      <w:r>
        <w:rPr>
          <w:b/>
        </w:rPr>
        <w:t>Dirección:</w:t>
      </w:r>
      <w:r>
        <w:t xml:space="preserve"> </w:t>
      </w:r>
      <w:r>
        <w:t>https://www.biblegateway.com/passage/?search=Luke+14%3A14&amp;version=RVA</w:t>
      </w:r>
      <w:r>
        <w:br/>
      </w:r>
      <w:r>
        <w:rPr>
          <w:b/>
        </w:rPr>
        <w:t>Tal como está en la fuente:</w:t>
      </w:r>
      <w:r>
        <w:t xml:space="preserve"> Y serás bienaventurado; porque no te pueden retribuir; mas te será recompensado en la resurrección de los justos.</w:t>
      </w:r>
      <w:r>
        <w:t xml:space="preserve"> (</w:t>
      </w:r>
      <w:r>
        <w:t>anexo I</w:t>
      </w:r>
      <w:r>
        <w:t xml:space="preserve">). Y «despiértate, tú que duermes» se dice unas líneas más abajo. Lo que arrojan los datos de la salud y de la familia se mide en </w:t>
      </w:r>
      <w:r>
        <w:t>8.10</w:t>
      </w:r>
      <w:r>
        <w:t>.</w:t>
      </w:r>
    </w:p>
    <w:p>
      <w:r>
        <w:t>[04c, «Las improntas y la misma justicia para todos» (Kiko, 8-oct), y 04n, Q17 (Kiko, 9-oct: «Sí a todas»); el párrafo que lo sostiene, en 4.4 (B7); lectura del autor, sin afirmar causas que no están leídas en ninguna fuente; la segunda pregunta, con las palabras de Kiko del 9-oct (04p, fila 41, «Sí a las tres», chat de 07): sin cifras de suicidios, divorcios ni antidepresivos hasta que el agente de indicadores sociales las confirme; «la sociedad es una catástrofe» y «todo esto es un chiste y un juego» quedan como opinión del autor, no como hecho, y «la vida es un juego» entra en 4.3 con el B7]</w:t>
      </w:r>
    </w:p>
    <w:p>
      <w:r>
        <w:rPr>
          <w:b/>
        </w:rPr>
        <w:t>A quien se reconoce en el patrón.</w:t>
      </w:r>
      <w:r>
        <w:t xml:space="preserve"> Quien reconozca en sí mismo un patrón de mentira que se sostiene con excusas cada vez más complicadas, o de poder que se cierra a toda corrección, no está condenado por ello: se le llama, desde el afecto y no desde la sentencia, a corregirlo. Puede hacerlo por su propia iniciativa, o después de que los hechos queden documentados, con su fecha y su fuente: las dos vías cuentan como un punto de inflexión. Y quien no lo haga sigue teniendo delante la misma puerta abierta.</w:t>
      </w:r>
    </w:p>
    <w:p>
      <w:r>
        <w:t xml:space="preserve">El poder y la palabra se comportan igual cuando se cierran sobre sí mismos: quien se cree dueño de la verdad no puede admitir el error, y por eso necesita una excusa nueva cada vez que la realidad lo contradice. Quien sirve no tiene nada que defender salvo el hecho mismo, y puede aceptar la corrección sin que se le derrumbe nada: «el Hijo del hombre no vino para ser servido, sino para servir» (Mt 20:28; </w:t>
      </w:r>
      <w:r>
        <w:t>3.6</w:t>
      </w:r>
      <w:r>
        <w:t>).</w:t>
      </w:r>
    </w:p>
    <w:p>
      <w:r>
        <w:t>[00.00-12.3 y 13.1; la cita, con Mt 20:28, ya leído en la Reina-Valera Antigua (3.6); Mc 10:45, que daba la pieza, está también en la Reina-Valera Antigua y dice lo mismo con otras palabras (leído el 12-oct-2026)]</w:t>
      </w:r>
    </w:p>
    <w:p>
      <w:r>
        <w:rPr>
          <w:b/>
        </w:rPr>
        <w:t>La verdad libera, pero duele.</w:t>
      </w:r>
      <w:r>
        <w:t xml:space="preserve"> Platón lo advirtió en la caverna: el prisionero liberado y obligado a mirar hacia la luz «sufrirá dolores agudos; el resplandor lo afligirá, y no podrá ver las realidades de las que antes veía las sombras»</w:t>
      </w:r>
      <w:r>
        <w:t xml:space="preserve"> [original: «he will suffer sharp pains; the glare will distress him, and he will be unable to see the realities of which in his former state he had seen the shadows»]</w:t>
      </w:r>
      <w:r>
        <w:t xml:space="preserve"> (Platón, República VII, 515c, traducción inglesa de Jowett)</w:t>
      </w:r>
      <w:r>
        <w:br/>
      </w:r>
      <w:r>
        <w:rPr>
          <w:b/>
        </w:rPr>
        <w:t>leída en su fuente · Platón, República VII, 515c, traducción inglesa de Jowett</w:t>
      </w:r>
      <w:r>
        <w:br/>
      </w:r>
      <w:r>
        <w:rPr>
          <w:b/>
        </w:rPr>
        <w:t>Archivo leído:</w:t>
      </w:r>
      <w:r>
        <w:t xml:space="preserve"> Jowett: platon_republica_jowett_gutenberg_1497.txt (líneas 18822-18826); griego: platon_republica_7_515c_perseus_gr.html (c9h\platon_republica_jowett_gutenberg_1497.txt) · contraste del archivo de pasajes: ✔</w:t>
      </w:r>
      <w:r>
        <w:br/>
      </w:r>
      <w:r>
        <w:rPr>
          <w:b/>
        </w:rPr>
        <w:t>Lugar:</w:t>
      </w:r>
      <w:r>
        <w:t xml:space="preserve"> Jowett</w:t>
      </w:r>
      <w:r>
        <w:br/>
      </w:r>
      <w:r>
        <w:rPr>
          <w:b/>
        </w:rPr>
        <w:t>Dirección:</w:t>
      </w:r>
      <w:r>
        <w:t xml:space="preserve"> </w:t>
      </w:r>
      <w:r>
        <w:t>https://www.gutenberg.org/cache/epub/1497/pg1497.txt</w:t>
      </w:r>
      <w:r>
        <w:t xml:space="preserve"> ; </w:t>
      </w:r>
      <w:r>
        <w:t>https://www.perseus.tufts.edu/hopper/text?doc=Perseus%3Atext%3A1999.01.0167%3Abook%3D7%3Asection%3D515c</w:t>
      </w:r>
      <w:r>
        <w:br/>
      </w:r>
      <w:r>
        <w:rPr>
          <w:b/>
        </w:rPr>
        <w:t>Tal como está en la fuente:</w:t>
      </w:r>
      <w:r>
        <w:t xml:space="preserve"> At first, when any of them is liberated and compelled suddenly to stand up and turn his neck round and walk and look towards the light, he will suffer sharp pains; the glare will distress him, and he will be unable to see the realities of which in his former state he had seen the shadows</w:t>
      </w:r>
      <w:r>
        <w:br/>
      </w:r>
      <w:r>
        <w:rPr>
          <w:b/>
        </w:rPr>
        <w:t>Traducción guardada:</w:t>
      </w:r>
      <w:r>
        <w:t xml:space="preserve"> Al principio, cuando alguno de ellos es liberado y obligado de repente a ponerse en pie, volver el cuello, andar y mirar hacia la luz, sufrirá dolores agudos; el resplandor lo afligirá y no podrá ver las realidades cuyas sombras veía antes</w:t>
      </w:r>
      <w:r>
        <w:t>. Lo que esta obra expone puede doler. No es un ataque: es la luz.</w:t>
      </w:r>
    </w:p>
    <w:p>
      <w:r>
        <w:t>[00.00-6.5; Jowett leído hoy en local (c9h, entrada 64)]</w:t>
      </w:r>
    </w:p>
    <w:p>
      <w:r>
        <w:rPr>
          <w:b/>
        </w:rPr>
        <w:t>Que los justos despierten.</w:t>
      </w:r>
      <w:r>
        <w:t xml:space="preserve"> Si cada ser humano lleva dentro la misma lucha entre el bien y el mal que describen tantas tradiciones sin contacto documentado entre sí (</w:t>
      </w:r>
      <w:r>
        <w:t>2.5</w:t>
      </w:r>
      <w:r>
        <w:t xml:space="preserve">; </w:t>
      </w:r>
      <w:r>
        <w:t>capítulo 4</w:t>
      </w:r>
      <w:r>
        <w:t>), lo que hoy tenemos como Estados no es más ni menos que un reflejo de ese desorden, permitido por omisión. De ahí la llamada a que los justos despierten: «Despiértate, tú que duermes, y levántate de los muertos, y te alumbrará Cristo»</w:t>
      </w:r>
      <w:r>
        <w:t xml:space="preserve"> (Ef 5:14)</w:t>
      </w:r>
      <w:r>
        <w:br/>
      </w:r>
      <w:r>
        <w:rPr>
          <w:b/>
        </w:rPr>
        <w:t>leída en su fuente · Ef 5:14</w:t>
      </w:r>
      <w:r>
        <w:br/>
      </w:r>
      <w:r>
        <w:rPr>
          <w:b/>
        </w:rPr>
        <w:t>Archivo leído:</w:t>
      </w:r>
      <w:r>
        <w:t xml:space="preserve"> ef_5_14_rva.html; rvr1960_ef_5_14.html (c9g\ef_5_14_rva.html; c9g\rvr1960_ef_5_14.html) · contraste del archivo de pasajes: ✔</w:t>
      </w:r>
      <w:r>
        <w:br/>
      </w:r>
      <w:r>
        <w:rPr>
          <w:b/>
        </w:rPr>
        <w:t>Lugar:</w:t>
      </w:r>
      <w:r>
        <w:t xml:space="preserve"> v. 14</w:t>
      </w:r>
      <w:r>
        <w:br/>
      </w:r>
      <w:r>
        <w:rPr>
          <w:b/>
        </w:rPr>
        <w:t>Dirección:</w:t>
      </w:r>
      <w:r>
        <w:t xml:space="preserve"> </w:t>
      </w:r>
      <w:r>
        <w:t>https://www.biblegateway.com/passage/?search=Ephesians+5%3A14&amp;version=RVA</w:t>
      </w:r>
      <w:r>
        <w:br/>
      </w:r>
      <w:r>
        <w:rPr>
          <w:b/>
        </w:rPr>
        <w:t>Tal como está en la fuente:</w:t>
      </w:r>
      <w:r>
        <w:t xml:space="preserve"> Por lo cual dice: Despiértate, tú que duermes, y levántate de los muertos, y te alumbrará Cristo.</w:t>
      </w:r>
      <w:r>
        <w:t>.</w:t>
      </w:r>
    </w:p>
    <w:p>
      <w:r>
        <w:t>[00.00-13.2 y 13.3, con Ef 5:14 en la Reina-Valera Antigua (07: sobraba «entre»; c9g, entrada 22)]</w:t>
      </w:r>
    </w:p>
    <w:p>
      <w:r>
        <w:rPr>
          <w:b/>
        </w:rPr>
        <w:t>Lectura del autor:</w:t>
      </w:r>
      <w:r>
        <w:t xml:space="preserve"> que nadie confunda el «Cristo» de esa cita con el autor, ni busque correlación alguna con él: el autor es solo un aprendiz, como todos (</w:t>
      </w:r>
      <w:r>
        <w:t>2.5</w:t>
      </w:r>
      <w:r>
        <w:t>). Cuando los textos dicen Cristo, el autor lee la energía crística: la que sigue al ser más elevado que ha pisado esta realidad, en otra línea temporal; una energía cristalina, del todo alineada en su virtud, en todos los aspectos de su obra y de su existencia. Es lectura del autor, no dato, y la obra no la mide.</w:t>
      </w:r>
    </w:p>
    <w:p>
      <w:r>
        <w:t>[Kiko, 9-oct, chat de 08, al aprobar el B5: «hay que hacer un matiz y pedir que no se confunda la expresión Cristo ni se intente hacer ningún tipo de correlación conmigo. Yo tan solo soy un aprendiz. Cuando se refieren a Cristo, concretamente están hablando de la energía crística, que es aquella que sigue al ser más elevado que ha pisado esta realidad en diferente línea temporal. Es un tipo de energía cristalina completamente alineada en su virtud, en todos los aspectos de su obra y existencia»; glosario 9.2: nadie se declara justo ni maduro a sí mismo]</w:t>
      </w:r>
    </w:p>
    <w:p>
      <w:r>
        <w:rPr>
          <w:b/>
        </w:rPr>
        <w:t>A los ángeles.</w:t>
      </w:r>
      <w:r>
        <w:t xml:space="preserve"> A los ángeles, a los mensajeros que llevan la verdad, sean quienes sean: la obra os invita a discernir con pruebas, caso a caso y sin venganza, y a dejar constancia escrita. Nadie se nombra segador a sí mismo: en la parábola, los ángeles son enviados (Mt 13:41), y la siega final no es nuestra (</w:t>
      </w:r>
      <w:r>
        <w:t>2.5</w:t>
      </w:r>
      <w:r>
        <w:t>).</w:t>
      </w:r>
    </w:p>
    <w:p>
      <w:r>
        <w:t>[glosario 9.2, redacción aprobada por Kiko el 5-oct; la invitación que el capítulo 2 remite aquí]</w:t>
      </w:r>
    </w:p>
    <w:p>
      <w:r>
        <w:rPr>
          <w:b/>
        </w:rPr>
        <w:t>Lectura del autor: quiénes son los ángeles de este llamamiento.</w:t>
      </w:r>
      <w:r>
        <w:t xml:space="preserve"> Son gente que va a colaborar por el beneficio de la humanidad, más allá de sí misma, porque es una misión que está por encima de todos y de cada uno de nosotros, y en la que cada uno puede colaborar. Se admiten aprendices (</w:t>
      </w:r>
      <w:r>
        <w:t>2.5</w:t>
      </w:r>
      <w:r>
        <w:t xml:space="preserve">): nadie llega a la altura de Jesucristo, y no se trata de esperar a que vuelva y encuentre la casa sin barrer, con el trabajo dejado para otro. Y, por si acaso, el llamamiento se hace también a las potestades celestiales, para que nos sirvan de aliento y de guía: la siega la hacen los ángeles enviados (Mt 13:39-41), no nosotros. A nosotros nos toca separar el grano de la paja, discernir caso a caso y con pruebas (9; </w:t>
      </w:r>
      <w:r>
        <w:t>10.3</w:t>
      </w:r>
      <w:r>
        <w:t>), sabiendo que la vara se aplica a los dos lados, también a quien audita (</w:t>
      </w:r>
      <w:r>
        <w:t>2.5</w:t>
      </w:r>
      <w:r>
        <w:t>).</w:t>
      </w:r>
    </w:p>
    <w:p>
      <w:r>
        <w:rPr>
          <w:b/>
        </w:rPr>
        <w:t>Lectura del autor: podar el árbol en todos los campos.</w:t>
      </w:r>
      <w:r>
        <w:t xml:space="preserve"> Volver al árbol del conocimiento original para estar junto al árbol de la vida (</w:t>
      </w:r>
      <w:r>
        <w:t>4.2</w:t>
      </w:r>
      <w:r>
        <w:t xml:space="preserve">; </w:t>
      </w:r>
      <w:r>
        <w:t>J.1</w:t>
      </w:r>
      <w:r>
        <w:t>) significa podarlo, como se poda el árbol del Estado (</w:t>
      </w:r>
      <w:r>
        <w:t>10.2</w:t>
      </w:r>
      <w:r>
        <w:t>). Y podarlo quiere decir que este mismo método, comprobar cada afirmación en su fuente y juzgarla por sus frutos (</w:t>
      </w:r>
      <w:r>
        <w:t>anexo G</w:t>
      </w:r>
      <w:r>
        <w:t xml:space="preserve">; </w:t>
      </w:r>
      <w:r>
        <w:t>0.5</w:t>
      </w:r>
      <w:r>
        <w:t>), se tiene que aplicar en todos los campos: la medicina, la biología, la física, la química, todas las ciencias, y también los económicos, los administrativos y los judiciales. El conocimiento se alejó del jardín del Edén, corrompido por el susurro (</w:t>
      </w:r>
      <w:r>
        <w:t>4.2</w:t>
      </w:r>
      <w:r>
        <w:t>) y por el ego; la poda es para volver a lo recibido (</w:t>
      </w:r>
      <w:r>
        <w:t>J.1</w:t>
      </w:r>
      <w:r>
        <w:t xml:space="preserve">). Quien esté especializado en un campo tiene la obligación moral de hacerlo en el suyo, si quiere participar en que volvamos juntos al jardín, alineados con el ejemplo más alto que posee nuestro conocimiento escrito, la divinidad que popularmente llamamos Dios, y ganarse por rectificación y derecho propio estar al lado del árbol de la vida: aquello que fomenta la vida; si es vida eterna o no, se descubrirá. La poda es un deber moral para quien se sienta alineado y quiera dejar en esta gran casa de la tribu humana un bien más grande que servirse a uno mismo: el servicio a los demás (Mt 20:28; </w:t>
      </w:r>
      <w:r>
        <w:t>3.6</w:t>
      </w:r>
      <w:r>
        <w:t>), a nuestros otros yo, en otros cuerpos y en otras situaciones vividas (</w:t>
      </w:r>
      <w:r>
        <w:t>4.4</w:t>
      </w:r>
      <w:r>
        <w:t>). Y se buscan métodos mejores que este: aquí se cuestiona todo, hasta las palabras del autor. Toda la historia va a ser revisada y documentada. Esto es solo el principio del llamamiento.</w:t>
      </w:r>
    </w:p>
    <w:p>
      <w:r>
        <w:t>[Kiko, chats de 08.18 y 08.19, 12-oct-2026, filas 463 a 465 de la libreta de las ventanas y parlamento del hilo de la poda (08/20), apartados 10 a 12; borrador B14 v2; lectura del autor, sin dato nuevo; las citas, ya en la obra]</w:t>
      </w:r>
    </w:p>
    <w:p>
      <w:r>
        <w:rPr>
          <w:b/>
        </w:rPr>
        <w:t>Lo que clama al cielo.</w:t>
      </w:r>
      <w:r>
        <w:t xml:space="preserve"> La tradición llama así a lo que no puede callarse: «el clamor del pueblo oprimido», «el lamento del extranjero, de la viuda y el huérfano» y «la injusticia para con el asalariado» (Catecismo, n.º 1867; </w:t>
      </w:r>
      <w:r>
        <w:t>0.3</w:t>
      </w:r>
      <w:r>
        <w:t>). La obra ha probado, con su fuente, hechos que tocan los tres:</w:t>
      </w:r>
    </w:p>
    <w:p>
      <w:pPr>
        <w:pStyle w:val="ListBullet"/>
      </w:pPr>
      <w:r>
        <w:t>el pueblo que clama «á causa de sus exactores»</w:t>
      </w:r>
      <w:r>
        <w:t xml:space="preserve"> (Ex 3:7)</w:t>
      </w:r>
      <w:r>
        <w:t>: el cobro del Estado está blindado, es inmediato y con recargo, sin esperar al juez, mientras se incumple el 62,1 % de los artículos de la Constitución que afectan al ciudadano (</w:t>
      </w:r>
      <w:r>
        <w:t>7.4</w:t>
      </w:r>
      <w:r>
        <w:t xml:space="preserve">; </w:t>
      </w:r>
      <w:r>
        <w:t>7.6</w:t>
      </w:r>
      <w:r>
        <w:t xml:space="preserve">; </w:t>
      </w:r>
      <w:r>
        <w:t>cargo 13</w:t>
      </w:r>
      <w:r>
        <w:t>);</w:t>
      </w:r>
    </w:p>
    <w:p>
      <w:pPr>
        <w:pStyle w:val="ListBullet"/>
      </w:pPr>
      <w:r>
        <w:t>el huérfano: en 2025, el 33,8 % de los menores de 18 años estaba en riesgo de pobreza o exclusión social (</w:t>
      </w:r>
      <w:r>
        <w:t>7.5</w:t>
      </w:r>
      <w:r>
        <w:t>);</w:t>
      </w:r>
    </w:p>
    <w:p>
      <w:pPr>
        <w:pStyle w:val="ListBullet"/>
      </w:pPr>
      <w:r>
        <w:t>el asalariado: «el jornal de los obreros que han segado vuestras tierras, el cual por engaño no les ha sido pagado de vosotros, clama»</w:t>
      </w:r>
      <w:r>
        <w:t xml:space="preserve"> (Stg 5:4)</w:t>
      </w:r>
      <w:r>
        <w:br/>
      </w:r>
      <w:r>
        <w:rPr>
          <w:b/>
        </w:rPr>
        <w:t>leída en su fuente · Stg 5:4</w:t>
      </w:r>
      <w:r>
        <w:br/>
      </w:r>
      <w:r>
        <w:rPr>
          <w:b/>
        </w:rPr>
        <w:t>Archivo leído:</w:t>
      </w:r>
      <w:r>
        <w:t xml:space="preserve"> clamor.html (ant\canon\clamor.html) · contraste del archivo de pasajes: ✔</w:t>
      </w:r>
      <w:r>
        <w:br/>
      </w:r>
      <w:r>
        <w:rPr>
          <w:b/>
        </w:rPr>
        <w:t>Lugar:</w:t>
      </w:r>
      <w:r>
        <w:t xml:space="preserve"> Stg 5:4</w:t>
      </w:r>
      <w:r>
        <w:br/>
      </w:r>
      <w:r>
        <w:rPr>
          <w:b/>
        </w:rPr>
        <w:t>Tal como está en la fuente:</w:t>
      </w:r>
      <w:r>
        <w:t xml:space="preserve"> el jornal de los obreros que han segado vuestras tierras, el cual por engaño no les ha sido pagado de vosotros, clama</w:t>
      </w:r>
      <w:r>
        <w:t>. De cada jornada de ocho horas de un asalariado medio, 3 horas y 19 minutos se van en IRPF y cotizaciones (</w:t>
      </w:r>
      <w:r>
        <w:t>8.3</w:t>
      </w:r>
      <w:r>
        <w:t>), y el mínimo exento del IRPF sigue en 5.550 euros desde 2015, mientras los precios subían un 28,0 % (</w:t>
      </w:r>
      <w:r>
        <w:t>5.1</w:t>
      </w:r>
      <w:r>
        <w:t>, n.º 5).</w:t>
      </w:r>
    </w:p>
    <w:p>
      <w:r>
        <w:rPr>
          <w:b/>
        </w:rPr>
        <w:t>Lectura del autor: un cuarto clamor.</w:t>
      </w:r>
      <w:r>
        <w:t xml:space="preserve"> A los tres que nombra la tradición, el autor suma uno que la lista no nombra al pie de la letra: quien no puede valerse por sí mismo es hoy la viuda y el huérfano del texto. En 2025, 14.710 personas murieron con su derecho a la dependencia ya reconocido, sin haber recibido la prestación, y 17.994 sin que se les hubiera resuelto el grado (</w:t>
      </w:r>
      <w:r>
        <w:t>8.5</w:t>
      </w:r>
      <w:r>
        <w:t>). Y la lista no se vacía: a 31 de marzo de 2026 esperaban 271.556 personas (</w:t>
      </w:r>
      <w:r>
        <w:t>8.5</w:t>
      </w:r>
      <w:r>
        <w:t>), 13.389 más que tres meses antes</w:t>
      </w:r>
      <w:r>
        <w:t xml:space="preserve"> (nota de la Asociación de Directoras y Gerentes de Servicios Sociales, 10-4-2026, con datos del Ministerio)</w:t>
      </w:r>
      <w:r>
        <w:t>. La obra no dice que murieran por esperar: dice que murieron esperando lo que la ley les reconocía. Y dice también lo que no encaja: las muertes en la lista bajan, de 40.447 en 2023 a 32.704 en 2025 (</w:t>
      </w:r>
      <w:r>
        <w:t>8.5</w:t>
      </w:r>
      <w:r>
        <w:t>). Las cifras son de esa asociación y de su Observatorio Estatal de la Dependencia, con datos del Ministerio; no son una estadística oficial.</w:t>
      </w:r>
    </w:p>
    <w:p>
      <w:r>
        <w:rPr>
          <w:b/>
        </w:rPr>
        <w:t>Lectura del autor:</w:t>
      </w:r>
      <w:r>
        <w:t xml:space="preserve"> esto clama al cielo. Quizá no fue del todo culpa de quienes lo decidieron: «espíritus malignos les ayudaron y sedujeron» (Jub 11:4), y «no tenemos lucha contra sangre y carne» (Ef 6:12). Por eso es un aviso, para rectificar y tomar conciencia: «no quiero la muerte del impío, sino que se torne el impío de su camino, y que viva» (Ez 33:11).</w:t>
      </w:r>
    </w:p>
    <w:p>
      <w:r>
        <w:t>Es el último aviso de esta obra, y el único que lleva ese nombre. No es una amenaza: la obra no amenaza, invita, y la puerta para rectificar sigue abierta. Tampoco es una acusación penal: por eso la obra no lo llama crimen de lesa humanidad, un nombre que la ley reserva para otros actos (</w:t>
      </w:r>
      <w:r>
        <w:t>8.1</w:t>
      </w:r>
      <w:r>
        <w:t>).</w:t>
      </w:r>
    </w:p>
    <w:p>
      <w:r>
        <w:t>«Quien tiene oídos para oir, oiga»</w:t>
      </w:r>
      <w:r>
        <w:t xml:space="preserve"> (Mt 13:9)</w:t>
      </w:r>
      <w:r>
        <w:br/>
      </w:r>
      <w:r>
        <w:rPr>
          <w:b/>
        </w:rPr>
        <w:t>leída en su fuente · Mt 13:9</w:t>
      </w:r>
      <w:r>
        <w:br/>
      </w:r>
      <w:r>
        <w:rPr>
          <w:b/>
        </w:rPr>
        <w:t>Archivo leído:</w:t>
      </w:r>
      <w:r>
        <w:t xml:space="preserve"> mt_13_9_rva.html; rvr1960_mt_13_9.html; mt_11_15_rva.html; mt_13_43_rva.html; mc_4_9_rva.html; mc_4_23_rva.html; lc_8_8_rva.html; lc_14_35_rva.html (c9g\mt_13_9_rva.html; c9g\lc_14_35_rva.html) · contraste del archivo de pasajes: ✔</w:t>
      </w:r>
      <w:r>
        <w:br/>
      </w:r>
      <w:r>
        <w:rPr>
          <w:b/>
        </w:rPr>
        <w:t>Lugar:</w:t>
      </w:r>
      <w:r>
        <w:t xml:space="preserve"> RVA Mt 13:9</w:t>
      </w:r>
      <w:r>
        <w:br/>
      </w:r>
      <w:r>
        <w:rPr>
          <w:b/>
        </w:rPr>
        <w:t>Dirección:</w:t>
      </w:r>
      <w:r>
        <w:t xml:space="preserve"> </w:t>
      </w:r>
      <w:r>
        <w:t>https://www.biblegateway.com/passage/?search=Matthew+13%3A9&amp;version=RVA</w:t>
      </w:r>
      <w:r>
        <w:br/>
      </w:r>
      <w:r>
        <w:rPr>
          <w:b/>
        </w:rPr>
        <w:t>Tal como está en la fuente:</w:t>
      </w:r>
      <w:r>
        <w:t xml:space="preserve"> Quien tiene oídos para oir, oiga.</w:t>
      </w:r>
      <w:r>
        <w:t>.</w:t>
      </w:r>
    </w:p>
    <w:p>
      <w:r>
        <w:t>[00.00-2.23, con Mt 13:9 en la Reina-Valera Antigua (c9g); glosario 9.3, el texto aprobado por Kiko el 5-oct, con el «último aviso» una sola vez en toda la obra; Catecismo, n.º 1867 (0.3); Ex 3:7 y Stg 5:4 leídos hoy en local en la Reina-Valera Antigua; Jub 11:4 (4.3), Ef 6:12 (4.2) y Ez 33:11 (4.3); libreta 75, 7 ter n.º 2: «clama al cielo», no «lesa humanidad» (8.1, «El límite de las palabras»), decidido por Kiko el 7-oct; el cuarto clamor, la dependencia, decidido por Kiko el 7-oct como lectura del autor, con las cifras de 8.5 y la subida de la lista leída hoy en local (c8c, nota de 10-4-2026); el séptimo sello (Ap 8:1) no entra aquí: lo que dice el texto está en 3.7; Ex 22 y Dt 24:14-15, los pasajes en que el Catecismo apoya los clamores de la viuda y del asalariado, sin leer en la Reina-Valera Antigua]</w:t>
      </w:r>
    </w:p>
    <w:p>
      <w:r>
        <w:rPr>
          <w:b/>
        </w:rPr>
        <w:t>Las preguntas que el autor deja en el aire, para cada uno:</w:t>
      </w:r>
      <w:r>
        <w:t xml:space="preserve"> Ahora que nadie te mira y ves tu reflejo interior, la pregunta que surge: ¿cuáles serán tus frutos? ¿Qué vas a hacer tú? ¿Qué vas a dejar para la gran tribu humana, para que viva en el mundo en que te gustaría vivir?</w:t>
      </w:r>
    </w:p>
    <w:p>
      <w:r>
        <w:t>[Kiko, 9-oct, chat de 07: «la frase que más invita a reflexionar» (la misma que cierra G.0, «Los dos propósitos», y «La brújula», 10.9) y la pregunta del legado, con sus palabras, que solo va aquí]</w:t>
      </w:r>
    </w:p>
    <w:p>
      <w:pPr>
        <w:pStyle w:val="Heading2"/>
      </w:pPr>
      <w:r>
        <w:t>Límite honesto de la prueba</w:t>
      </w:r>
    </w:p>
    <w:p>
      <w:pPr>
        <w:pStyle w:val="ListBullet"/>
      </w:pPr>
      <w:r>
        <w:rPr>
          <w:b/>
        </w:rPr>
        <w:t>El juicio no tiene fuerza legal.</w:t>
      </w:r>
      <w:r>
        <w:t xml:space="preserve"> Es un tribunal de opinión, y lo declara desde el principio (</w:t>
      </w:r>
      <w:r>
        <w:t>11.1</w:t>
      </w:r>
      <w:r>
        <w:t>). Su veredicto, cuando llegue, no obligará a nadie, y la obra no exime de ninguna obligación vigente (</w:t>
      </w:r>
      <w:r>
        <w:t>11.0</w:t>
      </w:r>
      <w:r>
        <w:t>).</w:t>
      </w:r>
    </w:p>
    <w:p>
      <w:pPr>
        <w:pStyle w:val="ListBullet"/>
      </w:pPr>
      <w:r>
        <w:rPr>
          <w:b/>
        </w:rPr>
        <w:t>La defensa del Estado la ha escrito la obra.</w:t>
      </w:r>
      <w:r>
        <w:t xml:space="preserve"> Es la mejor que ha sabido construir, en la jerga del propio Estado, pero no es la del Estado: hasta que cada institución conteste, su respuesta queda pendiente (</w:t>
      </w:r>
      <w:r>
        <w:t>11.1</w:t>
      </w:r>
      <w:r>
        <w:t>).</w:t>
      </w:r>
    </w:p>
    <w:p>
      <w:pPr>
        <w:pStyle w:val="ListBullet"/>
      </w:pPr>
      <w:r>
        <w:rPr>
          <w:b/>
        </w:rPr>
        <w:t>Una pregunta no prueba nada por sí sola.</w:t>
      </w:r>
      <w:r>
        <w:t xml:space="preserve"> Lo que diga la respuesta, o el silencio, quedará registrado; hasta entonces, la pregunta solo señala lo que falta saber (</w:t>
      </w:r>
      <w:r>
        <w:t>11.5</w:t>
      </w:r>
      <w:r>
        <w:t>).</w:t>
      </w:r>
    </w:p>
    <w:p>
      <w:pPr>
        <w:pStyle w:val="ListBullet"/>
      </w:pPr>
      <w:r>
        <w:rPr>
          <w:b/>
        </w:rPr>
        <w:t>Lo que la obra concede está en cada capítulo,</w:t>
      </w:r>
      <w:r>
        <w:t xml:space="preserve"> como límite honesto, y en cada cargo, en «Dónde aguanta». Aquí no se repite.</w:t>
      </w:r>
    </w:p>
    <w:p>
      <w:pPr>
        <w:pStyle w:val="ListBullet"/>
      </w:pPr>
      <w:r>
        <w:rPr>
          <w:b/>
        </w:rPr>
        <w:t>Un patrón no prueba una intención</w:t>
      </w:r>
      <w:r>
        <w:t xml:space="preserve"> (</w:t>
      </w:r>
      <w:r>
        <w:t>11.2</w:t>
      </w:r>
      <w:r>
        <w:t>, n.º 15): los cargos miden presunciones y sus frutos, no la voluntad de quien las escribió.</w:t>
      </w:r>
    </w:p>
    <w:p>
      <w:pPr>
        <w:pStyle w:val="ListBullet"/>
      </w:pPr>
      <w:r>
        <w:rPr>
          <w:b/>
        </w:rPr>
        <w:t>Fuentes secundarias, marcadas:</w:t>
      </w:r>
      <w:r>
        <w:t xml:space="preserve"> Hart, por un artículo de la UNAM (</w:t>
      </w:r>
      <w:r>
        <w:t>11.2</w:t>
      </w:r>
      <w:r>
        <w:t>); Stigler, por Carrigan y Coglianese (</w:t>
      </w:r>
      <w:r>
        <w:t>11.2</w:t>
      </w:r>
      <w:r>
        <w:t>); un sindicato y una organización ecologista, partes interesadas (cargos 10 y 28); y la prensa, en el caso de Torrejón (</w:t>
      </w:r>
      <w:r>
        <w:t>cargo 27</w:t>
      </w:r>
      <w:r>
        <w:t>) y en lo que no devuelve el Ayuntamiento de Madrid (</w:t>
      </w:r>
      <w:r>
        <w:t>cargo 20</w:t>
      </w:r>
      <w:r>
        <w:t>).</w:t>
      </w:r>
    </w:p>
    <w:p>
      <w:pPr>
        <w:pStyle w:val="ListBullet"/>
      </w:pPr>
      <w:r>
        <w:rPr>
          <w:b/>
        </w:rPr>
        <w:t>Cálculos de la obra:</w:t>
      </w:r>
      <w:r>
        <w:t xml:space="preserve"> los porcentajes del </w:t>
      </w:r>
      <w:r>
        <w:t>cargo 8</w:t>
      </w:r>
      <w:r>
        <w:t xml:space="preserve"> y el 6,6 % y el 10,9 % del </w:t>
      </w:r>
      <w:r>
        <w:t>cargo 23</w:t>
      </w:r>
      <w:r>
        <w:t>.</w:t>
      </w:r>
    </w:p>
    <w:p>
      <w:pPr>
        <w:pStyle w:val="ListBullet"/>
      </w:pPr>
      <w:r>
        <w:rPr>
          <w:b/>
        </w:rPr>
        <w:t>Lo que no entra,</w:t>
      </w:r>
      <w:r>
        <w:t xml:space="preserve"> porque no tiene fila en el registro o no se ha leído en su fuente: se dice en cada cargo, y queda para el relevo (</w:t>
      </w:r>
      <w:r>
        <w:t>11.5</w:t>
      </w:r>
      <w:r>
        <w:t>).</w:t>
      </w:r>
    </w:p>
    <w:p>
      <w:pPr>
        <w:pStyle w:val="ListBullet"/>
      </w:pPr>
      <w:r>
        <w:rPr>
          <w:b/>
        </w:rPr>
        <w:t>La lista de lo que no entra:</w:t>
      </w:r>
      <w:r>
        <w:t xml:space="preserve"> el Tribunal Russell y el Tribunal Permanente de los Pueblos; la frase de Dworkin; que las corporaciones no pudieran ser excomulgadas; el presidente de la Reserva Federal y el del Bundesbank; la tradición mesoamericana; que la revisión total «nunca se ha activado», el «autobloqueo», «las cuatro reformas, sin referéndum» y «en menos de dos semanas»; los «quince días» de la Mesa del Congreso; la frase de Rousseau leída como justificación del Terror; las sanciones del Tribunal de Cuentas a los partidos; «ninguno de los grandes casos de corrupción» surgido de sus fiscalizaciones; la abolición en la Península en 1837; los nueve códigos y la sentencia de las cláusulas suelo; los 40 decretos-leyes frente a 74 leyes y las 259 normas; que «casi nadie» reclame los intereses de demora; que el Banco de España «dejó de publicar» su nota del rescate; el IBI; los doce años de la financiación autonómica; el 68,0 % del organigrama; el plan sanitario vencido en 2023; el 1,5 % y el 2,4 % del PIB de la infancia; los tipos al 17 %; que el Director General del Tesoro «emite la deuda»; los 77.437 millones hasta 2018; que quien recibe primero el dinero nuevo gaste a precios antiguos; las escalas autonómicas del IRPF; los 0,7 y 0,9 puntos de poder adquisitivo de 2025 y el 4,3 % de agosto de 2026; la década perdida de Japón; Kant y la publicidad; los 990,8 millones de publicidad institucional; la renovación del Consejo General del Poder Judicial de 2024 y la reforma fracasada de 2025; los magistrados del Constitucional con el mandato caducado; la gestoría de 700 a 1.500 euros; «parte exentos de impuestos»; que las Clases Pasivas respondan a carreras largas; «considerablemente cercenado»; que la directiva europea incluya los programas y la inteligencia artificial; «parte de la doctrina la critica»; que la entrada en la Comunidad Europea exigiera la reconversión, los criterios del euro y las cifras de Sagunto; las «fianzas» de la afirmación; el «récord» de reclamaciones de 2025; la «red de conflictos de interés» de Islandia; que todas las tradiciones convergen en el honor, sin leer en su original; Mc 10:45, que se leyó después y dice lo mismo que Mt 20:28, que es el que se cita (</w:t>
      </w:r>
      <w:r>
        <w:t>3.6</w:t>
      </w:r>
      <w:r>
        <w:t xml:space="preserve">); y el séptimo sello (Ap 8:1), que se leyó después y va en </w:t>
      </w:r>
      <w:r>
        <w:t>3.7</w:t>
      </w:r>
      <w:r>
        <w:t>.</w:t>
      </w:r>
    </w:p>
    <w:p>
      <w:pPr>
        <w:pStyle w:val="Heading2"/>
      </w:pPr>
      <w:r>
        <w:t>Dónde se oye la defensa del Estado</w:t>
      </w:r>
    </w:p>
    <w:p>
      <w:r>
        <w:t>En este capítulo se han oído todas las defensas que los demás remitían aquí: las objeciones al método y al propio juicio, en las cuestiones previas (</w:t>
      </w:r>
      <w:r>
        <w:t>11.2</w:t>
      </w:r>
      <w:r>
        <w:t>); las de cada presunción, en su cargo (</w:t>
      </w:r>
      <w:r>
        <w:t>11.3</w:t>
      </w:r>
      <w:r>
        <w:t xml:space="preserve">); y las del dictamen, en </w:t>
      </w:r>
      <w:r>
        <w:t>11.4</w:t>
      </w:r>
      <w:r>
        <w:t>. Las objeciones a las propuestas de la obra y la respuesta probable de la Administración a sus escritos se oyen con su puerta (</w:t>
      </w:r>
      <w:r>
        <w:t>capítulo 10</w:t>
      </w:r>
      <w:r>
        <w:t>), y las de los anexos de consulta, en su anexo (anexos A, C y D).</w:t>
      </w:r>
    </w:p>
    <w:p>
      <w:r>
        <w:t>[clasificación de las defensas, aprobada: las tres reglas]</w:t>
      </w:r>
    </w:p>
    <w:p>
      <w:pPr>
        <w:pStyle w:val="Heading2"/>
      </w:pPr>
      <w:r>
        <w:t>Para recordar</w:t>
      </w:r>
    </w:p>
    <w:p>
      <w:pPr>
        <w:pStyle w:val="ListBullet"/>
      </w:pPr>
      <w:r>
        <w:t>El juicio popular de la verdad es un tribunal de opinión: juzga instituciones, nunca personas, y no tiene fuerza legal. Su jurado se elige por sorteo y se mide por sus frutos: voto razonado y público, sin conflicto de interés, con recusación y sin examen de ideas.</w:t>
      </w:r>
    </w:p>
    <w:p>
      <w:pPr>
        <w:pStyle w:val="ListBullet"/>
      </w:pPr>
      <w:r>
        <w:t>Cada cargo es una presunción del Estado, medida con la ley de Dios, las tradiciones y su propia ley. Su mejor defensa se oye en su propia jerga, y se dice dónde aguanta.</w:t>
      </w:r>
    </w:p>
    <w:p>
      <w:pPr>
        <w:pStyle w:val="ListBullet"/>
      </w:pPr>
      <w:r>
        <w:t>Frente al dictamen, la obra concede lo que es cierto: un Estado no es una empresa, el dictamen no tiene valor oficial, la mayor parte de la Constitución se cumple y hay frutos reales. Lo que queda en pie es la misma vara.</w:t>
      </w:r>
    </w:p>
    <w:p>
      <w:pPr>
        <w:pStyle w:val="ListBullet"/>
      </w:pPr>
      <w:r>
        <w:t>Cada cargo se cierra con la última palabra: la institución tiene la oportunidad de defenderse en verdad, y su respuesta, o su silencio, quedará registrada.</w:t>
      </w:r>
    </w:p>
    <w:p>
      <w:pPr>
        <w:pStyle w:val="ListBullet"/>
      </w:pPr>
      <w:r>
        <w:t>Las preguntas se pueden enviar ya; las que aún necesitan investigación quedan para el relevo.</w:t>
      </w:r>
    </w:p>
    <w:p>
      <w:pPr>
        <w:pStyle w:val="ListBullet"/>
      </w:pPr>
      <w:r>
        <w:t>El llamamiento no acusa: invita a comprobar, a rectificar y a dejar constancia, y deja a cada lector su brújula (</w:t>
      </w:r>
      <w:r>
        <w:t>10.9</w:t>
      </w:r>
      <w:r>
        <w:t>). La siega no es nuestra.</w:t>
      </w:r>
    </w:p>
    <w:p>
      <w:r>
        <w:br w:type="page"/>
      </w:r>
    </w:p>
    <w:p>
      <w:pPr>
        <w:pStyle w:val="Heading1"/>
      </w:pPr>
      <w:r>
        <w:t>Anexo A. La auditoría completa de la Constitución: los 169 artículos</w:t>
      </w:r>
    </w:p>
    <w:p>
      <w:pPr>
        <w:spacing w:after="200"/>
      </w:pPr>
      <w:r>
        <w:rPr>
          <w:rFonts w:ascii="Segoe UI" w:hAnsi="Segoe UI" w:eastAsia="Segoe UI" w:cs="Segoe UI"/>
          <w:color w:val="6B665E"/>
          <w:sz w:val="17"/>
        </w:rPr>
        <w:t>Primera versión: 7 de octubre de 2026 · Última revisión: 12 de octubre de 2026 · Cambios anotados en el capítulo: 10 · Citas leídas en su fuente: 9</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(e) *habeas corpus*, en cursiva, la vez que iba sin ella (07/herramientas/aplicar_cinco_de_forma.py). Ninguna otra palabra cambia. Cambio del 12-oct-2026 (errata de alcance, hallada al escribir: la vio 10.29 y la comprobaron 08.19 y 07.6 en la fuente, en local): en A.8, art. 133.1, y en A.9, art. 157, «18 normativas distintas de Sucesiones y Donaciones (una por comunidad autónoma)» pasa a lo que dice el informe de AEDAF (2019, p. 150): tantas regulaciones distintas como comunidades de régimen común, junto a la estatal, la ley foral navarra y las tres normas forales vascas; la fuente no dice «18» ni «una por comunidad», y las comunidades son 17. Ninguna otra palabra cambia. Cambio del 12-oct-2026 (Kiko, chat de 08.18, 06:3x, pasado por 08.18 tal cual, a «¿das el sí a los nueve cambios de 07.6?»: «si»; borrador B13, el barrido de los cuantificadores vagos en las frases con dato): en A.8, art. 133.1, las renuncias a herencias ya no van «pendiente de contraste»: el informe de AEDAF está en local (p. 148, con datos del Notariado) y dice que se triplicaron en Andalucía, Asturias, Extremadura y Murcia, y por qué; A.9 ya lo daba por verificado. Ninguna otra palabra cambia. Cambio del 9-oct-2026 (Kiko: «sobre todo el resto de lo que me has presentado, tienes mi confirmación»; art. 8): quitada la frase «La cumbre de La Haya (junio de 2025) fijó un nuevo objetivo del 5 % para 2035; España se desmarcó manteniendo su propio 2,1 %» y su fuente, «declaraciones de la cumbre de la OTAN de La Haya (VI-2025)»: ni la declaración de La Haya ni la nota oficial del Gobierno (22-VI-2025) están leídas en su fuente, y el informe de la OTAN de agosto de 2025 (descargado) da a España 1,43 % en 2024 y 2,00 % estimado en 2025, no 2,1 %. El INCUMPLE del art. 8 se apoya en las cifras de la OTAN, que quedan; no cambia ningún recuento ni porcentaje. Cambio del 8-oct-2026 (fase de reparación, quinta tanda; art. 41): quitada la serie «del 20,2% en los años 80 al 70% en 2024» de la cobertura del desempleo, que no tiene fuente localizable (la libreta 16 la daba SIN VERIFICAR); queda la cifra leída, 81,16% en noviembre de 2025 (nota de prensa del Ministerio de Trabajo). Cambio del 8-oct-2026 (fase de reparación, quinta tanda; art. 137): la frase «las transferencias suponen más del 40% de la financiación local, hasta el 76% en comarcas» no está en el informe del Consejo de Europa que cita (CG(2021)41-07, que acompaña a la Recomendación 465) y la libreta 16 la tenía sin verificar; se pone la cifra que sí dice (35,8 % de los ingresos locales son transferencias; 20,25 %, del Estado) y el original inglés de la cita. Cambio del 8-oct-2026 (fase de reparación, comparación de «La norma» con el BOE, herramientas/norma_vs_boe_anexo_A.py): las fichas de los arts. 144, 153 y 160 llevaban la cita acortada con la puntuación cambiada o sin las letras a), b)…; ahora llevan el texto del BOE tal cual (166 de 169 coincidían; ahora, 169). ESTADO: APROBADO por Kiko (7-oct-2026: «sí»; conversación del aviso PASO 3.8, en Sonnet 5.5). Paso 3, el último anexo. Sale de la pieza 17.00 (la auditoría completa de la Constitución, archivo congelado), con herramientas/borrador_anexo_A.py y los parches de herramientas/parches_anexo_A_*.py; la lista de lo que lleva sin fuente leída, en herramientas/hojas/lista_sin_leer_anexo_A.md. Plan aprobado por Kiko («sí a las tres», 7-oct): un apartado por título de la Constitución, en su orden; la misma ficha para cada artículo (la norma, el hecho con su fuente, el estado, el «Frenado por» y la declaración formal externa); y donde el capítulo 7 (7.3) ya cuenta el caso entero, la ficha lleva solo lo que 7.3 no dice y remite. Es anexo de consulta: lleva su propia defensa, título por título. Escrito en tres niveles y con remisiones enlazables. Leído hoy en su original (en local): - Real Decreto-ley 32/2021 (c9d, BOE-A-2021-21788): su nueva redacción del art. 84.2 del Estatuto de los Trabajadores da la prioridad aplicativa del convenio de empresa en las materias que enumera, y la cuantía del salario no figura entre ellas (art. 37.1). La ultraactividad, sin leer: va a flecos. - Real Decreto 170/2026, de 4 de marzo, apartado sexto (c9h): la oferta de un máximo de 500 plazas de reservista voluntario (art. 30). Cambio del 8-oct-2026 (aplicación de la investigación final de flecos; Kiko: «todo lo que se haya rescatado con fuente vamos a aplicarlo a la obra»): las fichas de los arts. 2, 24, 36, 37.1, 39, 43, 44, 57.5, 58, 61, 65, 75.3, 83, 85, 94.1, 99, 107, 112, 114, 115, 117.5, 118, 123, 134, 135, 139, 144, 146, 148, 161.2, 167, 168 y 169, y el cierre de A.4, llevan los hechos leídos en su fuente el 7-oct. Los estados no cambian. El art. 168 se mantiene INCUMPLE (Kiko, 8-oct): la sinopsis oficial del Congreso ve el procedimiento agravado como «una garantía», y la ficha lleva esa frase a la vista junto a su estado. Análisis de lo pendiente (8-oct): los arts. 13, 64, 66.2, 71.2, 80 y 91 llevan ahora su hecho leído en su fuente. Por decisión de Kiko (8-oct, «sí, hazlo así»), los arts. 7 y 110 pasan de INCUMPLE a PENDIENTE: el recuento es 93 / 70 / 6, el organigrama del poder queda en 29 que incumplen (28,2 %) y 4 pendientes, y la columna de declaraciones formales externas de la tabla por títulos suma ya 23 (el art. 159 se había quitado en el texto y no en la tabla). Cambio del 8-oct-2026 (aviso PASO 4.8; Kiko: pasar el art. 111 a PENDIENTE «y yo añadiría falta de datos disponibles al público, auditables»; art. 136 «si lo veo más apropiado»): el art. 111 pasa de INCUMPLE a PENDIENTE (ninguno de los hechos leídos muestra que el Gobierno eluda las preguntas, y el Congreso publica cada pregunta con sus fechas pero no hay un conjunto de datos abiertos de las preguntas escritas con que auditar los plazos en bloque); el recuento es 93 / 69 / 7, el organigrama del poder queda en 28 que incumplen (27,2 %) y 5 pendientes (4,9 %), el freno actúa en 10 de 38 de sus casos (26,32 %) y la amenaza acumulada del organigrama es el 36,9 %. El art. 136 se mantiene INCUMPLE con el hecho del BOE de 6-I-2023 y la revisión entre pares de 2015 en la ficha; se quita del contrapunto 3 del Título VII la frase sin fuente sobre los grandes casos de corrupción (ya la había quitado el capítulo 11). Hallado al escribir (erratas ya en el 07 con el paso 2; la edición lleva la versión de la fuente): - 17.00-4.2: el Acuerdo del Govern de 13-XI-2018 dice que la afectación al presupuesto «supera los 1.800 M» por pérdida, bloqueo o retraso; el impacto directo fue de más de 130 M; los 234 son trabajadores públicos cesados, 33 altos cargos. - 17.00-10.2: «excesivamente permisiva y carente de motivación» califica un contrato concreto de la UGT (Informe 1.055). - 17.00-11.2: la OTAN da 1,28 % (junio de 2024), 1,43 % (2025) y 1,42 % (dato cerrado, 2026); el 1,24 % no figura. - 17.00-16.2: «capacidad natural o madurez suficiente» no está en ninguna norma (Ley 25/2010, art. 211-3.1; Código Civil, arts. 154 y 156). - 17.00-19.1 y 48.2: la pensión media de jubilación de las mujeres es un 31,1 % menor (2024), no un 45 % ni un 43 %. - 17.00-22.2: el 28,5 % y el 15,4 % son el peso de la casilla «solo Iglesia» sobre la cuota íntegra, no «del total asignado». - 17.00-24.1: la frase es de la STC 73/2021; la del confinamiento es la STC 49/2022; son cinco sentencias, no seis. - 17.00-35.1: la STC 245/1991 sí dio efecto a la sentencia del TEDH y anuló las condenas firmes. - 17.00-49.2: «criterios orientativos», no «orientadores»; «numerosas barreras de acceso y ejercicio» es de la CNC (2012). - 17.00-51.2: el Banco de España: un 10 % más de regulación, un 0,5 % menos de empleo en las empresas de menos de 10 personas. - 17.00-65.2: los 3.700 millones son la estimación de las entidades, no lo devuelto. - 17.00-81.2: la frase de la STC 5/1987 es el argumento del Gobierno Vasco, que el Tribunal rechaza; la STC 8/1987 dice «pues». - 17.00-89.2: el índice de Gallagher de 2023 sale 5,8, no 7,75. - 17.00-94.2: el 26-X-2015 es la disolución de las Cortes; el cese del Gobierno es del 21-XII-2015. - 17.00-98.2: el Congreso derivó 380 de 386 peticiones y el Senado 78 de 167; «todas» es el título de un blog. - 17.00-102.2: la STC 108/1986 no trató de una proposición de ley. - 17.00-110.1: las SSTC 61/2018 y 14/2020 anularon solo en parte; los «datos reales» de desahucios eran de los recurrentes. - 17.00-113.2: 500.000 firmas son el 1,33 % del censo del 23-VII-2023. - 17.00-115.2: la frase «excluyendo la toma en consideración…» es del comentario oficial del Congreso. - 17.00-116.2: el Senado dijo «ha de entenderse que el Pleno del Senado ha vetado el texto»; hay un conflicto ante el TC. - 17.00-118.2: la participación de 2005 fue del 41,77 %; el 56,85 % de la OTAN solo cuenta «sí» y «no». - 17.00-126.1: el informe de 2026 dice «capacidad limitada», no «falta de independencia orgánica». - 17.00-136.1: no condenó el Supremo, sino la Audiencia Provincial de Vizcaya (SAP 82/2018). - 17.00-138.2: los 2,07 millones son solo prisión preventiva indebida (140 indemnizaciones, 2000 a 2019). - 17.00-141.2: la frase es del comentario del Congreso al art. 108, con otras palabras. - 17.00-157.2: «desobediencia inteligente» no está en la STS 162/2022. - 17.00-168.2: la STC 35/1995 trata de la presunción de inocencia, no de la policía judicial. - 17.00-172.2 y 172.3, 173.3, 177.2, 179.1, 181.2, 188.2, 201.2, 202.2 y 203.2: citas y títulos puestos como en la fuente. Hallado al aplicar la investigación final de flecos (8-oct-2026; erratas ya en el 07, la edición lleva la versión de la fuente): - 17.00-35.1: el detenido quedó libre dos días después de la rueda de prensa, no tres. - 17.00-52.2, 120.2, 195.2 y 49.2: UNICEF y la CNMC dicen lo que dicen sus páginas (sin su fuente de datos); la Oficina del Parlamento Europeo no habla de «origen»; los 81 países son los del libro de 2016 y la base actual da 95; lo de los organismos internacionales lo dice la CNMC. - 17.00-56.2 y 185.2: 50 y 173 días (no 48 y 176); el Plan OPTIMA valenciano no corrige la diferencia entre Madrid y Andalucía y no entra. - 17.00-57.2: la UE-27 estaba en el 2,26 % del PIB, no «en torno al 2,2». - 17.00-128.2, 129.2 y 219.2: 14 investiduras con éxito y 4 sin él (no 16, 13 y 3); la LO 2/2016 «reduce», no «penaliza»; la reforma de 1992 tardó 52 días y la lectura única fue solo en el Congreso. - 17.00-139.2, 156.2, 157.2 y 164.2: el 99 % es de las resoluciones que conoce el Consejo de Estado; el jurado cayó de 785 procedimientos a 364 por «una restrictiva interpretación de las normas de conexión y de la competencia»; la formulación literal de la STS 162/2022; la LO 1/2025 unifica el interés casacional, no lo introduce. - 17.00-177.2 y 191.2: seis ejercicios con presupuestos prorrogados de 2018 a 2026 (no «diez desde 1978», sin confirmar); los Estatutos de Ceuta y Melilla son de 13 de marzo de 1995 (publicados el 14). - 17.00-181.2: el informe del Consejo de Europa (CG(2021)41-07) da las transferencias como el 35,8 % de los ingresos locales (20,25 % del Estado); el «más del 40 %, hasta el 76 % en comarcas» no figura en él. - 17.00-54.2: la serie «del 20,2 % en los años 80 al 70 % en 2024» no tiene fuente localizable (la cobertura de noviembre de 2025, 81,16 %, es de la nota del Ministerio de Trabajo); se quitó. No entra todavía (sin fuente leída o sin fila en el registro); cada cosa queda en 05 FLECOS, para leerla en su fuente y completarla (Kiko: «nunca fuera»): - 17.00-4.2: el día 2-VI-2018 (toma de posesión del nuevo Govern) en una fuente oficial; la cifra de 314 cargos cesados, de prensa, no entra. - 17.00-6.2: la fecha de la sentencia de Erandio (26-III-2026) y su texto, sin leer en su fuente. - 17.00-10.2: el caso FORCEM de 1992 (la petición de la Fiscalía y lo que halló el Tribunal de Cuentas), sin documento detrás; solo el informe de 2014 sobre la Fundación Tripartita tiene fuente. - 17.00-11.2: que en agosto de 2025 el Gobierno se negara a entregar los informes que justifican el 2,1 %, sin fuente localizable. - 17.00-17.2: las cifras de días por oficina (152, de 120 a 210 y de 90 a 180), de despachos y testimonios, y que el silencio sea denegación en la primera solicitud de residencia, sin leer en su fuente. - 17.00-25.2: la fecha del segundo archivo del caso Pegasus contra teléfonos del Gobierno (22-I-2026), sin leer en su fuente. - 17.00-38.2: la denuncia ante el Tribunal de Cuentas en tramitación (mayo de 2026), sin leer en su fuente. - 17.00-49.2: el detalle de las barreras (colegiación obligatoria, restricciones territoriales, límites a precios y publicidad) y lo que digan el FMI, la OCDE y la UE en sus propios documentos, sin leer en su fuente. - 17.00-50.2: que no se hallara caso de incumplimiento de convenio por el Estado como empleador, sin leer en su fuente. - 17.00-52.2: la fuente y el año de los datos de UNICEF España, que la noticia no da. - 17.00-54.2: la cobertura del desempleo por sexo (83,8 % de hombres frente a 71,3 % de mujeres), no localizada. - 17.00-60.2: los 1.648 bienes de la Lista Roja de Hispania Nostra el 20 de septiembre de 2026, de un contador vivo en su web, sin leer en un documento cerrado. - 17.00-65.2: la cifra de ADICAE (17.500 millones para unos 3,8 millones de hipotecas, solo en prensa) y que solo un tercio de los afectados recuperara su dinero por el arbitraje de 2016. - 17.00-79.1: que un análisis académico encuentre «un importante sesgo temporal e ideológico» en los indultos: la frase literal no se ha localizado. - 17.00-81.2: el indulto a una expresidenta del Parlament del 29-VII-2026 firmado por el Rey y refrendado por un ministro, sin documento detrás. - 17.00-83.1: la seguridad no desglosada que, según REMCO, podría subir los 105 millones. - 17.00-86.2: las comisiones de investigación del Senado desde 2023 y las acusaciones cruzadas («cauce paralelo», «manipular el comportamiento electoral»), solo de prensa, sin leer en su fuente. - 17.00-89.2: que un catedrático califique el sistema español de «el más mayoritario entre los proporcionales» y atribuya la desproporción al prorrateo provincial, no a la fórmula D'Hondt: la frase no está en ninguna fuente hallada. - 17.00-92.2: los 56 suplicatorios desde 1977, el suplicatorio a puerta cerrada y los pactos de investidura, sin leer en su fuente. - 17.00-94.2: que un órgano oficial (CEPC) califique el periodo de «coyuntura constitucional ciertamente novedosa», sin leer en su fuente. - 17.00-96.2: lo que diga el Reglamento del Senado sobre la delegación en comisión y que no se localizara ningún caso de tramitación indebida, sin leer en su fuente. - 17.00-101.2: que no exista estadística pública de sesiones secretas desde 1978 (una ausencia no se prueba), sin leer en su fuente. - 17.00-104.2: que no se localizara ningún decreto legislativo anulado por retroactividad, sin leer en su fuente. - 17.00-111.2: que una federación de asociaciones inmobiliarias reclamara aclaración oficial sobre los efectos jurídicos del RDL 8/2026 (prensa). - 17.00-113.2: las 143 iniciativas legislativas populares presentadas desde 1986 hasta junio de 2023, de las que 19 llegaron al Congreso y 4 tuvieron algún efecto (el 2,80 %): solo constan en prensa (Maldita, citando a Civio). - 17.00-116.2: el informe de la Secretaría General del Senado de octubre de 2024 y la declaración del presidente del Senado de que el rechazo «choca frontalmente» con el Reglamento, solo en prensa. - 17.00-117.2: que la Ley de Amnistía se sancionara en plazo y que no haya incidencia documentada desde 1978, sin leer en su fuente (la sinopsis dice que la sanción es un acto debido). - 17.00-120.2: la lista de las 132 leyes y el método de la Oficina del Parlamento Europeo, que la página no da. - 17.00-126.1: que la Oficina solo haya resuelto el 45,2 % (14 de 31) de los expedientes sancionadores desde 2018, tras 21 procedimientos entre 2006 y 2018, solo en prensa (The Objective); y la investigación de su directora, que no entra por dirigirse a una persona. - 17.00-130.2: la permanencia media ministerial de 1.252 días en el Gobierno actual, que no se pudo comprobar (el Gobierno actual suma como máximo 1.050 días a 6-X-2026). - 17.00-132.2: que el condenado fuera excarcelado a los tres meses por indulto, que el indulto de 1998 no está en el BOE consultado y la excarcelación es de prensa; y que otro político fuera investigado sin ser procesado, o que un exministro esté en prisión provisional (no entra: sin condena y dirigido a personas). - 17.00-139.2: los problemas de consulta y de transparencia del Consejo de Estado, sin leer en su fuente. - 17.00-142.2: la fecha de la nota del CGPJ (14-II-2022) y el título exacto de la nota de 1985, sin leer en su fuente. - 17.00-143.2: el conflicto de agosto de 2026 sobre las comparecencias por Ceuta, la cautelarísima del Supremo y las cinco comparecencias rechazadas, de prensa, sin leer en su fuente. - 17.00-144.2: las cifras de preguntas escritas de la XIV Legislatura, las estrategias de elusión y la ausencia de corrección, sin leer en su fuente. - 17.00-145.2: los votos de las dos cuestiones de confianza, que la sinopsis no da. - 17.00-147.2: los votos de la moción de censura de 2018, el juramento y que fuera la primera salida involuntaria sin petición del Rey, golpe de Estado o convocatoria electoral, sin leer en su fuente. - 17.00-148.2: que la doctrina académica haya pasado a documentar las «disfunciones» de la disolución anticipada, sin leer en su fuente; y que ninguna legislatura agotara los cuatro años, que no se puede afirmar (la de 2015, discutida). - 17.00-155.1: la expresión «avances limitados» ya no está en la ficha: leído el informe de 2026, la Comisión da «progreso limitado» solo en dos de sus seis recomendaciones (conflictos de intereses y grupos de presión), «algún progreso» en dos y «progreso significativo» en otras dos. - 17.00-156.2: las tasas de condena del jurado en 2025 y 2026 y su comparación con las de los tribunales profesionales, solo en prensa (el CGPJ da el 89,2 % hasta 2014). - 17.00-157.2: la «desobediencia inteligente» (un análisis de la Abogacía Española, no leído): que la Administración modifique el planeamiento tras las sentencias para impedir su ejecución. - 17.00-158.2: la fecha de inicio de la huelga del turno de oficio (21-XI-2023), sin leer en su fuente. - 17.00-161.2: la calificación «probabilidades remotas de estimación» atribuida a analistas jurídicos: no aparece en los siete textos leídos ni tiene autor. - 17.00-163.1: el día exacto de la renovación (25-VI-2024), sin leer en su fuente. - 17.00-164.2: que la abogacía llame «muro administrativo infranqueable» al interés casacional objetivo: la frase no se halla. - 17.00-166.1: que una reforma para un mandato no renovable de cinco años del Fiscal General siga en proyecto, sin leer en su fuente. - 17.00-168.2: que la STC 35/1995 confirmara que el juez da órdenes a la policía judicial pero no la sanciona ni la destina: esa sentencia trata de la presunción de inocencia; y que el control disciplinario último siga en el Ministerio del Interior. - 17.00-177.2: el total «diez prórrogas desde 1978» (el BOE solo da el recuento desde 2000, ocho ejercicios; falta la colección histórica de 1978 a 1999). - 17.00-179.2: que ninguno de los grandes casos de corrupción surgiera de las fiscalizaciones del Tribunal de Cuentas y el bloqueo de 2013 de una fiscalización especial (recomendación: quitar el inciso que atribuye el bloqueo a un partido), sin leer en su fuente. - 17.00-181.2: que la STC 68/1996 vincule la autonomía local a la suficiencia financiera: esa sentencia trata de la financiación de las comunidades autónomas. - 17.00-185.2: el «panorama muy heterogéneo» de la Ley de Dependencia (la expresión no está en los informes del Defensor del Pueblo), sin leer en su fuente. - 17.00-189.2: que la FEMP califique la reforma de la financiación local de «asignatura pendiente de la democracia española», que no se pudo comprobar. - 17.00-191.2: el plazo de los Acuerdos Autonómicos hasta el 31-XII-1981 y la «petrificación del derecho» como expresión, solo la idea en Montilla 1997. - 17.00-193.2: que la doctrina califique la operación de Andalucía de «muy dudosa legalidad» (no se halló la cita). - 17.00-195.2: el «café para todos»: las frases «los catalanes tienen el mismo grado de autonomía que murcianos o extremeños» y «en perspectiva comparada, esto es excepcional» no se hallaron. - 17.00-199.2: la proposición de ley orgánica de delegación de competencias de inmigración a Cataluña (registrada en marzo de 2025 y retomada en agosto de 2026), sin leer en su fuente. - 17.00-201.2: que un informe de UGT (2024) señale que más del 25 % de los juzgados tuvieron plazos superiores a 18 meses en 2023, con Andalucía y Cataluña por encima de tres años, sin leer en su fuente. - 17.00-203.2: los dos casos de 2026 de acusaciones cruzadas de partidismo (Madrid, menores migrantes; Santander, negociación laboral), sin leer en su fuente. - 17.00-205.2: que solo en torno a un tercio de los ingresos autonómicos tenga capacidad normativa real, frente al 68 % de «recursos autónomos»: la cifra no está en la fuente citada. - 17.00-210.1: la fecha de inicio del bloqueo (17-XII-2025) y la encuesta de 40dB (75,5 % percibe influencia partidista), solo en prensa. - 17.00-211.2: la elección de enero de 2023 por 6 votos contra 5 y la norma no escrita de reparto, sin leer en su fuente. - 17.00-212.2: la crítica doctrinal del art. 161.2 desde 1979, sin leer en su fuente. - 17.00-218.2: la fecha de la votación constituyente sobre la iniciativa popular de reforma (20-VII-1978), sin leer en su fuente. - 17.00-220.2: que el art. 168 no se haya activado nunca desde 1978: se deduce de las tres reformas hechas por el art. 167, pero la sinopsis no lo dice. - 17.00-221.2: que no se localizara ninguna reforma afectada en los estados de alarma y que el Tribunal Constitucional nunca haya interpretado el art. 169, sin leer en su fuente. Fuera, por no venir al caso o por dirigirse a personas: los nombres propios de dirigentes y de un particular de las fichas (art. 14, 18, 56, 64, 100, 102, 114, 124 y 160), la investigación a una directora (art. 98.4) y la prisión provisional de un exministro (art. 102). Los hechos de las tres fichas con declaración formal externa que conservaban su hecho, «pendiente de leer en su fuente», hasta la investigación final de flecos (Kiko, 7-oct, opción a) se han leído en esa investigación, el 7-oct: el del art. 45 (la condena de 2018, los pagos hasta 2022 y la decisión de la Comisión de abril de 2026), el del art. 117.1 (las seis recomendaciones del informe de 2026) y el del art. 159 (los mandatos de los magistrados que propone el Senado y el Auto 177/2022). La ficha del art. 159 pierde la declaración formal externa (Kiko, 7-oct: ni los mandatos cumplidos ni el Auto cumplen la definición de 7.1) y el recuento baja de 24 a 23. De ellos salen, sin fuente leída y a flecos, estos detalles: - A1, 17.00-59.1: que la Comisión califique el problema de «generalizado» (su comunicado no usa la palabra) y la multa acumulada de 2024 (87 millones), que consta en prensa; el dato oficial leído llega a 71.725.687,35 euros a 26-IX-2022. - A2, 17.00-155.1: que España haya ignorado sentencias del TJUE sobre temporalidad y la suspensión de 626 millones de fondos NextGeneration EU (informe Liberties 2026), sin leer en su fuente. - A3, 17.00-210.1: el bloqueo desde el 17-XII-2025 y que el Consejo General del Poder Judicial retrasara «ilegalmente» un nombramiento en 2022, solo de prensa, sin leer en su fuente. Conceptos que usa, ya anclados: el contrato social y la Constitución como su traducción escrita (6.5; 7.1); la declaración formal externa (7.1); el bien común y el organigrama del poder (7.4); el freno de Montesquieu (7.4); el método de Núremberg (7.2); la defensa del Estado y los contrapuntos (11). Lo que no se repite: los once casos de 7.3 (la ficha remite); los quince casos de 7.2; la tabla y los porcentajes de 7.4; el recuento 93 / 70 / 6 de 7.1. Cambio del 7-oct-2026 (investigación final de flecos; Kiko, «sí»): el art. 159 sigue incumpliéndose, pero sin declaración formal externa (ni los mandatos cumplidos ni el Auto 177/2022 cumplen la definición de 7.1), y el recuento baja de 24 a 23 (en el bien común 14 y en el organigrama 9). Anotado en el registro, en el 07 y en las libretas.</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7</w:t>
      </w:r>
      <w:r>
        <w:t xml:space="preserve"> mide la Constitución frente a los hechos y cuenta los casos que mejor lo muestran. Este anexo guarda la auditoría entera, artículo por artículo: la norma, el hecho con su fuente y el estado.</w:t>
      </w:r>
    </w:p>
    <w:p>
      <w:pPr>
        <w:pStyle w:val="ListBullet"/>
      </w:pPr>
      <w:r>
        <w:t>De los 169 artículos, 93 se cumplen, 69 no y 7 quedan pendientes; en 23 de los 69 incumplimientos ya hay una declaración formal externa (</w:t>
      </w:r>
      <w:r>
        <w:t>7.1</w:t>
      </w:r>
      <w:r>
        <w:t>).</w:t>
      </w:r>
    </w:p>
    <w:p>
      <w:pPr>
        <w:pStyle w:val="ListBullet"/>
      </w:pPr>
      <w:r>
        <w:t>Cada título cierra con la mejor defensa del Estado y los contrapuntos de la obra: es un anexo de consulta y lleva su propia defensa.</w:t>
      </w:r>
    </w:p>
    <w:p>
      <w:pPr>
        <w:pStyle w:val="ListBullet"/>
      </w:pPr>
      <w:r>
        <w:t>Lo que no se pudo leer en su fuente no entra, y se dice.</w:t>
      </w:r>
    </w:p>
    <w:p>
      <w:pPr>
        <w:pStyle w:val="Heading2"/>
      </w:pPr>
      <w:r>
        <w:t>A.0 Qué es este anexo y cómo se lee</w:t>
      </w:r>
    </w:p>
    <w:p>
      <w:pPr>
        <w:pBdr>
          <w:left w:val="single" w:sz="24" w:space="6" w:color="E2DED6"/>
        </w:pBdr>
        <w:shd w:val="clear" w:color="auto" w:fill="F1EEE8"/>
        <w:spacing w:before="80" w:after="160"/>
        <w:ind w:left="142" w:right="142"/>
      </w:pPr>
      <w:r>
        <w:rPr>
          <w:b/>
        </w:rPr>
        <w:t>La idea: la pregunta «¿se cumple el contrato social?» se parte en 169 preguntas comprobables, una por artículo de la Constitución; este anexo guarda las 169 respuestas, cada una con su norma, su hecho y su fuente.</w:t>
      </w:r>
    </w:p>
    <w:p>
      <w:r>
        <w:t xml:space="preserve">Es la auditoría completa de los 169 artículos de la Constitución, con el método que cuenta 7.1: la norma, en su texto literal; el hecho verificado, con su fuente exacta; y el estado de cumplimiento, sin atribuir intención a ningún artículo. Cuando un artículo incumple, se dice desde cuándo y, si hay fuente que lo permita, qué contraste existe; nunca por qué. El </w:t>
      </w:r>
      <w:r>
        <w:t>capítulo 7</w:t>
      </w:r>
      <w:r>
        <w:t xml:space="preserve"> cuenta el método, los resultados y los casos que mejor los muestran; aquí va el resto. Lo que 7.3 ya cuenta entero no se repite: la ficha dice lo que allí no está y remite. </w:t>
      </w:r>
      <w:r>
        <w:t>[17.00-0.0 y 0.0.2; 17.00-1.1]</w:t>
      </w:r>
    </w:p>
    <w:p>
      <w:r>
        <w:rPr>
          <w:b/>
        </w:rPr>
        <w:t>Cómo se lee una ficha.</w:t>
      </w:r>
    </w:p>
    <w:p>
      <w:pPr>
        <w:pStyle w:val="ListBullet"/>
      </w:pPr>
      <w:r>
        <w:rPr>
          <w:i/>
        </w:rPr>
        <w:t>La norma</w:t>
      </w:r>
      <w:r>
        <w:t>: el texto de la Constitución, entre comillas, con puntos suspensivos donde se omite.</w:t>
      </w:r>
    </w:p>
    <w:p>
      <w:pPr>
        <w:pStyle w:val="ListBullet"/>
      </w:pPr>
      <w:r>
        <w:rPr>
          <w:i/>
        </w:rPr>
        <w:t>El hecho</w:t>
      </w:r>
      <w:r>
        <w:t>: lo que ocurrió, con su fuente y su fecha. Cuando una cifra es un cálculo de la obra, lo dice.</w:t>
      </w:r>
    </w:p>
    <w:p>
      <w:pPr>
        <w:pStyle w:val="ListBullet"/>
      </w:pPr>
      <w:r>
        <w:rPr>
          <w:i/>
        </w:rPr>
        <w:t>Frenado por</w:t>
      </w:r>
      <w:r>
        <w:t>: cuando un artículo cumple porque un tribunal corrigió un intento real de extralimitación, la resolución que lo frenó: tribunal, fecha, recurso y qué anuló.</w:t>
      </w:r>
    </w:p>
    <w:p>
      <w:pPr>
        <w:pStyle w:val="ListBullet"/>
      </w:pPr>
      <w:r>
        <w:rPr>
          <w:i/>
        </w:rPr>
        <w:t>Declaración formal externa</w:t>
      </w:r>
      <w:r>
        <w:t>: solo existe cuando hay una sentencia del Tribunal Constitucional o del Tribunal Europeo de Derechos Humanos, una condena del Tribunal de Justicia de la UE o un informe institucional con calificación explícita, como el «asunto de preocupación crítica» del GRECO (</w:t>
      </w:r>
      <w:r>
        <w:t>7.2</w:t>
      </w:r>
      <w:r>
        <w:t>). Nunca es una opinión de la obra.</w:t>
      </w:r>
    </w:p>
    <w:p>
      <w:r>
        <w:rPr>
          <w:b/>
        </w:rPr>
        <w:t>Los estados.</w:t>
      </w:r>
      <w:r>
        <w:t xml:space="preserve"> CUMPLE; INCUMPLE; y PENDIENTE, cuando falta un dato o el punto depende de una resolución externa que aún no existe. Un artículo auditado por apartados (66, 86, 99, 117, 139 y 149) toma el estado del apartado más grave: si incumple uno, el artículo incumple. Y por el criterio de la obra, un recurso desestimado cuenta como cumplimiento limpio: por eso el art. 21 figura como CUMPLE (</w:t>
      </w:r>
      <w:r>
        <w:t>7.3</w:t>
      </w:r>
      <w:r>
        <w:t>, n.º 1).</w:t>
      </w:r>
    </w:p>
    <w:p>
      <w:r>
        <w:rPr>
          <w:b/>
        </w:rPr>
        <w:t>Los dos grupos</w:t>
      </w:r>
      <w:r>
        <w:t xml:space="preserve"> (</w:t>
      </w:r>
      <w:r>
        <w:t>7.4</w:t>
      </w:r>
      <w:r>
        <w:t>). El bien común: los 66 artículos que afectan al ciudadano en su vida diaria. El organigrama del poder: los 103 que regulan el aparato del Estado. La tabla de cada título los distingue.</w:t>
      </w:r>
    </w:p>
    <w:p>
      <w:r>
        <w:rPr>
          <w:b/>
        </w:rPr>
        <w:t>El balance por títulos.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Título</w:t>
            </w:r>
          </w:p>
        </w:tc>
        <w:tc>
          <w:tcPr>
            <w:tcW w:type="dxa" w:w="2296"/>
            <w:shd w:val="clear" w:color="auto" w:fill="F1EEE8"/>
          </w:tcPr>
          <w:p>
            <w:pPr>
              <w:spacing w:after="20" w:line="264" w:lineRule="auto"/>
            </w:pPr>
            <w:r>
              <w:rPr>
                <w:b/>
              </w:rPr>
            </w:r>
            <w:r>
              <w:rPr>
                <w:rFonts w:ascii="Segoe UI" w:hAnsi="Segoe UI" w:eastAsia="Segoe UI" w:cs="Segoe UI"/>
                <w:b/>
                <w:color w:val="1F1D1A"/>
                <w:sz w:val="18"/>
              </w:rPr>
              <w:t>Artículos</w:t>
            </w:r>
          </w:p>
        </w:tc>
        <w:tc>
          <w:tcPr>
            <w:tcW w:type="dxa" w:w="2296"/>
            <w:shd w:val="clear" w:color="auto" w:fill="F1EEE8"/>
          </w:tcPr>
          <w:p>
            <w:pPr>
              <w:spacing w:after="20" w:line="264" w:lineRule="auto"/>
            </w:pPr>
            <w:r>
              <w:rPr>
                <w:b/>
              </w:rPr>
            </w:r>
            <w:r>
              <w:rPr>
                <w:rFonts w:ascii="Segoe UI" w:hAnsi="Segoe UI" w:eastAsia="Segoe UI" w:cs="Segoe UI"/>
                <w:b/>
                <w:color w:val="1F1D1A"/>
                <w:sz w:val="18"/>
              </w:rPr>
              <w:t>Incumplen</w:t>
            </w:r>
          </w:p>
        </w:tc>
        <w:tc>
          <w:tcPr>
            <w:tcW w:type="dxa" w:w="2296"/>
            <w:shd w:val="clear" w:color="auto" w:fill="F1EEE8"/>
          </w:tcPr>
          <w:p>
            <w:pPr>
              <w:spacing w:after="20" w:line="264" w:lineRule="auto"/>
            </w:pPr>
            <w:r>
              <w:rPr>
                <w:b/>
              </w:rPr>
            </w:r>
            <w:r>
              <w:rPr>
                <w:rFonts w:ascii="Segoe UI" w:hAnsi="Segoe UI" w:eastAsia="Segoe UI" w:cs="Segoe UI"/>
                <w:b/>
                <w:color w:val="1F1D1A"/>
                <w:sz w:val="18"/>
              </w:rPr>
              <w:t>Con declaración formal externa</w:t>
            </w:r>
          </w:p>
        </w:tc>
      </w:tr>
      <w:tr>
        <w:tc>
          <w:tcPr>
            <w:tcW w:type="dxa" w:w="2296"/>
          </w:tcPr>
          <w:p>
            <w:pPr>
              <w:spacing w:after="20" w:line="264" w:lineRule="auto"/>
            </w:pPr>
            <w:r/>
            <w:r>
              <w:rPr>
                <w:rFonts w:ascii="Segoe UI" w:hAnsi="Segoe UI" w:eastAsia="Segoe UI" w:cs="Segoe UI"/>
                <w:color w:val="1F1D1A"/>
                <w:sz w:val="18"/>
              </w:rPr>
              <w:t>Título Preliminar (</w:t>
            </w:r>
            <w:r>
              <w:rPr>
                <w:rFonts w:ascii="Segoe UI" w:hAnsi="Segoe UI" w:eastAsia="Segoe UI" w:cs="Segoe UI"/>
                <w:color w:val="1F1D1A"/>
                <w:sz w:val="18"/>
              </w:rPr>
              <w:t>A.1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 Derechos y deberes fundamentales (</w:t>
            </w:r>
            <w:r>
              <w:rPr>
                <w:rFonts w:ascii="Segoe UI" w:hAnsi="Segoe UI" w:eastAsia="Segoe UI" w:cs="Segoe UI"/>
                <w:color w:val="1F1D1A"/>
                <w:sz w:val="18"/>
              </w:rPr>
              <w:t>A.2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46</w:t>
            </w:r>
          </w:p>
        </w:tc>
        <w:tc>
          <w:tcPr>
            <w:tcW w:type="dxa" w:w="2296"/>
          </w:tcPr>
          <w:p>
            <w:pPr>
              <w:spacing w:after="20" w:line="264" w:lineRule="auto"/>
            </w:pPr>
            <w:r/>
            <w:r>
              <w:rPr>
                <w:rFonts w:ascii="Segoe UI" w:hAnsi="Segoe UI" w:eastAsia="Segoe UI" w:cs="Segoe UI"/>
                <w:color w:val="1F1D1A"/>
                <w:sz w:val="18"/>
              </w:rPr>
              <w:t>25</w:t>
            </w:r>
          </w:p>
        </w:tc>
        <w:tc>
          <w:tcPr>
            <w:tcW w:type="dxa" w:w="2296"/>
          </w:tcPr>
          <w:p>
            <w:pPr>
              <w:spacing w:after="20" w:line="264" w:lineRule="auto"/>
            </w:pPr>
            <w:r/>
            <w:r>
              <w:rPr>
                <w:rFonts w:ascii="Segoe UI" w:hAnsi="Segoe UI" w:eastAsia="Segoe UI" w:cs="Segoe UI"/>
                <w:color w:val="1F1D1A"/>
                <w:sz w:val="18"/>
              </w:rPr>
              <w:t>10</w:t>
            </w:r>
          </w:p>
        </w:tc>
      </w:tr>
      <w:tr>
        <w:tc>
          <w:tcPr>
            <w:tcW w:type="dxa" w:w="2296"/>
          </w:tcPr>
          <w:p>
            <w:pPr>
              <w:spacing w:after="20" w:line="264" w:lineRule="auto"/>
            </w:pPr>
            <w:r/>
            <w:r>
              <w:rPr>
                <w:rFonts w:ascii="Segoe UI" w:hAnsi="Segoe UI" w:eastAsia="Segoe UI" w:cs="Segoe UI"/>
                <w:color w:val="1F1D1A"/>
                <w:sz w:val="18"/>
              </w:rPr>
              <w:t>Título II. La Corona (</w:t>
            </w:r>
            <w:r>
              <w:rPr>
                <w:rFonts w:ascii="Segoe UI" w:hAnsi="Segoe UI" w:eastAsia="Segoe UI" w:cs="Segoe UI"/>
                <w:color w:val="1F1D1A"/>
                <w:sz w:val="18"/>
              </w:rPr>
              <w:t>A.3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10</w:t>
            </w:r>
          </w:p>
        </w:tc>
        <w:tc>
          <w:tcPr>
            <w:tcW w:type="dxa" w:w="2296"/>
          </w:tcPr>
          <w:p>
            <w:pPr>
              <w:spacing w:after="20" w:line="264" w:lineRule="auto"/>
            </w:pPr>
            <w:r/>
            <w:r>
              <w:rPr>
                <w:rFonts w:ascii="Segoe UI" w:hAnsi="Segoe UI" w:eastAsia="Segoe UI" w:cs="Segoe UI"/>
                <w:color w:val="1F1D1A"/>
                <w:sz w:val="18"/>
              </w:rPr>
              <w:t>3</w:t>
            </w:r>
          </w:p>
        </w:tc>
        <w:tc>
          <w:tcPr>
            <w:tcW w:type="dxa" w:w="2296"/>
          </w:tcPr>
          <w:p>
            <w:pPr>
              <w:spacing w:after="20" w:line="264" w:lineRule="auto"/>
            </w:pPr>
            <w:r/>
            <w:r>
              <w:rPr>
                <w:rFonts w:ascii="Segoe UI" w:hAnsi="Segoe UI" w:eastAsia="Segoe UI" w:cs="Segoe UI"/>
                <w:color w:val="1F1D1A"/>
                <w:sz w:val="18"/>
              </w:rPr>
              <w:t>2</w:t>
            </w:r>
          </w:p>
        </w:tc>
      </w:tr>
      <w:tr>
        <w:tc>
          <w:tcPr>
            <w:tcW w:type="dxa" w:w="2296"/>
          </w:tcPr>
          <w:p>
            <w:pPr>
              <w:spacing w:after="20" w:line="264" w:lineRule="auto"/>
            </w:pPr>
            <w:r/>
            <w:r>
              <w:rPr>
                <w:rFonts w:ascii="Segoe UI" w:hAnsi="Segoe UI" w:eastAsia="Segoe UI" w:cs="Segoe UI"/>
                <w:color w:val="1F1D1A"/>
                <w:sz w:val="18"/>
              </w:rPr>
              <w:t>Título III. Las Cortes Generales (</w:t>
            </w:r>
            <w:r>
              <w:rPr>
                <w:rFonts w:ascii="Segoe UI" w:hAnsi="Segoe UI" w:eastAsia="Segoe UI" w:cs="Segoe UI"/>
                <w:color w:val="1F1D1A"/>
                <w:sz w:val="18"/>
              </w:rPr>
              <w:t>A.4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31</w:t>
            </w:r>
          </w:p>
        </w:tc>
        <w:tc>
          <w:tcPr>
            <w:tcW w:type="dxa" w:w="2296"/>
          </w:tcPr>
          <w:p>
            <w:pPr>
              <w:spacing w:after="20" w:line="264" w:lineRule="auto"/>
            </w:pPr>
            <w:r/>
            <w:r>
              <w:rPr>
                <w:rFonts w:ascii="Segoe UI" w:hAnsi="Segoe UI" w:eastAsia="Segoe UI" w:cs="Segoe UI"/>
                <w:color w:val="1F1D1A"/>
                <w:sz w:val="18"/>
              </w:rPr>
              <w:t>8</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IV. El Gobierno y la Administración (</w:t>
            </w:r>
            <w:r>
              <w:rPr>
                <w:rFonts w:ascii="Segoe UI" w:hAnsi="Segoe UI" w:eastAsia="Segoe UI" w:cs="Segoe UI"/>
                <w:color w:val="1F1D1A"/>
                <w:sz w:val="18"/>
              </w:rPr>
              <w:t>A.5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5</w:t>
            </w:r>
          </w:p>
        </w:tc>
        <w:tc>
          <w:tcPr>
            <w:tcW w:type="dxa" w:w="2296"/>
          </w:tcPr>
          <w:p>
            <w:pPr>
              <w:spacing w:after="20" w:line="264" w:lineRule="auto"/>
            </w:pPr>
            <w:r/>
            <w:r>
              <w:rPr>
                <w:rFonts w:ascii="Segoe UI" w:hAnsi="Segoe UI" w:eastAsia="Segoe UI" w:cs="Segoe UI"/>
                <w:color w:val="1F1D1A"/>
                <w:sz w:val="18"/>
              </w:rPr>
              <w:t>3</w:t>
            </w:r>
          </w:p>
        </w:tc>
      </w:tr>
      <w:tr>
        <w:tc>
          <w:tcPr>
            <w:tcW w:type="dxa" w:w="2296"/>
          </w:tcPr>
          <w:p>
            <w:pPr>
              <w:spacing w:after="20" w:line="264" w:lineRule="auto"/>
            </w:pPr>
            <w:r/>
            <w:r>
              <w:rPr>
                <w:rFonts w:ascii="Segoe UI" w:hAnsi="Segoe UI" w:eastAsia="Segoe UI" w:cs="Segoe UI"/>
                <w:color w:val="1F1D1A"/>
                <w:sz w:val="18"/>
              </w:rPr>
              <w:t>Título V. Las relaciones entre el Gobierno y las Cortes Generales (</w:t>
            </w:r>
            <w:r>
              <w:rPr>
                <w:rFonts w:ascii="Segoe UI" w:hAnsi="Segoe UI" w:eastAsia="Segoe UI" w:cs="Segoe UI"/>
                <w:color w:val="1F1D1A"/>
                <w:sz w:val="18"/>
              </w:rPr>
              <w:t>A.6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2</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VI. El Poder Judicial (</w:t>
            </w:r>
            <w:r>
              <w:rPr>
                <w:rFonts w:ascii="Segoe UI" w:hAnsi="Segoe UI" w:eastAsia="Segoe UI" w:cs="Segoe UI"/>
                <w:color w:val="1F1D1A"/>
                <w:sz w:val="18"/>
              </w:rPr>
              <w:t>A.7</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4</w:t>
            </w:r>
          </w:p>
        </w:tc>
      </w:tr>
      <w:tr>
        <w:tc>
          <w:tcPr>
            <w:tcW w:type="dxa" w:w="2296"/>
          </w:tcPr>
          <w:p>
            <w:pPr>
              <w:spacing w:after="20" w:line="264" w:lineRule="auto"/>
            </w:pPr>
            <w:r/>
            <w:r>
              <w:rPr>
                <w:rFonts w:ascii="Segoe UI" w:hAnsi="Segoe UI" w:eastAsia="Segoe UI" w:cs="Segoe UI"/>
                <w:color w:val="1F1D1A"/>
                <w:sz w:val="18"/>
              </w:rPr>
              <w:t>Título VII. Economía y Hacienda (</w:t>
            </w:r>
            <w:r>
              <w:rPr>
                <w:rFonts w:ascii="Segoe UI" w:hAnsi="Segoe UI" w:eastAsia="Segoe UI" w:cs="Segoe UI"/>
                <w:color w:val="1F1D1A"/>
                <w:sz w:val="18"/>
              </w:rPr>
              <w:t>A.8</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6</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color w:val="1F1D1A"/>
                <w:sz w:val="18"/>
              </w:rPr>
              <w:t>Título VIII. La organización territorial del Estado (</w:t>
            </w:r>
            <w:r>
              <w:rPr>
                <w:rFonts w:ascii="Segoe UI" w:hAnsi="Segoe UI" w:eastAsia="Segoe UI" w:cs="Segoe UI"/>
                <w:color w:val="1F1D1A"/>
                <w:sz w:val="18"/>
              </w:rPr>
              <w:t>A.9</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22</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IX. El Tribunal Constitucional (</w:t>
            </w:r>
            <w:r>
              <w:rPr>
                <w:rFonts w:ascii="Segoe UI" w:hAnsi="Segoe UI" w:eastAsia="Segoe UI" w:cs="Segoe UI"/>
                <w:color w:val="1F1D1A"/>
                <w:sz w:val="18"/>
              </w:rPr>
              <w:t>A.10</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color w:val="1F1D1A"/>
                <w:sz w:val="18"/>
              </w:rPr>
              <w:t>Título X. La reforma constitucional (</w:t>
            </w:r>
            <w:r>
              <w:rPr>
                <w:rFonts w:ascii="Segoe UI" w:hAnsi="Segoe UI" w:eastAsia="Segoe UI" w:cs="Segoe UI"/>
                <w:color w:val="1F1D1A"/>
                <w:sz w:val="18"/>
              </w:rPr>
              <w:t>A.11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b/>
                <w:color w:val="1F1D1A"/>
                <w:sz w:val="18"/>
              </w:rPr>
              <w:t>Total</w:t>
            </w:r>
          </w:p>
        </w:tc>
        <w:tc>
          <w:tcPr>
            <w:tcW w:type="dxa" w:w="2296"/>
          </w:tcPr>
          <w:p>
            <w:pPr>
              <w:spacing w:after="20" w:line="264" w:lineRule="auto"/>
            </w:pPr>
            <w:r/>
            <w:r>
              <w:rPr>
                <w:rFonts w:ascii="Segoe UI" w:hAnsi="Segoe UI" w:eastAsia="Segoe UI" w:cs="Segoe UI"/>
                <w:b/>
                <w:color w:val="1F1D1A"/>
                <w:sz w:val="18"/>
              </w:rPr>
              <w:t>169</w:t>
            </w:r>
          </w:p>
        </w:tc>
        <w:tc>
          <w:tcPr>
            <w:tcW w:type="dxa" w:w="2296"/>
          </w:tcPr>
          <w:p>
            <w:pPr>
              <w:spacing w:after="20" w:line="264" w:lineRule="auto"/>
            </w:pPr>
            <w:r/>
            <w:r>
              <w:rPr>
                <w:rFonts w:ascii="Segoe UI" w:hAnsi="Segoe UI" w:eastAsia="Segoe UI" w:cs="Segoe UI"/>
                <w:b/>
                <w:color w:val="1F1D1A"/>
                <w:sz w:val="18"/>
              </w:rPr>
              <w:t>69</w:t>
            </w:r>
          </w:p>
        </w:tc>
        <w:tc>
          <w:tcPr>
            <w:tcW w:type="dxa" w:w="2296"/>
          </w:tcPr>
          <w:p>
            <w:pPr>
              <w:spacing w:after="20" w:line="264" w:lineRule="auto"/>
            </w:pPr>
            <w:r/>
            <w:r>
              <w:rPr>
                <w:rFonts w:ascii="Segoe UI" w:hAnsi="Segoe UI" w:eastAsia="Segoe UI" w:cs="Segoe UI"/>
                <w:b/>
                <w:color w:val="1F1D1A"/>
                <w:sz w:val="18"/>
              </w:rPr>
              <w:t>23</w:t>
            </w:r>
          </w:p>
        </w:tc>
      </w:tr>
    </w:tbl>
    <w:p>
      <w:pPr>
        <w:spacing w:after="80"/>
      </w:pPr>
    </w:p>
    <w:p>
      <w:r>
        <w:t>Los artículos con declaración formal externa son el 6, 14, 15, 17, 19, 20, 24, 28.2, 31.1, 45, 55, 62.i, 65, 86, 98.4, 103.3, 104.1, 116, 117, 120.3, 122, 124, 138.2. En los arts. 86 y 117 la declaración está en uno de sus apartados.</w:t>
      </w:r>
    </w:p>
    <w:p>
      <w:pPr>
        <w:pStyle w:val="Heading2"/>
      </w:pPr>
      <w:r>
        <w:t>A.1 Título Preliminar</w:t>
      </w:r>
    </w:p>
    <w:p>
      <w:pPr>
        <w:pBdr>
          <w:left w:val="single" w:sz="24" w:space="6" w:color="E2DED6"/>
        </w:pBdr>
        <w:shd w:val="clear" w:color="auto" w:fill="F1EEE8"/>
        <w:spacing w:before="80" w:after="160"/>
        <w:ind w:left="142" w:right="142"/>
      </w:pPr>
      <w:r>
        <w:rPr>
          <w:b/>
        </w:rPr>
        <w:t>La idea: los pilares del Estado funcionan, pero fallan los cauces de la representación, como los partidos, que deben ser democráticos por mandato de la propia Constitución: 4 de 9 artículos incumplen, y el de los sindicatos (art. 7) queda pendiente de dato.</w:t>
      </w:r>
    </w:p>
    <w:p>
      <w:r>
        <w:t>9 artículos auditados; 4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 · CUMPLE</w:t>
      </w:r>
    </w:p>
    <w:p>
      <w:r>
        <w:rPr>
          <w:b/>
        </w:rPr>
        <w:t>La norma.</w:t>
      </w:r>
      <w:r>
        <w:t xml:space="preserve"> «España se constituye en un Estado social y democrático de Derecho… La soberanía nacional reside en el pueblo español, del que emanan los poderes del Estado.»</w:t>
      </w:r>
    </w:p>
    <w:p>
      <w:r>
        <w:rPr>
          <w:b/>
        </w:rPr>
        <w:t>El hecho.</w:t>
      </w:r>
      <w:r>
        <w:t xml:space="preserve"> El caso se cuenta en </w:t>
      </w:r>
      <w:r>
        <w:t>7.3</w:t>
      </w:r>
      <w:r>
        <w:t>, n.º 7: el Tribunal Constitucional declaró nulas las leyes catalanas de consultas (STC 31/2015) y del referéndum de autodeterminación (STC 114/2017) y estimó íntegramente el recurso contra la ley catalana de consultas de 2010 (STC 51/2017). El detalle de cada sentencia, en «Frenado por».</w:t>
      </w:r>
      <w:r>
        <w:t xml:space="preserve"> (Art. 1.2 CE; STC 31/2015 (BOE-A-2015-2832); STC 114/2017 (BOE-A-2017-12206); STC 51/2017, de 10-V, rec. 8912-2010)</w:t>
      </w:r>
    </w:p>
    <w:p>
      <w:r>
        <w:rPr>
          <w:b/>
        </w:rPr>
        <w:t>Frenado por.</w:t>
      </w:r>
      <w:r>
        <w:t xml:space="preserve"> STC 31/2015 — Tribunal Constitucional (Pleno), 25-II-2015. Recurso de inconstitucionalidad 5829-2014 (Presidente del Gobierno). Nulidad de los preceptos de la ley catalana 10/2014 relativos a las consultas referendarias generales.</w:t>
      </w:r>
    </w:p>
    <w:p>
      <w:r>
        <w:rPr>
          <w:b/>
        </w:rPr>
        <w:t>Frenado por.</w:t>
      </w:r>
      <w:r>
        <w:t xml:space="preserve"> STC 51/2017 — Tribunal Constitucional (Pleno), 10-V-2017. Recurso de inconstitucionalidad 8912-2010 (Presidente del Gobierno). Estimación íntegra: nulidad de los títulos I y II de la ley catalana 4/2010 y de los preceptos conexos.</w:t>
      </w:r>
    </w:p>
    <w:p>
      <w:r>
        <w:rPr>
          <w:b/>
        </w:rPr>
        <w:t>Frenado por.</w:t>
      </w:r>
      <w:r>
        <w:t xml:space="preserve"> STC 114/2017 — Tribunal Constitucional (Pleno), 17-X-2017. Recurso de inconstitucionalidad 4334-2017 (Abogado del Estado). Nulidad de la ley catalana 19/2017, «del referéndum de autodeterminación».</w:t>
      </w:r>
    </w:p>
    <w:p>
      <w:r>
        <w:t>[17.00-3.1 a 3.6]</w:t>
      </w:r>
    </w:p>
    <w:p>
      <w:pPr>
        <w:pStyle w:val="Heading3"/>
      </w:pPr>
      <w:r>
        <w:t>Artículo 2 · CUMPLE</w:t>
      </w:r>
    </w:p>
    <w:p>
      <w:r>
        <w:rPr>
          <w:b/>
        </w:rPr>
        <w:t>La norma.</w:t>
      </w:r>
      <w:r>
        <w:t xml:space="preserve"> «La Constitución se fundamenta en la indisoluble unidad de la Nación española… y reconoce y garantiza el derecho a la autonomía de las nacionalidades y regiones.»</w:t>
      </w:r>
    </w:p>
    <w:p>
      <w:r>
        <w:rPr>
          <w:b/>
        </w:rPr>
        <w:t>El hecho.</w:t>
      </w:r>
      <w:r>
        <w:t xml:space="preserve"> El art. 155 se aplicó en Cataluña por Acuerdo del Consejo de Ministros de 21 de octubre de 2017, aprobado por el Pleno del Senado el 27 de octubre por mayoría absoluta (214 votos a favor, 47 en contra y una abstención). Las medidas se mantuvieron, según el Acuerdo (apartado E.9), «hasta la toma de posesión del nuevo Gobierno de la Generalitat»: del 27-X-2017 al 2-VI-2018 hay 218 días (cuenta de la obra; el día 2-VI-2018 solo consta en prensa). El Tribunal Constitucional declaró nulas las dos leyes catalanas de 2017 (STC 114/2017, ley 19/2017, y STC 124/2017, ley 20/2017). La obra lo clasifica como cumplimiento por intento frenado, apoyado en esas dos nulidades; el art. 155 y su control por el Tribunal (SSTC 89/2019 y 90/2019) se recogen como contexto, no como corrección.</w:t>
      </w:r>
      <w:r>
        <w:t xml:space="preserve"> (BOE-A-2017-12328 (Orden PRA/1034/2017, apartado E.9); BOE-A-2017-12327 (acuerdo del Senado, 27-X-2017); RD 946/2017 (BOE-A-2017-12330); RD 954/2017 (BOE-A-2017-12560); STC 89/2019 (BOE-A-2019-11901, fallo leído); STC 90/2019 (BOE-A-2019-11902, fallo leído); votación del Senado: Diario de Sesiones del Senado, XII Legislatura, Pleno núm. 24 (BOCG/DS núm. 45), 27-X-2017, leído en el original; cifras de cargos y de afectación económica: Acuerdo del Gobierno de la Generalitat de 13-XI-2018)</w:t>
      </w:r>
    </w:p>
    <w:p>
      <w:r>
        <w:t>Aplicación del art. 155 CE en Cataluña: Acuerdo del Consejo de Ministros de 21 de octubre de 2017 (BOE-A-2017-12328), aprobado por el Pleno del Senado el 27 de octubre de 2017 por mayoría absoluta (214 votos a favor, 47 en contra y una abstención, según el Diario de Sesiones del Senado, leído en el original). Incluyó el cese de altos cargos de la Generalitat (RD 954/2017) y la disolución del Parlamento de Cataluña con convocatoria de elecciones (RD 946/2017). Según el Acuerdo del Gobierno de la Generalitat de 13-XI-2018, que es parte interesada, la afectación económica del 155 en su presupuesto, por pérdida, bloqueo o retraso, supera los 1.800 millones de euros; el impacto directo fue de más de 130 millones; y los 234 son trabajadores públicos cesados, de los que 33 eran altos cargos. El Tribunal Constitucional resolvió dos recursos contra el acuerdo del Senado: la STC 89/2019, de 2 de julio, estimó parcialmente el recurso de más de cincuenta diputados y declaró inconstitucional y nulo el párrafo segundo del apartado E.3 del acuerdo (denegación de efectos jurídicos a lo publicado en el Diario Oficial de la Generalitat), desestimando el recurso en todo lo demás; la STC 90/2019, de la misma fecha, inadmitió parcialmente el recurso del Parlamento de Cataluña, declaró la pérdida sobrevenida de objeto respecto de ese mismo párrafo y lo desestimó en todo lo demás. Las leyes catalanas de 2017 fueron declaradas nulas por el Tribunal Constitucional: la STC 114/2017 (ley 19/2017; véase el artículo 1) y la STC 124/2017, de 8 de noviembre (recurso 4386-2017, ley 20/2017 «de transitoriedad jurídica y fundacional de la República»; fallo leído en el original: estima el recurso y declara la ley inconstitucional y nula). La obra lo clasifica como cumplimiento por intento frenado, apoyado en las nulidades de las dos leyes catalanas (SSTC 114/2017 y 124/2017); el art. 155 y su control por el Tribunal (SSTC 89/2019 y 90/2019) se recogen como contexto, no como corrección.</w:t>
      </w:r>
    </w:p>
    <w:p>
      <w:r>
        <w:rPr>
          <w:b/>
        </w:rPr>
        <w:t>Frenado por.</w:t>
      </w:r>
      <w:r>
        <w:t xml:space="preserve"> STC 114/2017 — Tribunal Constitucional (Pleno), 17-X-2017. Recurso de inconstitucionalidad 4334-2017 (Abogado del Estado). Nulidad de la ley catalana 19/2017, «del referéndum de autodeterminación».</w:t>
      </w:r>
    </w:p>
    <w:p>
      <w:r>
        <w:rPr>
          <w:b/>
        </w:rPr>
        <w:t>Frenado por.</w:t>
      </w:r>
      <w:r>
        <w:t xml:space="preserve"> STC 124/2017 — Tribunal Constitucional (Pleno), 8-XI-2017. Recurso de inconstitucionalidad 4386-2017 (Presidente del Gobierno). Nulidad de la ley catalana 20/2017, «de transitoriedad jurídica y fundacional de la República»; la cabecera la encuadra en la soberanía nacional y la unidad de la Nación.</w:t>
      </w:r>
    </w:p>
    <w:p>
      <w:r>
        <w:rPr>
          <w:b/>
        </w:rPr>
        <w:t>Frenado por.</w:t>
      </w:r>
      <w:r>
        <w:t xml:space="preserve"> SSTC 89/2019 y 90/2019 (contexto, no es la base de la clasificación) — Tribunal Constitucional (Pleno), 2-VII-2019 (ambas). Recursos de inconstitucionalidad 5884-2017 y 143-2018 contra el acuerdo del Senado de 27-X-2017 (art. 155). Avalaron en lo sustancial la aplicación del art. 155 y anularon el párrafo 2.º del apartado E.3 del acuerdo.</w:t>
      </w:r>
    </w:p>
    <w:p>
      <w:r>
        <w:t>[17.00-4.1 a 4.6]</w:t>
      </w:r>
    </w:p>
    <w:p>
      <w:pPr>
        <w:pStyle w:val="Heading3"/>
      </w:pPr>
      <w:r>
        <w:t>Artículo 3.1 · INCUMPLE</w:t>
      </w:r>
    </w:p>
    <w:p>
      <w:r>
        <w:rPr>
          <w:b/>
        </w:rPr>
        <w:t>La norma.</w:t>
      </w:r>
      <w:r>
        <w:t xml:space="preserve"> «El castellano es la lengua española oficial del Estado. Todos los españoles tienen el deber de conocerla y el derecho a usarla.»</w:t>
      </w:r>
    </w:p>
    <w:p>
      <w:r>
        <w:rPr>
          <w:b/>
        </w:rPr>
        <w:t>El hecho.</w:t>
      </w:r>
      <w:r>
        <w:t xml:space="preserve"> El caso se cuenta en </w:t>
      </w:r>
      <w:r>
        <w:t>7.3</w:t>
      </w:r>
      <w:r>
        <w:t>, n.º 2 y 3: la supresión de «lengua vehicular» en 2020, la sentencia del Tribunal Superior de Cataluña de 2020 y su ejecución. Lo que allí no está: el recurso del Partido Popular contra la ley (recurso 1828-2021) fue desestimado íntegramente por la STC 49/2023, de 10 de mayo; y la prueba del pleito dio una media de horas en castellano del 18 % en primaria, el 19 % en la ESO y el 26 % en el bachillerato, antes de la sentencia.</w:t>
      </w:r>
      <w:r>
        <w:t xml:space="preserve"> (LO 3/2020 (BOE-A-2020-17264); rec. 1828-2021 ante el TC; STSJ Cataluña, Secc. 5ª, 16-XII-2020 (rec. 168/2015); SSTS 23 y 28-IV-2015; TSJ de Cataluña, autos de 4-V-2022 y 28-VII-2022 (ATSJ CAT 421/2022); cuestión de inconstitucionalidad 6052-2022 (BOE-A-2022-18184))</w:t>
      </w:r>
    </w:p>
    <w:p>
      <w:r>
        <w:t>[17.00-5.1 a 5.3]</w:t>
      </w:r>
    </w:p>
    <w:p>
      <w:pPr>
        <w:pStyle w:val="Heading3"/>
      </w:pPr>
      <w:r>
        <w:t>Artículo 4 · INCUMPLE</w:t>
      </w:r>
    </w:p>
    <w:p>
      <w:r>
        <w:rPr>
          <w:b/>
        </w:rPr>
        <w:t>La norma.</w:t>
      </w:r>
      <w:r>
        <w:t xml:space="preserve"> «La bandera de España está formada por tres franjas horizontales, roja, amarilla y roja…»</w:t>
      </w:r>
    </w:p>
    <w:p>
      <w:r>
        <w:rPr>
          <w:b/>
        </w:rPr>
        <w:t>El hecho.</w:t>
      </w:r>
      <w:r>
        <w:t xml:space="preserve"> Sentencia del Juzgado de lo Contencioso-Administrativo n.º 2 de Bilbao contra el Ayuntamiento de Erandio (Vizcaya), que obligó a restituir la bandera de España y el retrato del Rey por incumplimiento de la Ley 39/1981, tras un proceso iniciado por el Partido Popular municipal en 2025. La sentencia no se ha leído en su original.</w:t>
      </w:r>
      <w:r>
        <w:t xml:space="preserve"> (Juzgado de lo Contencioso-Administrativo nº 2 de Bilbao; Ley 39/1981)</w:t>
      </w:r>
    </w:p>
    <w:p>
      <w:r>
        <w:t>[17.00-6.1 a 6.3]</w:t>
      </w:r>
    </w:p>
    <w:p>
      <w:pPr>
        <w:pStyle w:val="Heading3"/>
      </w:pPr>
      <w:r>
        <w:t>Artículo 5 · CUMPLE</w:t>
      </w:r>
    </w:p>
    <w:p>
      <w:r>
        <w:rPr>
          <w:b/>
        </w:rPr>
        <w:t>La norma.</w:t>
      </w:r>
      <w:r>
        <w:t xml:space="preserve"> «La capital del Estado es la villa de Madrid.»</w:t>
      </w:r>
    </w:p>
    <w:p>
      <w:r>
        <w:rPr>
          <w:b/>
        </w:rPr>
        <w:t>El hecho.</w:t>
      </w:r>
      <w:r>
        <w:t xml:space="preserve"> Sin ningún conflicto legal, propuesta de reforma ni cuestionamiento formal localizado. Ninguna de las cuatro reformas constitucionales reales (1992, 2011, 2024, 2026) ha tocado este artículo.</w:t>
      </w:r>
      <w:r>
        <w:t xml:space="preserve"> (Búsqueda sin hallazgos de conflicto)</w:t>
      </w:r>
    </w:p>
    <w:p>
      <w:r>
        <w:t>[17.00-7.1 a 7.3]</w:t>
      </w:r>
    </w:p>
    <w:p>
      <w:pPr>
        <w:pStyle w:val="Heading3"/>
      </w:pPr>
      <w:r>
        <w:t>Artículo 6 · INCUMPLE · con declaración formal externa</w:t>
      </w:r>
    </w:p>
    <w:p>
      <w:r>
        <w:rPr>
          <w:b/>
        </w:rPr>
        <w:t>La norma.</w:t>
      </w:r>
      <w:r>
        <w:t xml:space="preserve"> «Los partidos políticos expresan el pluralismo político… Su estructura interna y funcionamiento deberán ser democráticos.»</w:t>
      </w:r>
    </w:p>
    <w:p>
      <w:r>
        <w:rPr>
          <w:b/>
        </w:rPr>
        <w:t>Declaración formal externa.</w:t>
      </w:r>
      <w:r>
        <w:t xml:space="preserve"> El Grupo de Estados contra la Corrupción del Consejo de Europa (GRECO), en su Tercera Ronda de Evaluación (2009), dirigió a España quince recomendaciones, seis de ellas sobre la transparencia de la financiación de los partidos políticos (el caso, en </w:t>
      </w:r>
      <w:r>
        <w:t>7.3</w:t>
      </w:r>
      <w:r>
        <w:t>, n.º 8). En el primer informe de cumplimiento (2011) no se había cumplido del todo ninguna de esas seis; tras la reforma de la LO 3/2015, la segunda adenda (2016) dio cinco de seis por cumplidas o atendidas de forma satisfactoria y una por cumplida en parte, y pidió asegurar que las fundaciones y asociaciones vinculadas a partidos no se usen «como una vía paralela para la financiación fraudulenta de las actividades ordinarias y de campaña» de los partidos («as a parallel avenue for fraudulent funding of routine and campaign activities»).</w:t>
      </w:r>
      <w:r>
        <w:t xml:space="preserve"> (Art. 6 CE; GRECO, Tercera Ronda de Evaluación (2009), Tema II; informe de cumplimiento (2011) y segunda adenda al segundo informe de cumplimiento (2016), párrs. 29, 63 y 65; LO 3/2015)</w:t>
      </w:r>
    </w:p>
    <w:p>
      <w:r>
        <w:t>[17.00-8.1, 9.1 y 9.2]</w:t>
      </w:r>
    </w:p>
    <w:p>
      <w:pPr>
        <w:pStyle w:val="Heading3"/>
      </w:pPr>
      <w:r>
        <w:t>Artículo 7 · PENDIENTE</w:t>
      </w:r>
    </w:p>
    <w:p>
      <w:r>
        <w:rPr>
          <w:b/>
        </w:rPr>
        <w:t>La norma.</w:t>
      </w:r>
      <w:r>
        <w:t xml:space="preserve"> «Los sindicatos de trabajadores y las asociaciones empresariales contribuyen a la defensa y promoción de los intereses económicos y sociales que les son propios. Su creación y el ejercicio de su actividad son libres dentro del respeto a la Constitución y a la ley. Su estructura interna y funcionamiento deberán ser democráticos.»</w:t>
      </w:r>
    </w:p>
    <w:p>
      <w:r>
        <w:rPr>
          <w:b/>
        </w:rPr>
        <w:t>El hecho.</w:t>
      </w:r>
      <w:r>
        <w:t xml:space="preserve"> El hecho que sostiene este estado va a flecos: no se ha leído en su fuente. Pasa a PENDIENTE (8-oct-2026) porque el único hecho leído, el informe n.º 1.055 del Tribunal de Cuentas (30-X-2014), trata de un contrato concreto que cumplía la disposición adicional que lo amparaba, y no muestra que se incumpla el art. 7.</w:t>
      </w:r>
    </w:p>
    <w:p>
      <w:r>
        <w:t>[17.00-10.1]</w:t>
      </w:r>
    </w:p>
    <w:p>
      <w:pPr>
        <w:pStyle w:val="Heading3"/>
      </w:pPr>
      <w:r>
        <w:t>Artículo 8 · INCUMPLE</w:t>
      </w:r>
    </w:p>
    <w:p>
      <w:r>
        <w:rPr>
          <w:b/>
        </w:rPr>
        <w:t>La norma.</w:t>
      </w:r>
      <w:r>
        <w:t xml:space="preserve"> «Las Fuerzas Armadas… tienen como misión garantizar la soberanía e independencia de España, defender su integridad territorial y el ordenamiento constitucional.»</w:t>
      </w:r>
    </w:p>
    <w:p>
      <w:r>
        <w:rPr>
          <w:b/>
        </w:rPr>
        <w:t>El hecho.</w:t>
      </w:r>
      <w:r>
        <w:t xml:space="preserve"> El compromiso OTAN del 2 % del PIB en Defensa se fijó en 2014. Las cifras de la propia OTAN para el gasto de España en 2024 son estimaciones sucesivas: 1,28 % (junio de 2024), 1,43 % (informe de 2025) y 1,42 % (dato cerrado, informe de 2026); no hay dos metodologías enfrentadas. En 2025 España declaró alcanzar el 2 % por primera vez.</w:t>
      </w:r>
      <w:r>
        <w:t xml:space="preserve"> (Ministerio de Defensa; OTAN, informes sobre el gasto en defensa (2024, 2025 y 2026), Tabla 3)</w:t>
      </w:r>
    </w:p>
    <w:p>
      <w:r>
        <w:t>[17.00-11.1 a 11.3]</w:t>
      </w:r>
    </w:p>
    <w:p>
      <w:pPr>
        <w:pStyle w:val="Heading3"/>
      </w:pPr>
      <w:r>
        <w:t>Artículo 9.3 · CUMPLE</w:t>
      </w:r>
    </w:p>
    <w:p>
      <w:r>
        <w:rPr>
          <w:b/>
        </w:rPr>
        <w:t>La norma.</w:t>
      </w:r>
      <w:r>
        <w:t xml:space="preserve"> «La Constitución garantiza el principio de legalidad, la jerarquía normativa, la publicidad de las normas, la irretroactividad de las disposiciones sancionadoras no favorables o restrictivas de derechos individuales, la seguridad jurídica, la responsabilidad y la interdicción de la arbitrariedad de los poderes públicos.»</w:t>
      </w:r>
    </w:p>
    <w:p>
      <w:r>
        <w:rPr>
          <w:b/>
        </w:rPr>
        <w:t>El hecho.</w:t>
      </w:r>
      <w:r>
        <w:t xml:space="preserve"> Un comentario jurídico de 2019 </w:t>
      </w:r>
      <w:r>
        <w:t>(Miguel Hernández Serna, El Derecho (Tribuna), 25-III-2019; fuente secundaria)</w:t>
      </w:r>
      <w:r>
        <w:t xml:space="preserve"> dice que el Tribunal Constitucional «ha perdido la ocasión» en la STC 45/2018 y la STC 51/2018 de aplicar por primera vez la irretroactividad de disposiciones restrictivas de derechos frente al legislador — cuarenta años después de la Constitución, según ese comentario, nunca se había aplicado. La interpretación del propio Tribunal es restrictiva: solo protege la retroactividad «auténtica o de grado máximo», y excluye expresamente de su protección la propiedad y la materia tributaria. Los intentos de aplicarlo contra la supresión de la paga extra de diciembre de 2012 (STC 104/2016 y STC 4/2016) se resolvieron por pérdida de objeto, sin entrar al fondo.</w:t>
      </w:r>
      <w:r>
        <w:t xml:space="preserve"> (STC 45/2018, de 26-IV; STC 51/2018, de 10-V; STC 104/2016; STC 4/2016; STC 173/1996)</w:t>
      </w:r>
    </w:p>
    <w:p>
      <w:r>
        <w:t>[17.00-12.1 a 12.3]</w:t>
      </w:r>
    </w:p>
    <w:p>
      <w:r>
        <w:rPr>
          <w:b/>
        </w:rPr>
        <w:t>La mejor defensa del Estado.</w:t>
      </w:r>
      <w:r>
        <w:t xml:space="preserve"> Los pilares del Estado —social y democrático de Derecho, soberanía popular, pluralismo— funcionan; lo que falla son casos concretos, como el uso de una lengua en la escuela o una bandera en un ayuntamiento, y los tribunales los corrigen.</w:t>
      </w:r>
    </w:p>
    <w:p>
      <w:r>
        <w:rPr>
          <w:i/>
        </w:rPr>
        <w:t>Los contrapuntos de la obra:</w:t>
      </w:r>
      <w:r>
        <w:t xml:space="preserve"> 1) Los que incumplen son precisamente los cauces de la representación: los partidos políticos: de las seis recomendaciones del Consejo de Europa sobre su financiación, en 2011 no se había cumplido del todo ninguna, y en 2016 una seguía a medias, con el aviso de que las fundaciones vinculadas no se usen como vía paralela de financiación fraudulenta (art. 6). 2) La soberanía «reside en el pueblo» (art. 1.2), pero quienes no votaron la Constitución en 1978 nunca la ratificaron, y no hay forma de retirar ese consentimiento salvo la reforma (art. 168; </w:t>
      </w:r>
      <w:r>
        <w:t>5.2</w:t>
      </w:r>
      <w:r>
        <w:t>). 3) Que un tribunal tenga que obligar a un ayuntamiento a cumplir la ley (art. 4) confirma el incumplimiento, no lo desmiente.</w:t>
      </w:r>
    </w:p>
    <w:p>
      <w:r>
        <w:t>[17.00-223.1, 224.1 a 224.3]</w:t>
      </w:r>
    </w:p>
    <w:p>
      <w:pPr>
        <w:pStyle w:val="Heading2"/>
      </w:pPr>
      <w:r>
        <w:t>A.2 Título I. Derechos y deberes fundamentales</w:t>
      </w:r>
    </w:p>
    <w:p>
      <w:pPr>
        <w:pBdr>
          <w:left w:val="single" w:sz="24" w:space="6" w:color="E2DED6"/>
        </w:pBdr>
        <w:shd w:val="clear" w:color="auto" w:fill="F1EEE8"/>
        <w:spacing w:before="80" w:after="160"/>
        <w:ind w:left="142" w:right="142"/>
      </w:pPr>
      <w:r>
        <w:rPr>
          <w:b/>
        </w:rPr>
        <w:t>La idea: el título de los derechos es el que más incumple, 25 de sus 46 artículos, y es el que el ciudadano toca cada día.</w:t>
      </w:r>
    </w:p>
    <w:p>
      <w:r>
        <w:t>46 artículos auditados; 25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10.1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27</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31.1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32.1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37.1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46</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53.3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10.1 · INCUMPLE</w:t>
      </w:r>
    </w:p>
    <w:p>
      <w:r>
        <w:rPr>
          <w:b/>
        </w:rPr>
        <w:t>La norma.</w:t>
      </w:r>
      <w:r>
        <w:t xml:space="preserve"> «La dignidad de la persona, los derechos inviolables que le son inherentes… son fundamento del orden político y de la paz social.»</w:t>
      </w:r>
    </w:p>
    <w:p>
      <w:r>
        <w:rPr>
          <w:b/>
        </w:rPr>
        <w:t>El hecho.</w:t>
      </w:r>
      <w:r>
        <w:t xml:space="preserve"> Caso documentado de okupación en Torrejón de Ardoz (agosto de 2025): la policía hizo salir a la familia de la propietaria, una mujer de noventa años, del piso que había sido de su hijo fallecido y que tenía alquilado, tras denunciarlos por allanamiento un inquilino que había dejado de pagar y se había hecho con el control del piso; un caso que ilustra el punto en que la protección formal de la dignidad choca con la demora práctica de la tutela.</w:t>
      </w:r>
      <w:r>
        <w:t xml:space="preserve"> (ABC, 20-VIII-2025 (entrevista a la familia), e Idealista News, 12-IX-2025, fuente secundaria: prensa (no se encontró corroboración municipal ni judicial); art. 10.1 CE)</w:t>
      </w:r>
    </w:p>
    <w:p>
      <w:r>
        <w:t>[17.00-14.1 a 14.3]</w:t>
      </w:r>
    </w:p>
    <w:p>
      <w:pPr>
        <w:pStyle w:val="Heading3"/>
      </w:pPr>
      <w:r>
        <w:t>Artículo 11 · CUMPLE</w:t>
      </w:r>
    </w:p>
    <w:p>
      <w:r>
        <w:rPr>
          <w:b/>
        </w:rPr>
        <w:t>La norma.</w:t>
      </w:r>
      <w:r>
        <w:t xml:space="preserve"> «Ningún español de origen podrá ser privado de su nacionalidad.»</w:t>
      </w:r>
    </w:p>
    <w:p>
      <w:r>
        <w:rPr>
          <w:b/>
        </w:rPr>
        <w:t>El hecho.</w:t>
      </w:r>
      <w:r>
        <w:t xml:space="preserve"> Ningún caso encontrado de privación de nacionalidad a un español de origen, consistente con la prohibición absoluta. El mecanismo de doble nacionalidad con países iberoamericanos, Andorra, Filipinas, Guinea Ecuatorial y Portugal está confirmado y operativo, pero no se localizó la cifra exacta del número de tratados vigentes pese a la búsqueda.</w:t>
      </w:r>
      <w:r>
        <w:t xml:space="preserve"> (Art. 11 CE; art. 24 del Código Civil)</w:t>
      </w:r>
    </w:p>
    <w:p>
      <w:r>
        <w:t>[17.00-15.1 a 15.3]</w:t>
      </w:r>
    </w:p>
    <w:p>
      <w:pPr>
        <w:pStyle w:val="Heading3"/>
      </w:pPr>
      <w:r>
        <w:t>Artículo 12 · CUMPLE</w:t>
      </w:r>
    </w:p>
    <w:p>
      <w:r>
        <w:rPr>
          <w:b/>
        </w:rPr>
        <w:t>La norma.</w:t>
      </w:r>
      <w:r>
        <w:t xml:space="preserve"> «Los españoles son mayores de edad a los dieciocho años.»</w:t>
      </w:r>
    </w:p>
    <w:p>
      <w:r>
        <w:rPr>
          <w:b/>
        </w:rPr>
        <w:t>El hecho.</w:t>
      </w:r>
      <w:r>
        <w:t xml:space="preserve"> Sin reforma desde 1978. Existe una excepción foral aragonesa vía la Disposición Adicional 2ª CE: el matrimonio otorga directamente la mayoría de edad al menor casado (no la emancipación, que en el Derecho aragonés es un estatus distinto y de menor alcance, obtenible desde los 14 años por otra vía), y una tendencia legal posterior (Código Civil, Ley 25/2010) hacia criterios de «capacidad natural» (Código civil de Cataluña, Ley 25/2010, art. 211-3.1) y de «suficiente madurez» (Código Civil, arts. 154 y 156), como complemento, sin tocar el umbral constitucional.</w:t>
      </w:r>
      <w:r>
        <w:t xml:space="preserve"> (Art. 12 CE; Código Civil; Ley 25/2010)</w:t>
      </w:r>
    </w:p>
    <w:p>
      <w:r>
        <w:t>[17.00-16.1 a 16.3]</w:t>
      </w:r>
    </w:p>
    <w:p>
      <w:pPr>
        <w:pStyle w:val="Heading3"/>
      </w:pPr>
      <w:r>
        <w:t>Artículo 13 · INCUMPLE</w:t>
      </w:r>
    </w:p>
    <w:p>
      <w:r>
        <w:rPr>
          <w:b/>
        </w:rPr>
        <w:t>La norma.</w:t>
      </w:r>
      <w:r>
        <w:t xml:space="preserve"> «Los extranjeros gozarán en España de las libertades públicas que garantiza el presente Título en los términos que establezcan los tratados y la ley.»</w:t>
      </w:r>
    </w:p>
    <w:p>
      <w:r>
        <w:rPr>
          <w:b/>
        </w:rPr>
        <w:t>El hecho.</w:t>
      </w:r>
      <w:r>
        <w:t xml:space="preserve"> El Defensor del Pueblo dice en su informe de 2025 que las «preocupantes demoras en la tramitación de los procedimientos» de las oficinas de extranjería fueron «objeto de numerosas quejas», y que, ante «las demoras que continúan acumulando determinadas oficinas de extranjería en la tramitación de los distintos expedientes y las graves consecuencias que tienen, no solo para las personas extranjeras, sino también para sus empleadores», considera necesaria «la adopción de medidas dirigidas a la incorporación de más personal». En una sugerencia de 7-IV-2026, sobre la autorización de residencia de un familiar de ciudadano español, recuerda que el Reglamento de Extranjería (RD 1155/2024, arts. 93 a 99) fija «un plazo máximo de resolución y notificación de dos meses desde la presentación de la solicitud» y recoge que el tiempo medio informado por la oficina para resolver ese tipo de expedientes es de 167 días: «Estas demoras son comunes a la práctica totalidad de las oficinas de extranjería».</w:t>
      </w:r>
      <w:r>
        <w:t xml:space="preserve"> (Defensor del Pueblo, Informe anual 2025, apartado 4.8, págs. 176 y 177; Defensor del Pueblo, resolución de 7-IV-2026 (queja 26008033))</w:t>
      </w:r>
    </w:p>
    <w:p>
      <w:r>
        <w:t>[17.00-17.1 y 17.2]</w:t>
      </w:r>
    </w:p>
    <w:p>
      <w:pPr>
        <w:pStyle w:val="Heading3"/>
      </w:pPr>
      <w:r>
        <w:t>Artículo 14 · INCUMPLE · con declaración formal externa</w:t>
      </w:r>
    </w:p>
    <w:p>
      <w:r>
        <w:rPr>
          <w:b/>
        </w:rPr>
        <w:t>La norma.</w:t>
      </w:r>
      <w:r>
        <w:t xml:space="preserve"> «Los españoles son iguales ante la ley, sin que pueda prevalecer discriminación alguna por razón de nacimiento, raza, sexo, religión, opinión o cualquier otra condición o circunstancia personal o social.»</w:t>
      </w:r>
    </w:p>
    <w:p>
      <w:r>
        <w:rPr>
          <w:b/>
        </w:rPr>
        <w:t>Declaración formal externa.</w:t>
      </w:r>
      <w:r>
        <w:t xml:space="preserve"> La brecha salarial de género se sitúa en el 16,1% (INE 2024), extendida al 17% en desempleo y al 31,1 % en la pensión media de jubilación (2024). La STC 79/2020, de 2 de julio (recurso de amparo 500-2019) declaró discriminación indirecta por sexo contra una trabajadora que redujo su jornada por cuidado de un hijo; la STC 108/2019 declaró discriminación directa por maternidad en el INE. El propio Tribunal reconoció en 2019 que solo actúa cuando alguien recurre caso por caso, no de oficio.</w:t>
      </w:r>
      <w:r>
        <w:t xml:space="preserve"> (INE 2024; STC 79/2020, de 2-VII, rec. 500-2019 (BOE-A-2020-8960, fallo leído en el original); STC 108/2019; STC 76/1990; STC 145/1991)</w:t>
      </w:r>
    </w:p>
    <w:p>
      <w:r>
        <w:t>[17.00-18.1, 19.1 y 19.2]</w:t>
      </w:r>
    </w:p>
    <w:p>
      <w:pPr>
        <w:pStyle w:val="Heading3"/>
      </w:pPr>
      <w:r>
        <w:t>Artículo 15 · INCUMPLE · con declaración formal externa</w:t>
      </w:r>
    </w:p>
    <w:p>
      <w:r>
        <w:rPr>
          <w:b/>
        </w:rPr>
        <w:t>La norma.</w:t>
      </w:r>
      <w:r>
        <w:t xml:space="preserve"> «Todos tienen derecho a la vida y a la integridad física y moral, sin que, en ningún caso, puedan ser sometidos a tortura ni a penas o tratos inhumanos o degradantes.»</w:t>
      </w:r>
    </w:p>
    <w:p>
      <w:r>
        <w:rPr>
          <w:b/>
        </w:rPr>
        <w:t>Declaración formal externa.</w:t>
      </w:r>
      <w:r>
        <w:t xml:space="preserve"> El TEDH ha condenado a España entre 9 y 10 veces por violación del art. 3 CEDH en su vertiente procesal (investigación insuficiente de tortura o malos tratos), 8 de ellas vinculadas a detención incomunicada por terrorismo y 1 por maltrato policial sin detención. Casos: la demanda 3344/13 y el del director del diario Egunkaria.</w:t>
      </w:r>
      <w:r>
        <w:t xml:space="preserve"> (TEDH, demanda 3344/13; caso del director de Egunkaria)</w:t>
      </w:r>
    </w:p>
    <w:p>
      <w:r>
        <w:t>[17.00-20.1, 21.1 y 21.2]</w:t>
      </w:r>
    </w:p>
    <w:p>
      <w:pPr>
        <w:pStyle w:val="Heading3"/>
      </w:pPr>
      <w:r>
        <w:t>Artículo 16 · CUMPLE</w:t>
      </w:r>
    </w:p>
    <w:p>
      <w:r>
        <w:rPr>
          <w:b/>
        </w:rPr>
        <w:t>La norma.</w:t>
      </w:r>
      <w:r>
        <w:t xml:space="preserve"> «Ninguna confesión tendrá carácter estatal.»</w:t>
      </w:r>
    </w:p>
    <w:p>
      <w:r>
        <w:rPr>
          <w:b/>
        </w:rPr>
        <w:t>El hecho.</w:t>
      </w:r>
      <w:r>
        <w:t xml:space="preserve"> La asignación de IRPF a la Iglesia Católica en 2024 ascendió a 429.335.080 €, un 12% más interanual, con 7.946.347 declaraciones marcando la casilla — mecanismo del Acuerdo España-Santa Sede de 1979, modificado por la Ley 42/2006 (0,7% de la cuota íntegra, sin financiación directa de los PGE desde entonces). La tendencia es a la baja: de un peso del 28,5 % de la cuota íntegra de todas las declaraciones en 2007 al 15,4 % en 2024 (la casilla «solo Iglesia»; en número de declaraciones, el 10,1 % en 2024), y el 39,5% de declarantes no marcó ninguna casilla en 2024. No se encontró sentencia o informe que cuestione la compatibilidad con la aconfesionalidad.</w:t>
      </w:r>
      <w:r>
        <w:t xml:space="preserve"> (Agencia Tributaria, datos IRPF 2024; Ley 42/2006; Acuerdo España-Santa Sede (1979))</w:t>
      </w:r>
    </w:p>
    <w:p>
      <w:r>
        <w:t>[17.00-22.1 a 22.3]</w:t>
      </w:r>
    </w:p>
    <w:p>
      <w:pPr>
        <w:pStyle w:val="Heading3"/>
      </w:pPr>
      <w:r>
        <w:t>Artículo 17 · INCUMPLE · con declaración formal externa</w:t>
      </w:r>
    </w:p>
    <w:p>
      <w:r>
        <w:rPr>
          <w:b/>
        </w:rPr>
        <w:t>La norma.</w:t>
      </w:r>
      <w:r>
        <w:t xml:space="preserve"> «La detención preventiva no podrá durar más del tiempo estrictamente necesario para la realización de las averiguaciones tendentes al esclarecimiento de los hechos, y, en todo caso, en el plazo máximo de setenta y dos horas, el detenido deberá ser puesto en libertad o a disposición de la autoridad judicial.»</w:t>
      </w:r>
    </w:p>
    <w:p>
      <w:r>
        <w:rPr>
          <w:b/>
        </w:rPr>
        <w:t>Declaración formal externa.</w:t>
      </w:r>
      <w:r>
        <w:t xml:space="preserve"> Patrón repetido, no caso aislado: el Tribunal Constitucional ha declarado vulnerado el art. 17.4 por el mismo tipo de vulneración (denegar la incoación del </w:t>
      </w:r>
      <w:r>
        <w:rPr>
          <w:i/>
        </w:rPr>
        <w:t>habeas corpus</w:t>
      </w:r>
      <w:r>
        <w:t xml:space="preserve"> «por razones de fondo», sin oír al detenido) en cinco sentencias entre 2021 y 2026: STC 73/2021 (un hombre detenido en Badajoz el 8-XI-2019), STC 49/2022 (detenida durante el confinamiento, en Madrid), STC 103/2022, STC 85/2024 y STC 21/2026. La doctrina, tal como la formula la STC 73/2021 (FJ 4): «fundamentar la decisión de no admisión en que el recurrente no se encontraba ilícitamente privado de libertad… vulnera el art. 17.4 CE.»</w:t>
      </w:r>
      <w:r>
        <w:t xml:space="preserve"> (STC 73/2021, de 18-III; STC 49/2022; STC 103/2022; STC 85/2024; STC 21/2026, de 10-III)</w:t>
      </w:r>
      <w:r>
        <w:br/>
      </w:r>
      <w:r>
        <w:rPr>
          <w:b/>
        </w:rPr>
        <w:t>leída en su fuente · STC 73/2021, de 18-III; STC 49/2022; STC 103/2022; STC 85/2024; STC 21/2026, de 10-III</w:t>
      </w:r>
      <w:r>
        <w:br/>
      </w:r>
      <w:r>
        <w:rPr>
          <w:b/>
        </w:rPr>
        <w:t>Archivo leído:</w:t>
      </w:r>
      <w:r>
        <w:t xml:space="preserve"> TC_STC_73-2021_habeas_corpus_HJ26657.html; TC_STC_49-2022_habeas_corpus_HJ27947.html; TC_STC_103-2022_habeas_corpus_HJ29067.html; TC_STC_85-2024_habeas_corpus_HJ30192.html; TC_STC_21-2026_habeas_corpus_HJ32070.html (c9c\TC_STC_73-2021_habeas_corpus_HJ26657.html; c9c\TC_STC_49-2022_habeas_corpus_HJ27947.html) · contraste del archivo de pasajes: ✔</w:t>
      </w:r>
      <w:r>
        <w:br/>
      </w:r>
      <w:r>
        <w:rPr>
          <w:b/>
        </w:rPr>
        <w:t>Lugar:</w:t>
      </w:r>
      <w:r>
        <w:t xml:space="preserve"> STC 73/2021, FJ 4</w:t>
      </w:r>
      <w:r>
        <w:br/>
      </w:r>
      <w:r>
        <w:rPr>
          <w:b/>
        </w:rPr>
        <w:t>Dirección:</w:t>
      </w:r>
      <w:r>
        <w:t xml:space="preserve"> </w:t>
      </w:r>
      <w:r>
        <w:t>https://hj.tribunalconstitucional.es/es/Resolucion/Show/26657</w:t>
      </w:r>
      <w:r>
        <w:t xml:space="preserve"> ; </w:t>
      </w:r>
      <w:r>
        <w:t>…/27947</w:t>
      </w:r>
      <w:r>
        <w:t xml:space="preserve"> ; </w:t>
      </w:r>
      <w:r>
        <w:t>…/29067</w:t>
      </w:r>
      <w:r>
        <w:t xml:space="preserve"> ; </w:t>
      </w:r>
      <w:r>
        <w:t>…/30192</w:t>
      </w:r>
      <w:r>
        <w:t xml:space="preserve"> ; </w:t>
      </w:r>
      <w:r>
        <w:t>…/32070</w:t>
      </w:r>
      <w:r>
        <w:br/>
      </w:r>
      <w:r>
        <w:rPr>
          <w:b/>
        </w:rPr>
        <w:t>Tal como está en la fuente:</w:t>
      </w:r>
      <w:r>
        <w:t xml:space="preserve"> aun cuando la Ley Orgánica de regulación del procedimiento de habeas corpus posibilita denegar la incoación del correspondiente procedimiento, fundamentar la decisión de no admisión en que el recurrente no se encontraba ilícitamente privado de libertad, por no concurrir ninguno de los supuestos del art. 1 LOHC, vulnera el art. 17.4 CE, ya que implica una resolución sobre el fondo que solo puede ser valorada y enjuiciada después de sustanciado el procedimiento y oído el detenido, con intervención del Ministerio Fiscal.</w:t>
      </w:r>
    </w:p>
    <w:p>
      <w:r>
        <w:t>[17.00-23.1, 24.1 y 24.2]</w:t>
      </w:r>
    </w:p>
    <w:p>
      <w:pPr>
        <w:pStyle w:val="Heading3"/>
      </w:pPr>
      <w:r>
        <w:t>Artículo 18 · INCUMPLE</w:t>
      </w:r>
    </w:p>
    <w:p>
      <w:r>
        <w:rPr>
          <w:b/>
        </w:rPr>
        <w:t>La norma.</w:t>
      </w:r>
      <w:r>
        <w:t xml:space="preserve"> «Se garantiza el derecho al honor, a la intimidad personal y familiar y a la propia imagen» y «el secreto de las comunicaciones.»</w:t>
      </w:r>
    </w:p>
    <w:p>
      <w:r>
        <w:rPr>
          <w:b/>
        </w:rPr>
        <w:t>El hecho.</w:t>
      </w:r>
      <w:r>
        <w:t xml:space="preserve"> Caso CatalanGate: el informe de Citizen Lab (Universidad de Toronto, abril de 2022) identificó a 65 personas —expresidentes de la Generalitat, eurodiputados, activistas y abogados— con infecciones confirmadas o intentadas de Pegasus. La directora del CNI admitió ante el Congreso el espionaje a 18 de 67 nombres, con autorización del Tribunal Supremo. La causa de CatalanGate sigue repartida entre varios juzgados de Barcelona sin cerrar, con riesgo de prescripción. Aparte, y sin relación judicial con este caso, el espionaje con Pegasus a teléfonos de miembros del propio Gobierno español, instruido en la Audiencia Nacional, fue archivado provisionalmente por segunda vez, por falta de cooperación de Israel.</w:t>
      </w:r>
      <w:r>
        <w:t xml:space="preserve"> (Citizen Lab, informe de 18-IV-2022; comparecencia de la directora del CNI ante el Congreso; Audiencia Nacional, auto de sobreseimiento provisional de 22-I-2026 (caso distinto: espionaje al Gobierno español, no CatalanGate))</w:t>
      </w:r>
    </w:p>
    <w:p>
      <w:r>
        <w:t>[17.00-25.1 a 25.3]</w:t>
      </w:r>
    </w:p>
    <w:p>
      <w:pPr>
        <w:pStyle w:val="Heading3"/>
      </w:pPr>
      <w:r>
        <w:t>Artículo 19 · INCUMPLE · con declaración formal externa</w:t>
      </w:r>
    </w:p>
    <w:p>
      <w:r>
        <w:rPr>
          <w:b/>
        </w:rPr>
        <w:t>La norma.</w:t>
      </w:r>
      <w:r>
        <w:t xml:space="preserve"> «Los españoles tienen derecho a elegir libremente su residencia y a circular por el territorio nacional.»</w:t>
      </w:r>
    </w:p>
    <w:p>
      <w:r>
        <w:rPr>
          <w:b/>
        </w:rPr>
        <w:t>Declaración formal externa.</w:t>
      </w:r>
      <w:r>
        <w:t xml:space="preserve"> La STC 148/2021, de 14 de julio, declaró que el confinamiento domiciliario del RD 463/2020 fue una suspensión, no una simple limitación, de la libertad de circulación — y la suspensión de este derecho solo cabe en estado de excepción, no en estado de alarma. El estado de alarma es el instrumento jurídicamente más débil disponible para una restricción de este calado.</w:t>
      </w:r>
      <w:r>
        <w:t xml:space="preserve"> (STC 148/2021, de 14-VII (BOE-A-2021-13032); STC 183/2021, de 27-X)</w:t>
      </w:r>
    </w:p>
    <w:p>
      <w:r>
        <w:t>[17.00-26.1, 27.1 y 27.2]</w:t>
      </w:r>
    </w:p>
    <w:p>
      <w:pPr>
        <w:pStyle w:val="Heading3"/>
      </w:pPr>
      <w:r>
        <w:t>Artículo 20 · INCUMPLE · con declaración formal externa</w:t>
      </w:r>
    </w:p>
    <w:p>
      <w:r>
        <w:rPr>
          <w:b/>
        </w:rPr>
        <w:t>La norma.</w:t>
      </w:r>
      <w:r>
        <w:t xml:space="preserve"> «Se reconocen y protegen los derechos: a) A expresar y difundir libremente los pensamientos, ideas y opiniones mediante la palabra, el escrito o cualquier otro medio de reproducción.»</w:t>
      </w:r>
    </w:p>
    <w:p>
      <w:r>
        <w:rPr>
          <w:b/>
        </w:rPr>
        <w:t>Declaración formal externa.</w:t>
      </w:r>
      <w:r>
        <w:t xml:space="preserve"> El TEDH, en su sentencia de 13 de marzo de 2018, condenó a España por aplicar el delito de injurias al Rey (art. 490.3 del Código Penal) a un caso de crítica política, vulnerando la libertad de expresión del art. 20.1 CE.</w:t>
      </w:r>
      <w:r>
        <w:t xml:space="preserve"> (TEDH, sentencia de 13-III-2018)</w:t>
      </w:r>
    </w:p>
    <w:p>
      <w:r>
        <w:t>[17.00-28.1, 29.1 y 29.2]</w:t>
      </w:r>
    </w:p>
    <w:p>
      <w:pPr>
        <w:pStyle w:val="Heading3"/>
      </w:pPr>
      <w:r>
        <w:t>Artículo 21 · CUMPLE</w:t>
      </w:r>
    </w:p>
    <w:p>
      <w:r>
        <w:rPr>
          <w:b/>
        </w:rPr>
        <w:t>La norma.</w:t>
      </w:r>
      <w:r>
        <w:t xml:space="preserve"> «Se reconoce el derecho de reunión pacífica y sin armas. El ejercicio de este derecho no necesitará autorización previa.»</w:t>
      </w:r>
    </w:p>
    <w:p>
      <w:r>
        <w:rPr>
          <w:b/>
        </w:rPr>
        <w:t>El hecho.</w:t>
      </w:r>
      <w:r>
        <w:t xml:space="preserve"> El caso se cuenta en </w:t>
      </w:r>
      <w:r>
        <w:t>7.3</w:t>
      </w:r>
      <w:r>
        <w:t>, n.º 1: leída la ley en su original, la ficha no muestra un incumplimiento, porque se castiga la perturbación grave y no la protesta pacífica. Lo que 7.3 no dice: la STC 172/2020 desestimó el recurso también en lo que toca al art. 36.2. Por el criterio de la obra, un recurso desestimado cuenta como cumplimiento limpio.</w:t>
      </w:r>
      <w:r>
        <w:t xml:space="preserve"> (Art. 21 CE; arts. 36.2, 36.23, 37.1 y 39.1, LO 4/2015; STC 172/2020, de 19-XI-2020, rec. 2896-2015)</w:t>
      </w:r>
    </w:p>
    <w:p>
      <w:r>
        <w:t>[17.00-30.1, 31.1 y 31.2]</w:t>
      </w:r>
    </w:p>
    <w:p>
      <w:pPr>
        <w:pStyle w:val="Heading3"/>
      </w:pPr>
      <w:r>
        <w:t>Artículo 22 · CUMPLE</w:t>
      </w:r>
    </w:p>
    <w:p>
      <w:r>
        <w:rPr>
          <w:b/>
        </w:rPr>
        <w:t>La norma.</w:t>
      </w:r>
      <w:r>
        <w:t xml:space="preserve"> «Las asociaciones sólo podrán ser disueltas o suspendidas en sus actividades en virtud de resolución judicial motivada.»</w:t>
      </w:r>
    </w:p>
    <w:p>
      <w:r>
        <w:rPr>
          <w:b/>
        </w:rPr>
        <w:t>El hecho.</w:t>
      </w:r>
      <w:r>
        <w:t xml:space="preserve"> El Tribunal Supremo (Sala Especial del art. 61 LOPJ), sentencia de 27 de marzo de 2003, ilegalizó y disolvió Batasuna, Herri Batasuna y Euskal Herritarrok al amparo de la LO 6/2002 de Partidos Políticos. El TC desestimó los amparos (SSTC 5 y 6/2004) y el TEDH avaló por unanimidad la disolución (sentencia de 30 de junio de 2009), calificando a esas formaciones de «instrumentos de la estrategia terrorista de ETA»</w:t>
      </w:r>
      <w:r>
        <w:t xml:space="preserve"> (Vírgala, REDCE n.º 13, que la atribuye a los §§ 84 a 86 de la sentencia; HUDOC no accesible; fuente secundaria)</w:t>
      </w:r>
      <w:r>
        <w:br/>
      </w:r>
      <w:r>
        <w:rPr>
          <w:b/>
        </w:rPr>
        <w:t>leída en su fuente · Vírgala, REDCE n.º 13, que la atribuye a los §§ 84 a 86 de la sentencia; HUDOC no accesibl</w:t>
      </w:r>
      <w:r>
        <w:br/>
      </w:r>
      <w:r>
        <w:rPr>
          <w:b/>
        </w:rPr>
        <w:t>Archivo leído:</w:t>
      </w:r>
      <w:r>
        <w:t xml:space="preserve"> Virgala_REDCE13_2010_TEDH_avala_ilegalizacion_Batasuna_SECUNDARIA.htm (c9c\Virgala_REDCE13_2010_TEDH_avala_ilegalizacion_Batasuna_SECUNDARIA.htm) · contraste del archivo de pasajes: ✔</w:t>
      </w:r>
      <w:r>
        <w:br/>
      </w:r>
      <w:r>
        <w:rPr>
          <w:b/>
        </w:rPr>
        <w:t>Lugar:</w:t>
      </w:r>
      <w:r>
        <w:t xml:space="preserve"> Eduardo Vírgala Foruria,</w:t>
      </w:r>
      <w:r>
        <w:br/>
      </w:r>
      <w:r>
        <w:rPr>
          <w:b/>
        </w:rPr>
        <w:t>Dirección:</w:t>
      </w:r>
      <w:r>
        <w:t xml:space="preserve"> </w:t>
      </w:r>
      <w:r>
        <w:t>https://www.ugr.es/~redce/REDCE13/articulos/14Virgala.htm</w:t>
      </w:r>
      <w:r>
        <w:t xml:space="preserve"> (original no leído: HUDOC itemid 001-93348, francés; 001-93475, inglés)</w:t>
      </w:r>
      <w:r>
        <w:br/>
      </w:r>
      <w:r>
        <w:rPr>
          <w:b/>
        </w:rPr>
        <w:t>Tal como está en la fuente:</w:t>
      </w:r>
      <w:r>
        <w:t xml:space="preserve"> "Para el Tribunal de Estrasburgo, el TS probó en su sentencia de 2003 […] que tales partidos eran, y esto es muy significativo, ""instrumentos de la estrategia terrorista de ETA"""</w:t>
      </w:r>
      <w:r>
        <w:t>.</w:t>
      </w:r>
      <w:r>
        <w:t xml:space="preserve"> (STS, Sala Especial, 27-III-2003; SSTC 5 y 6/2004, de 16-I; TEDH, 30-VI-2009)</w:t>
      </w:r>
    </w:p>
    <w:p>
      <w:r>
        <w:t>[17.00-32.1 a 32.3]</w:t>
      </w:r>
    </w:p>
    <w:p>
      <w:pPr>
        <w:pStyle w:val="Heading3"/>
      </w:pPr>
      <w:r>
        <w:t>Artículo 23.1 · INCUMPLE</w:t>
      </w:r>
    </w:p>
    <w:p>
      <w:r>
        <w:rPr>
          <w:b/>
        </w:rPr>
        <w:t>La norma.</w:t>
      </w:r>
      <w:r>
        <w:t xml:space="preserve"> «Los ciudadanos tienen el derecho a participar en los asuntos públicos, directamente o por medio de representantes, libremente elegidos en elecciones periódicas por sufragio universal.»</w:t>
      </w:r>
    </w:p>
    <w:p>
      <w:r>
        <w:rPr>
          <w:b/>
        </w:rPr>
        <w:t>El hecho.</w:t>
      </w:r>
      <w:r>
        <w:t xml:space="preserve"> El caso se cuenta en </w:t>
      </w:r>
      <w:r>
        <w:t>7.3</w:t>
      </w:r>
      <w:r>
        <w:t>, n.º 6. Lo que 7.3 no dice: la Ley Orgánica 12/2022, de 30 de septiembre, reformó el art. 75 de la LOREG para suprimir el llamado «voto rogado», que exigía a los españoles residentes en el exterior pedir expresamente su voto antes de cada elección.</w:t>
      </w:r>
      <w:r>
        <w:t xml:space="preserve"> (LO 12/2022, de 30-IX (BOE-A-2022-16018))</w:t>
      </w:r>
    </w:p>
    <w:p>
      <w:r>
        <w:t>[17.00-33.1 a 33.3]</w:t>
      </w:r>
    </w:p>
    <w:p>
      <w:pPr>
        <w:pStyle w:val="Heading3"/>
      </w:pPr>
      <w:r>
        <w:t>Artículo 24 · INCUMPLE · con declaración formal externa</w:t>
      </w:r>
    </w:p>
    <w:p>
      <w:r>
        <w:rPr>
          <w:b/>
        </w:rPr>
        <w:t>La norma.</w:t>
      </w:r>
      <w:r>
        <w:t xml:space="preserve"> «Todas las personas tienen derecho a obtener la tutela efectiva de los jueces y tribunales… sin que, en ningún caso, pueda producirse indefensión» y «derecho… a la presunción de inocencia.»</w:t>
      </w:r>
    </w:p>
    <w:p>
      <w:r>
        <w:rPr>
          <w:b/>
        </w:rPr>
        <w:t>Declaración formal externa.</w:t>
      </w:r>
      <w:r>
        <w:t xml:space="preserve"> El TEDH condenó a España en el caso de un detenido en 1994, señalado por un gobernador civil ante los medios como miembro de ETA responsable de tres atentados, por violación del art. 6.2 CEDH (rueda de prensa del 8-VI-1994; el juez lo puso en libertad sin cargos por decisión del 10-VI-1994, dos días después): ninguna autoridad pública puede declarar culpable a alguien antes de sentencia. Antes, la STC 245/1991 sí dio efecto interno a una condena del TEDH sobre este mismo derecho: declaró nulas las condenas firmes de tres recurrentes.</w:t>
      </w:r>
      <w:r>
        <w:t xml:space="preserve"> (TEDH, Lizaso Azconobieta c. España, 28-VI-2011 (art. 6.2 CEDH; leída en francés, la lengua de la sentencia); STC 245/1991, de 16-XII)</w:t>
      </w:r>
    </w:p>
    <w:p>
      <w:r>
        <w:t>[17.00-34.1, 35.1 y 35.2]</w:t>
      </w:r>
    </w:p>
    <w:p>
      <w:pPr>
        <w:pStyle w:val="Heading3"/>
      </w:pPr>
      <w:r>
        <w:t>Artículo 25.2 · CUMPLE</w:t>
      </w:r>
    </w:p>
    <w:p>
      <w:r>
        <w:rPr>
          <w:b/>
        </w:rPr>
        <w:t>La norma.</w:t>
      </w:r>
      <w:r>
        <w:t xml:space="preserve"> «Las penas privativas de libertad y las medidas de seguridad estarán orientadas hacia la reeducación y reinserción social y no podrán consistir en trabajos forzados.»</w:t>
      </w:r>
    </w:p>
    <w:p>
      <w:r>
        <w:rPr>
          <w:b/>
        </w:rPr>
        <w:t>El hecho.</w:t>
      </w:r>
      <w:r>
        <w:t xml:space="preserve"> El caso se cuenta en </w:t>
      </w:r>
      <w:r>
        <w:t>7.3</w:t>
      </w:r>
      <w:r>
        <w:t>, n.º 5. Lo que 7.3 no dice: la sentencia es la STC 169/2021, de 6 de octubre, y avaló la prisión permanente revisable que introdujo la LO 1/2015.</w:t>
      </w:r>
      <w:r>
        <w:t xml:space="preserve"> (STC 169/2021, de 6-X, rec. 3866-2015; Kafkaris c. Chipre, TEDH (2008))</w:t>
      </w:r>
    </w:p>
    <w:p>
      <w:r>
        <w:t>[17.00-36.1 a 36.3]</w:t>
      </w:r>
    </w:p>
    <w:p>
      <w:pPr>
        <w:pStyle w:val="Heading3"/>
      </w:pPr>
      <w:r>
        <w:t>Artículo 26 · CUMPLE</w:t>
      </w:r>
    </w:p>
    <w:p>
      <w:r>
        <w:rPr>
          <w:b/>
        </w:rPr>
        <w:t>La norma.</w:t>
      </w:r>
      <w:r>
        <w:t xml:space="preserve"> «Se prohíben los Tribunales de Honor en el ámbito de la Administración civil y de las organizaciones profesionales.»</w:t>
      </w:r>
    </w:p>
    <w:p>
      <w:r>
        <w:rPr>
          <w:b/>
        </w:rPr>
        <w:t>El hecho.</w:t>
      </w:r>
      <w:r>
        <w:t xml:space="preserve"> Abolición militar progresiva: la LO 9/1960 mantuvo los tribunales de honor castrenses; la Ley 9/1988 los vació de contenido; la LO 5/2005 (art. 21.2) los prohibió expresa y definitivamente en las Fuerzas Armadas. La STC 219/1989 confirmó que los códigos deontológicos actuales tienen fuerza disciplinaria real pero operan con garantías procesales, no como el modelo prohibido.</w:t>
      </w:r>
      <w:r>
        <w:t xml:space="preserve"> (LO 9/1960; Ley 9/1988; LO 5/2005, art. 21.2; STC 219/1989, de 11-XII)</w:t>
      </w:r>
    </w:p>
    <w:p>
      <w:r>
        <w:t>[17.00-37.1 a 37.3]</w:t>
      </w:r>
    </w:p>
    <w:p>
      <w:pPr>
        <w:pStyle w:val="Heading3"/>
      </w:pPr>
      <w:r>
        <w:t>Artículo 27 · PENDIENTE</w:t>
      </w:r>
    </w:p>
    <w:p>
      <w:r>
        <w:rPr>
          <w:b/>
        </w:rPr>
        <w:t>La norma.</w:t>
      </w:r>
      <w:r>
        <w:t xml:space="preserve"> «Todos tienen el derecho a la educación… [que] tendrá por objeto el pleno desarrollo de la personalidad humana en el respeto a los principios democráticos de convivencia.»</w:t>
      </w:r>
    </w:p>
    <w:p>
      <w:r>
        <w:rPr>
          <w:b/>
        </w:rPr>
        <w:t>El hecho.</w:t>
      </w:r>
      <w:r>
        <w:t xml:space="preserve"> El hecho que sostiene este estado va a flecos: no se ha leído en su fuente.</w:t>
      </w:r>
    </w:p>
    <w:p>
      <w:r>
        <w:t>[17.00-38.1]</w:t>
      </w:r>
    </w:p>
    <w:p>
      <w:pPr>
        <w:pStyle w:val="Heading3"/>
      </w:pPr>
      <w:r>
        <w:t>Artículo 28.2 · INCUMPLE · con declaración formal externa</w:t>
      </w:r>
    </w:p>
    <w:p>
      <w:r>
        <w:rPr>
          <w:b/>
        </w:rPr>
        <w:t>La norma.</w:t>
      </w:r>
      <w:r>
        <w:t xml:space="preserve"> «Se reconoce el derecho a la huelga de los trabajadores para la defensa de sus intereses.»</w:t>
      </w:r>
    </w:p>
    <w:p>
      <w:r>
        <w:rPr>
          <w:b/>
        </w:rPr>
        <w:t>Declaración formal externa.</w:t>
      </w:r>
      <w:r>
        <w:t xml:space="preserve"> La STC 2/2022, de 24 de enero, declaró desproporcionados los servicios mínimos impuestos en una huelga del sector aéreo, con fundamentos idénticos a sentencias de 2013 y 2015 contra la misma empresa y el mismo centro de trabajo — patrón repetido al menos tres veces en una década. La doctrina fundacional (SSTC 26/1981 y 53/1986) exige proporcionalidad caso por caso, nunca servicios mínimos generales.</w:t>
      </w:r>
      <w:r>
        <w:t xml:space="preserve"> (STC 2/2022, de 24-I; SSTC de 23-X-2013 y 25-VI-2015; SSTC 26/1981 y 53/1986)</w:t>
      </w:r>
    </w:p>
    <w:p>
      <w:r>
        <w:t>[17.00-39.1, 40.1 y 40.2]</w:t>
      </w:r>
    </w:p>
    <w:p>
      <w:pPr>
        <w:pStyle w:val="Heading3"/>
      </w:pPr>
      <w:r>
        <w:t>Artículo 29 · CUMPLE</w:t>
      </w:r>
    </w:p>
    <w:p>
      <w:r>
        <w:rPr>
          <w:b/>
        </w:rPr>
        <w:t>La norma.</w:t>
      </w:r>
      <w:r>
        <w:t xml:space="preserve"> «Todos los españoles tendrán el derecho de petición individual y colectiva, por escrito, en la forma y con los efectos que determine la ley.»</w:t>
      </w:r>
    </w:p>
    <w:p>
      <w:r>
        <w:rPr>
          <w:b/>
        </w:rPr>
        <w:t>El hecho.</w:t>
      </w:r>
      <w:r>
        <w:t xml:space="preserve"> La propia Exposición de Motivos de la Ley Orgánica 4/2001, que regula este derecho, reconoce su «carácter residual respecto a otros instrumentos de relación entre los ciudadanos y los poderes públicos», y admite que durante veintitrés años (1978-2001) siguió rigiéndose por una ley preconstitucional de 1960. El art. 3 de la ley excluye por diseño cualquier asunto que tenga un procedimiento específico distinto, reduciendo su ámbito real de aplicación. No se localizó estadística oficial de volumen de peticiones ni de porcentaje de respuesta efectiva.</w:t>
      </w:r>
      <w:r>
        <w:t xml:space="preserve"> (LO 4/2001, de 12-XI (BOE-A-2001-21090), Exposición de Motivos y art. 3)</w:t>
      </w:r>
    </w:p>
    <w:p>
      <w:r>
        <w:t>[17.00-41.1 a 41.3]</w:t>
      </w:r>
    </w:p>
    <w:p>
      <w:pPr>
        <w:pStyle w:val="Heading3"/>
      </w:pPr>
      <w:r>
        <w:t>Artículo 30 · CUMPLE</w:t>
      </w:r>
    </w:p>
    <w:p>
      <w:r>
        <w:rPr>
          <w:b/>
        </w:rPr>
        <w:t>La norma.</w:t>
      </w:r>
      <w:r>
        <w:t xml:space="preserve"> «Los españoles tienen el derecho y el deber de defender a España» y la ley regulará «los deberes de los ciudadanos en los casos de grave riesgo, catástrofe o calamidad pública.»</w:t>
      </w:r>
    </w:p>
    <w:p>
      <w:r>
        <w:rPr>
          <w:b/>
        </w:rPr>
        <w:t>El hecho.</w:t>
      </w:r>
      <w:r>
        <w:t xml:space="preserve"> El RD 247/2001 adelantó la suspensión del servicio militar obligatorio al 31 de diciembre de 2001, sin reactivación desde entonces; el Real Decreto 170/2026, de 4 de marzo, autoriza la oferta de un máximo de 500 plazas de reservista voluntario. No se logró verificar la aplicación real de la segunda parte del artículo (deberes ciudadanos en catástrofe) en un caso concreto.</w:t>
      </w:r>
      <w:r>
        <w:t xml:space="preserve"> (RD 247/2001, de 9-III (BOE-A-2001-4711); RD 342/2001, de 4-IV; Real Decreto 170/2026, de 4 de marzo, apartado sexto)</w:t>
      </w:r>
    </w:p>
    <w:p>
      <w:r>
        <w:t>[17.00-42.1 a 42.3]</w:t>
      </w:r>
    </w:p>
    <w:p>
      <w:pPr>
        <w:pStyle w:val="Heading3"/>
      </w:pPr>
      <w:r>
        <w:t>Artículo 31.1 · INCUMPLE · con declaración formal externa</w:t>
      </w:r>
    </w:p>
    <w:p>
      <w:r>
        <w:rPr>
          <w:b/>
        </w:rPr>
        <w:t>La norma.</w:t>
      </w:r>
      <w:r>
        <w:t xml:space="preserve"> «Todos contribuirán al sostenimiento de los gastos públicos… mediante un sistema tributario justo… que, en ningún caso, tendrá alcance confiscatorio.»</w:t>
      </w:r>
    </w:p>
    <w:p>
      <w:r>
        <w:rPr>
          <w:b/>
        </w:rPr>
        <w:t>Declaración formal externa.</w:t>
      </w:r>
      <w:r>
        <w:t xml:space="preserve"> El Tribunal Constitucional anuló la amnistía fiscal de 2012 (STC 73/2017, de 8 de junio, fallo unánime, por vulnerar el art. 86.1 CE) y el método de cálculo de la plusvalía municipal (STC 182/2021, de 26 de octubre, por vulnerar el art. 31.1 CE). En ambos casos los efectos de la nulidad fueron ex nunc, no retroactivos: las liquidaciones ya firmes no se revisaron. Doctrina de la confiscatoriedad: STC 150/1990, STC 233/1999, STC 126/2019, STC 182/2021.</w:t>
      </w:r>
      <w:r>
        <w:t xml:space="preserve"> (STC 73/2017, de 8-VI; STC 182/2021, de 26-X; STC 150/1990; STC 233/1999; STC 126/2019)</w:t>
      </w:r>
    </w:p>
    <w:p>
      <w:r>
        <w:t>[17.00-43.1, 44.1 y 44.2]</w:t>
      </w:r>
    </w:p>
    <w:p>
      <w:pPr>
        <w:pStyle w:val="Heading3"/>
      </w:pPr>
      <w:r>
        <w:t>Artículo 32.1 · CUMPLE</w:t>
      </w:r>
    </w:p>
    <w:p>
      <w:r>
        <w:rPr>
          <w:b/>
        </w:rPr>
        <w:t>La norma.</w:t>
      </w:r>
      <w:r>
        <w:t xml:space="preserve"> «El hombre y la mujer tienen derecho a contraer matrimonio con plena igualdad jurídica.»</w:t>
      </w:r>
    </w:p>
    <w:p>
      <w:r>
        <w:rPr>
          <w:b/>
        </w:rPr>
        <w:t>El hecho.</w:t>
      </w:r>
      <w:r>
        <w:t xml:space="preserve"> El caso se cuenta en </w:t>
      </w:r>
      <w:r>
        <w:t>7.3</w:t>
      </w:r>
      <w:r>
        <w:t>, n.º 4. Lo que 7.3 no dice: la sentencia es la STC 198/2012, de 6 de noviembre, sobre el recurso de 71 diputados del PP contra la Ley 13/2005. La frase «no es la legalidad ordinaria, sino la propia Constitución la que opta por reconocer y consagrar» no es del Tribunal, sino de los recurrentes, y termina en «la configuración heterosexual del matrimonio».</w:t>
      </w:r>
      <w:r>
        <w:t xml:space="preserve"> (STC 198/2012, de 6-XI, rec. 6864-2005 (BOE-A-2012-14602))</w:t>
      </w:r>
    </w:p>
    <w:p>
      <w:r>
        <w:t>[17.00-45.1 a 45.3]</w:t>
      </w:r>
    </w:p>
    <w:p>
      <w:pPr>
        <w:pStyle w:val="Heading3"/>
      </w:pPr>
      <w:r>
        <w:t>Artículo 33 · CUMPLE</w:t>
      </w:r>
    </w:p>
    <w:p>
      <w:r>
        <w:rPr>
          <w:b/>
        </w:rPr>
        <w:t>La norma.</w:t>
      </w:r>
      <w:r>
        <w:t xml:space="preserve"> «Se reconoce el derecho a la propiedad privada y a la herencia.»</w:t>
      </w:r>
    </w:p>
    <w:p>
      <w:r>
        <w:rPr>
          <w:b/>
        </w:rPr>
        <w:t>El hecho.</w:t>
      </w:r>
      <w:r>
        <w:t xml:space="preserve"> El TEDH ha condenado a otros Estados por vulneración de este mismo derecho en el marco del Protocolo 1 del CEDH (contra Italia, 2018; contra Grecia, 2020), estableciendo el estándar europeo de referencia que también obliga a España.</w:t>
      </w:r>
      <w:r>
        <w:t xml:space="preserve"> (TEDH, sentencias de 13-XII-2018 (Italia) y 3-XII-2020 (Grecia); art. 1, Protocolo 1 CEDH)</w:t>
      </w:r>
    </w:p>
    <w:p>
      <w:r>
        <w:t>[17.00-46.1 a 46.3]</w:t>
      </w:r>
    </w:p>
    <w:p>
      <w:pPr>
        <w:pStyle w:val="Heading3"/>
      </w:pPr>
      <w:r>
        <w:t>Artículo 34 · INCUMPLE</w:t>
      </w:r>
    </w:p>
    <w:p>
      <w:r>
        <w:rPr>
          <w:b/>
        </w:rPr>
        <w:t>La norma.</w:t>
      </w:r>
      <w:r>
        <w:t xml:space="preserve"> «Se reconoce el derecho de fundación para fines de interés general.»</w:t>
      </w:r>
    </w:p>
    <w:p>
      <w:r>
        <w:rPr>
          <w:b/>
        </w:rPr>
        <w:t>El hecho.</w:t>
      </w:r>
      <w:r>
        <w:t xml:space="preserve"> Informe del Tribunal de Cuentas (26 de abril de 2026) sobre fundaciones vinculadas a partidos políticos: 12,87 millones de euros manejados entre 2021 y 2022. Caso nombrado: la Fundación Disenso (Vox), con más de 5 millones de euros en donaciones, mayoritariamente traspasos del propio partido. El PSOE denunció ante la Fiscalía Anticorrupción; la Fiscalía archivó la denuncia. El propio Tribunal de Cuentas recomienda regular una cuantía mínima obligatoria de notificación de donaciones.</w:t>
      </w:r>
      <w:r>
        <w:t xml:space="preserve"> (Tribunal de Cuentas, informe de 26-IV-2026)</w:t>
      </w:r>
    </w:p>
    <w:p>
      <w:r>
        <w:t>[17.00-47.1 a 47.3]</w:t>
      </w:r>
    </w:p>
    <w:p>
      <w:pPr>
        <w:pStyle w:val="Heading3"/>
      </w:pPr>
      <w:r>
        <w:t>Artículo 35 · INCUMPLE</w:t>
      </w:r>
    </w:p>
    <w:p>
      <w:r>
        <w:rPr>
          <w:b/>
        </w:rPr>
        <w:t>La norma.</w:t>
      </w:r>
      <w:r>
        <w:t xml:space="preserve"> «Todos los españoles tienen el deber de trabajar y el derecho al trabajo… sin que en ningún caso pueda hacerse discriminación por razón de sexo.»</w:t>
      </w:r>
    </w:p>
    <w:p>
      <w:r>
        <w:rPr>
          <w:b/>
        </w:rPr>
        <w:t>El hecho.</w:t>
      </w:r>
      <w:r>
        <w:t xml:space="preserve"> La brecha salarial de género en España fue del 16,1% en 2024 (5.153 € anuales menos de media para las mujeres), superior a la media no ajustada de la UE (11,1%, Eurostat 2024). Se extiende a otras prestaciones: 17 % en desempleo, 31,1 % en la pensión de jubilación (2024; 31,8 % en 2023) y 32,0 % en el conjunto de las pensiones (2024).</w:t>
      </w:r>
      <w:r>
        <w:t xml:space="preserve"> (INE, Encuesta Anual de Estructura Salarial 2024 (nota de prensa); Eurostat 2024)</w:t>
      </w:r>
    </w:p>
    <w:p>
      <w:r>
        <w:t>[17.00-48.1 a 48.3]</w:t>
      </w:r>
    </w:p>
    <w:p>
      <w:pPr>
        <w:pStyle w:val="Heading3"/>
      </w:pPr>
      <w:r>
        <w:t>Artículo 36 · INCUMPLE</w:t>
      </w:r>
    </w:p>
    <w:p>
      <w:r>
        <w:rPr>
          <w:b/>
        </w:rPr>
        <w:t>La norma.</w:t>
      </w:r>
      <w:r>
        <w:t xml:space="preserve"> «La ley regulará las peculiaridades propias del régimen jurídico de los Colegios Profesionales y el ejercicio de las profesiones tituladas. La estructura interna y el funcionamiento de los Colegios deberán ser democráticos.»</w:t>
      </w:r>
    </w:p>
    <w:p>
      <w:r>
        <w:rPr>
          <w:b/>
        </w:rPr>
        <w:t>El hecho.</w:t>
      </w:r>
      <w:r>
        <w:t xml:space="preserve"> La CNMC sancionó a nueve colegios de abogados por recomendar tarifas de honorarios, restricción de la competencia no amparada por la exención legal: la ley sí permite a los colegios elaborar «criterios orientativos» a los exclusivos efectos de informar a los tribunales sobre la tasación de costas y la jura de cuentas, pero no difundirlos con carácter general (nota de prensa de la CNMC, 12-3-2018). Un informe de la Comisión Nacional de la Competencia (CNC, predecesora de la CNMC; 18-IV-2012) dice que la situación «revela la existencia de numerosas barreras de acceso y ejercicio en las normas internas colegiales que impiden o dificultan la libre prestación de servicios profesionales». La propia CNMC dice, en su nota de prensa de 5-I-2016, que la regulación liberalizadora de los servicios profesionales «se ha reclamado además insistentemente desde diversas instancias internacionales (FMI, OCDE y UE)»; y su informe IPN 110/13 (noviembre de 2013, pág. 4), según la exposición de motivos del anteproyecto de Ley de Servicios y Colegios Profesionales: «Distintos organismos internacionales (OCDE, FMI, UE) vienen recomendando una reforma profunda de la regulación de los servicios profesionales, como vía de garantizar la competitividad y el crecimiento.»</w:t>
      </w:r>
      <w:r>
        <w:t xml:space="preserve"> (CNMC, resoluciones sancionadoras y nota de prensa de 12-3-2018; CNC, informe de 18-IV-2012 sobre colegios profesionales; CNMC, nota de prensa de 5-I-2016 e informe IPN 110/13)</w:t>
      </w:r>
      <w:r>
        <w:br/>
      </w:r>
      <w:r>
        <w:rPr>
          <w:b/>
        </w:rPr>
        <w:t>leída en su fuente · CNMC, resoluciones sancionadoras y nota de prensa de 12-3-2018; CNC, informe de 18-IV-2012</w:t>
      </w:r>
      <w:r>
        <w:br/>
      </w:r>
      <w:r>
        <w:rPr>
          <w:b/>
        </w:rPr>
        <w:t>Archivo leído:</w:t>
      </w:r>
      <w:r>
        <w:t xml:space="preserve"> 17.00-49.2_CNMC_file_98712.pdf y .txt; 17.00-49.2_CNMC_file_115212.pdf y .txt (flecos3\17.00-49.2_CNMC_file_115212.pdf) · contraste del archivo de pasajes: ✔</w:t>
      </w:r>
      <w:r>
        <w:br/>
      </w:r>
      <w:r>
        <w:rPr>
          <w:b/>
        </w:rPr>
        <w:t>Dirección:</w:t>
      </w:r>
      <w:r>
        <w:t xml:space="preserve"> </w:t>
      </w:r>
      <w:r>
        <w:t>https://cnmc.es/file/98712/download</w:t>
      </w:r>
      <w:r>
        <w:t xml:space="preserve"> ; </w:t>
      </w:r>
      <w:r>
        <w:t>https://cnmc.es/file/115212/download</w:t>
      </w:r>
      <w:r>
        <w:br/>
      </w:r>
      <w:r>
        <w:rPr>
          <w:b/>
        </w:rPr>
        <w:t>Tal como está en la fuente:</w:t>
      </w:r>
      <w:r>
        <w:t xml:space="preserve"> Distintos organismos internacionales (OCDE, FMI, UE) vienen recomendando una reforma profunda de la regulación de los servicios profesionales, como vía de garantizar la competitividad y el crecimiento.</w:t>
      </w:r>
      <w:r>
        <w:br/>
      </w:r>
      <w:r>
        <w:rPr>
          <w:b/>
        </w:rPr>
        <w:t>Traducción guardada:</w:t>
      </w:r>
      <w:r>
        <w:t xml:space="preserve"> IPN 110/13, pág. 4, «Según la exposición de motivos»</w:t>
      </w:r>
    </w:p>
    <w:p>
      <w:r>
        <w:t>[17.00-49.1 a 49.3]</w:t>
      </w:r>
    </w:p>
    <w:p>
      <w:pPr>
        <w:pStyle w:val="Heading3"/>
      </w:pPr>
      <w:r>
        <w:t>Artículo 37.1 · CUMPLE</w:t>
      </w:r>
    </w:p>
    <w:p>
      <w:r>
        <w:rPr>
          <w:b/>
        </w:rPr>
        <w:t>La norma.</w:t>
      </w:r>
      <w:r>
        <w:t xml:space="preserve"> «La ley garantizará el derecho a la negociación colectiva laboral entre los representantes de los trabajadores y empresarios, así como la fuerza vinculante de los convenios.»</w:t>
      </w:r>
    </w:p>
    <w:p>
      <w:r>
        <w:rPr>
          <w:b/>
        </w:rPr>
        <w:t>El hecho.</w:t>
      </w:r>
      <w:r>
        <w:t xml:space="preserve"> El RDL 32/2021 eliminó la prioridad aplicativa del convenio de empresa sobre el sectorial en cuantía salarial: la nueva lista del art. 84.2 del Estatuto de los Trabajadores (horas extraordinarias, horario, clasificación profesional, modalidades de contratación, conciliación y las que dispongan los acuerdos) no incluye la cuantía del salario. Sobre la ultraactividad, el art. 86.3 dice que, durante las negociaciones para renovar un convenio, «en defecto de pacto, se mantendrá su vigencia», y el art. 86.4, que transcurrido un año desde la denuncia las partes «deberán someterse a los procedimientos de mediación».</w:t>
      </w:r>
      <w:r>
        <w:t xml:space="preserve"> (RDL 32/2021, de 28-XII (BOE-A-2021-21788), arts. 84.2, 86.3 y 86.4 del Estatuto de los Trabajadores)</w:t>
      </w:r>
    </w:p>
    <w:p>
      <w:r>
        <w:t>[17.00-50.1 a 50.3]</w:t>
      </w:r>
    </w:p>
    <w:p>
      <w:pPr>
        <w:pStyle w:val="Heading3"/>
      </w:pPr>
      <w:r>
        <w:t>Artículo 38 · INCUMPLE</w:t>
      </w:r>
    </w:p>
    <w:p>
      <w:r>
        <w:rPr>
          <w:b/>
        </w:rPr>
        <w:t>La norma.</w:t>
      </w:r>
      <w:r>
        <w:t xml:space="preserve"> «Se reconoce la libertad de empresa en el marco de la economía de mercado.»</w:t>
      </w:r>
    </w:p>
    <w:p>
      <w:r>
        <w:rPr>
          <w:b/>
        </w:rPr>
        <w:t>El hecho.</w:t>
      </w:r>
      <w:r>
        <w:t xml:space="preserve"> Doing Business 2020 (Banco Mundial): España en el puesto 30 de 190, pero 123º del mundo en permisos de construcción (15 procedimientos frente a 7 en Dinamarca), aunque 1º en comercio transfronterizo. El Informe de Competitividad Mundial del WEF (2019) sitúa a España en el puesto 114 de 141 en carga regulatoria para empresas. El Banco de España calcula que un aumento del 10 % en el volumen de regulación se asocia a una caída del 0,5 % en el empleo de las empresas con menos de 10 trabajadores.</w:t>
      </w:r>
      <w:r>
        <w:t xml:space="preserve"> (Banco Mundial, Doing Business 2020; WEF, Informe de Competitividad Mundial 2019; Banco de España)</w:t>
      </w:r>
    </w:p>
    <w:p>
      <w:r>
        <w:t>[17.00-51.1 a 51.3]</w:t>
      </w:r>
    </w:p>
    <w:p>
      <w:pPr>
        <w:pStyle w:val="Heading3"/>
      </w:pPr>
      <w:r>
        <w:t>Artículo 39 · INCUMPLE</w:t>
      </w:r>
    </w:p>
    <w:p>
      <w:r>
        <w:rPr>
          <w:b/>
        </w:rPr>
        <w:t>La norma.</w:t>
      </w:r>
      <w:r>
        <w:t xml:space="preserve"> «Los poderes públicos aseguran la protección social, económica y jurídica de la familia» y «la protección integral de los hijos.»</w:t>
      </w:r>
    </w:p>
    <w:p>
      <w:r>
        <w:rPr>
          <w:b/>
        </w:rPr>
        <w:t>El hecho.</w:t>
      </w:r>
      <w:r>
        <w:t xml:space="preserve"> Según UNICEF España (17-X-2024), España es el país de la Unión Europea con menos capacidad para reducir la pobreza infantil mediante transferencias: solo el 17 %, frente a la media del 41 % de la UE. Invierte el 1,5 % del PIB en protección social de la infancia y las familias, frente al 2,4 % de la media europea (354 euros por habitante, frente a 678 en la UE). La noticia no dice de dónde salen los datos ni de qué año.</w:t>
      </w:r>
      <w:r>
        <w:t xml:space="preserve"> (UNICEF España, noticia de 17-X-2024)</w:t>
      </w:r>
    </w:p>
    <w:p>
      <w:r>
        <w:t>[17.00-52.1 y 52.2]</w:t>
      </w:r>
    </w:p>
    <w:p>
      <w:pPr>
        <w:pStyle w:val="Heading3"/>
      </w:pPr>
      <w:r>
        <w:t>Artículo 40 · INCUMPLE</w:t>
      </w:r>
    </w:p>
    <w:p>
      <w:r>
        <w:rPr>
          <w:b/>
        </w:rPr>
        <w:t>La norma.</w:t>
      </w:r>
      <w:r>
        <w:t xml:space="preserve"> «Los poderes públicos… velarán por la seguridad e higiene en el trabajo.»</w:t>
      </w:r>
    </w:p>
    <w:p>
      <w:r>
        <w:rPr>
          <w:b/>
        </w:rPr>
        <w:t>El hecho.</w:t>
      </w:r>
      <w:r>
        <w:t xml:space="preserve"> El Ministerio de Trabajo registró 1.181.202 accidentes de trabajo en 2024 (628.300 con baja, +0,5%) y 796 muertes en el trabajo, 75 más que el año anterior (+10,4%) — tendencia de empeoramiento, no cifra estable. Los partes de enfermedad profesional por silicosis se multiplicaron por 34 entre 2000 y 2024.</w:t>
      </w:r>
      <w:r>
        <w:t xml:space="preserve"> (Ministerio de Trabajo y Economía Social, Análisis de las estadísticas de accidentes de trabajo, 2024)</w:t>
      </w:r>
    </w:p>
    <w:p>
      <w:r>
        <w:t>[17.00-53.1 a 53.3]</w:t>
      </w:r>
    </w:p>
    <w:p>
      <w:pPr>
        <w:pStyle w:val="Heading3"/>
      </w:pPr>
      <w:r>
        <w:t>Artículo 41 · CUMPLE</w:t>
      </w:r>
    </w:p>
    <w:p>
      <w:r>
        <w:rPr>
          <w:b/>
        </w:rPr>
        <w:t>La norma.</w:t>
      </w:r>
      <w:r>
        <w:t xml:space="preserve"> «Los poderes públicos mantendrán un régimen público de Seguridad Social… que garantice la asistencia y prestaciones sociales suficientes ante situaciones de necesidad.»</w:t>
      </w:r>
    </w:p>
    <w:p>
      <w:r>
        <w:rPr>
          <w:b/>
        </w:rPr>
        <w:t>El hecho.</w:t>
      </w:r>
      <w:r>
        <w:t xml:space="preserve"> La tasa de cobertura del desempleo fue del 81,16% en noviembre de 2025 — la cifra más alta de toda la serie histórica para ese mes. El RDL 2/2024 elevó el subsidio asistencial del 80% al 95% del IPREM durante los primeros 180 días.</w:t>
      </w:r>
      <w:r>
        <w:t xml:space="preserve"> (SEPE / Ministerio de Trabajo y Economía Social, notas de prensa sobre paro registrado y prestaciones (enero de 2026); RDL 2/2024)</w:t>
      </w:r>
    </w:p>
    <w:p>
      <w:r>
        <w:t>[17.00-54.1 a 54.3]</w:t>
      </w:r>
    </w:p>
    <w:p>
      <w:pPr>
        <w:pStyle w:val="Heading3"/>
      </w:pPr>
      <w:r>
        <w:t>Artículo 42 · INCUMPLE</w:t>
      </w:r>
    </w:p>
    <w:p>
      <w:r>
        <w:rPr>
          <w:b/>
        </w:rPr>
        <w:t>La norma.</w:t>
      </w:r>
      <w:r>
        <w:t xml:space="preserve"> «El Estado velará especialmente por la salvaguardia de los derechos económicos y sociales de los trabajadores españoles en el extranjero.»</w:t>
      </w:r>
    </w:p>
    <w:p>
      <w:r>
        <w:rPr>
          <w:b/>
        </w:rPr>
        <w:t>El hecho.</w:t>
      </w:r>
      <w:r>
        <w:t xml:space="preserve"> Patrón documentado de intervención repetida del Defensor del Pueblo por carencias estructurales: en 2014, 1.735 ciudadanos españoles cumplían condena en cárceles extranjeras; en 2015, un informe de la Defensora sobre presos españoles en 27 países recomendó reforzar la asistencia jurídica gratuita y los medios consulares; el Informe Anual de 2017 del Defensor trata, de forma general, problemas de menores y de españoles en el extranjero; no se ha localizado el documento concreto que describa una actuación específica sobre hijos menores en situación de indigencia con ese detalle exacto, así que ese punto queda sin confirmar.</w:t>
      </w:r>
      <w:r>
        <w:t xml:space="preserve"> (Defensor del Pueblo, informes de 2014, 2015 y 2017)</w:t>
      </w:r>
    </w:p>
    <w:p>
      <w:r>
        <w:t>[17.00-55.1 a 55.3]</w:t>
      </w:r>
    </w:p>
    <w:p>
      <w:pPr>
        <w:pStyle w:val="Heading3"/>
      </w:pPr>
      <w:r>
        <w:t>Artículo 43 · INCUMPLE</w:t>
      </w:r>
    </w:p>
    <w:p>
      <w:r>
        <w:rPr>
          <w:b/>
        </w:rPr>
        <w:t>La norma.</w:t>
      </w:r>
      <w:r>
        <w:t xml:space="preserve"> «Se reconoce el derecho a la protección de la salud.»</w:t>
      </w:r>
    </w:p>
    <w:p>
      <w:r>
        <w:rPr>
          <w:b/>
        </w:rPr>
        <w:t>El hecho.</w:t>
      </w:r>
      <w:r>
        <w:t xml:space="preserve"> 853.509 pacientes en lista de espera quirúrgica estructural en diciembre de 2025, con una demora media de 121 días y un 21,6% esperando más de seis meses — empeoramiento sostenido desde 2022 (793.521). Por comunidades, la espera media para operarse a 31-XII-2025 iba de los 50 días de Madrid (la más baja de la tabla) a los 173 de Andalucía (la más alta): 3,46 veces más (cálculo de la obra).</w:t>
      </w:r>
      <w:r>
        <w:t xml:space="preserve"> (Ministerio de Sanidad, listas de espera, diciembre de 2025; Ministerio de Sanidad, SISLE-SNS, datos por comunidades a 31-XII-2025)</w:t>
      </w:r>
    </w:p>
    <w:p>
      <w:r>
        <w:t>[17.00-56.1 a 56.3]</w:t>
      </w:r>
    </w:p>
    <w:p>
      <w:pPr>
        <w:pStyle w:val="Heading3"/>
      </w:pPr>
      <w:r>
        <w:t>Artículo 44 · CUMPLE</w:t>
      </w:r>
    </w:p>
    <w:p>
      <w:r>
        <w:rPr>
          <w:b/>
        </w:rPr>
        <w:t>La norma.</w:t>
      </w:r>
      <w:r>
        <w:t xml:space="preserve"> «Los poderes públicos promoverán la ciencia y la investigación científica y técnica en beneficio del interés general.»</w:t>
      </w:r>
    </w:p>
    <w:p>
      <w:r>
        <w:rPr>
          <w:b/>
        </w:rPr>
        <w:t>El hecho.</w:t>
      </w:r>
      <w:r>
        <w:t xml:space="preserve"> España invirtió el 1,50% del PIB en I+D en 2024 (23.931 millones de euros, máximo histórico, subiendo del 1,23% en 2018), pero sigue por debajo de la media de la UE-27 (2,26 % del PIB en 2024, estimado) y de su propio objetivo estratégico para 2027. El sector empresarial representa el 55,8% del gasto, 11 puntos por debajo de la media UE. Con todo, el gasto en I+D de España creció más que el de la UE-27 cinco años seguidos, de 2020 a 2024 (cálculo de la obra, en euros corrientes).</w:t>
      </w:r>
      <w:r>
        <w:t xml:space="preserve"> (INE 2024; Fundación Cotec; Eurostat, rd_e_gerdtot)</w:t>
      </w:r>
    </w:p>
    <w:p>
      <w:r>
        <w:t>[17.00-57.1 a 57.3]</w:t>
      </w:r>
    </w:p>
    <w:p>
      <w:pPr>
        <w:pStyle w:val="Heading3"/>
      </w:pPr>
      <w:r>
        <w:t>Artículo 45 · INCUMPLE · con declaración formal externa</w:t>
      </w:r>
    </w:p>
    <w:p>
      <w:r>
        <w:rPr>
          <w:b/>
        </w:rPr>
        <w:t>La norma.</w:t>
      </w:r>
      <w:r>
        <w:t xml:space="preserve"> «Todos tienen el derecho a disfrutar de un medio ambiente adecuado para el desarrollo de la persona.»</w:t>
      </w:r>
    </w:p>
    <w:p>
      <w:r>
        <w:rPr>
          <w:b/>
        </w:rPr>
        <w:t>Declaración formal externa.</w:t>
      </w:r>
      <w:r>
        <w:t xml:space="preserve"> El Tribunal de Justicia de la Unión Europea condenó a España el 25 de julio de 2018 (asunto C-205/17, Comisión/España) por no haber ejecutado su sentencia de 14 de abril de 2011 sobre la recogida y el tratamiento de las aguas residuales urbanas (Directiva 91/271/CEE): una suma a tanto alzado de 12 millones de euros y una multa coercitiva de 10.950.000 euros por cada semestre de retraso, que se reduce según las aglomeraciones que se pongan al día. A 26 de septiembre de 2022, el Ministerio para la Transición Ecológica contaba 71.725.687,35 euros pagados: los 12 millones a tanto alzado y 59.725.687,35 euros de multa coercitiva en seis pagos semestrales. El 29 de abril de 2026, la Comisión Europea decidió llevar de nuevo a España ante el Tribunal de Justicia por no cumplir íntegramente las obligaciones de recogida, tratamiento y control de la misma Directiva (procedimiento INFR(2017)2100): quince aglomeraciones sin sistema colector adecuado, treinta y nueve sin el tratamiento secundario exigido en zonas normales, ocho en zonas sensibles y cincuenta y dos sin control de los vertidos.</w:t>
      </w:r>
      <w:r>
        <w:t xml:space="preserve"> (TJUE (Sala Octava), sentencia de 25-VII-2018, asunto C-205/17, fallo, extracto leído en EUR-Lex (CELEX 62017CJ0205); Ministerio para la Transición Ecológica, nota de prensa de 26-IX-2022, leída en el original; Comisión Europea, comunicado IP/26/838, abril de 2026, y nota de su Representación en España del 29-IV-2026)</w:t>
      </w:r>
    </w:p>
    <w:p>
      <w:r>
        <w:t>[17.00-58.1, 59.1 y 59.2]</w:t>
      </w:r>
    </w:p>
    <w:p>
      <w:pPr>
        <w:pStyle w:val="Heading3"/>
      </w:pPr>
      <w:r>
        <w:t>Artículo 46 · PENDIENTE</w:t>
      </w:r>
    </w:p>
    <w:p>
      <w:r>
        <w:rPr>
          <w:b/>
        </w:rPr>
        <w:t>La norma.</w:t>
      </w:r>
      <w:r>
        <w:t xml:space="preserve"> «Los poderes públicos garantizarán la conservación y promoverán el enriquecimiento del patrimonio histórico, cultural y artístico de los pueblos de España.»</w:t>
      </w:r>
    </w:p>
    <w:p>
      <w:r>
        <w:rPr>
          <w:b/>
        </w:rPr>
        <w:t>El hecho.</w:t>
      </w:r>
      <w:r>
        <w:t xml:space="preserve"> El hecho que sostiene este estado va a flecos: no se ha leído en su fuente.</w:t>
      </w:r>
    </w:p>
    <w:p>
      <w:r>
        <w:t>[17.00-60.1]</w:t>
      </w:r>
    </w:p>
    <w:p>
      <w:pPr>
        <w:pStyle w:val="Heading3"/>
      </w:pPr>
      <w:r>
        <w:t>Artículo 47 · INCUMPLE</w:t>
      </w:r>
    </w:p>
    <w:p>
      <w:r>
        <w:rPr>
          <w:b/>
        </w:rPr>
        <w:t>La norma.</w:t>
      </w:r>
      <w:r>
        <w:t xml:space="preserve"> «Todos los españoles tienen derecho a disfrutar de una vivienda digna y adecuada.»</w:t>
      </w:r>
    </w:p>
    <w:p>
      <w:r>
        <w:rPr>
          <w:b/>
        </w:rPr>
        <w:t>El hecho.</w:t>
      </w:r>
      <w:r>
        <w:t xml:space="preserve"> El caso se cuenta en </w:t>
      </w:r>
      <w:r>
        <w:t>7.3</w:t>
      </w:r>
      <w:r>
        <w:t>, n.º 10 (lanzamientos y ejecuciones hipotecarias de 2025). Lo que 7.3 no dice: las ejecuciones hipotecarias iniciadas subieron un 35,6 % en 2025 frente a un 18,3 % en 2024, casi el doble. Y la doctrina constante desde la STC 152/1988 hasta la STC 32/2019 niega que el art. 47 CE genere, por sí solo, un derecho subjetivo exigible ante los tribunales; la STC 79/2024 y la STC 17/2026 reconocen que, con la ley de desarrollo (Ley 12/2023), ese derecho sí se activa.</w:t>
      </w:r>
      <w:r>
        <w:t xml:space="preserve"> (CGPJ, Estadística de Efectos de la Crisis Económica, 2025; STC 152/1988; STC 32/2019; STC 79/2024; STC 17/2026)</w:t>
      </w:r>
    </w:p>
    <w:p>
      <w:r>
        <w:t>[17.00-61.1 a 61.3]</w:t>
      </w:r>
    </w:p>
    <w:p>
      <w:pPr>
        <w:pStyle w:val="Heading3"/>
      </w:pPr>
      <w:r>
        <w:t>Artículo 48 · INCUMPLE</w:t>
      </w:r>
    </w:p>
    <w:p>
      <w:r>
        <w:rPr>
          <w:b/>
        </w:rPr>
        <w:t>La norma.</w:t>
      </w:r>
      <w:r>
        <w:t xml:space="preserve"> «Los poderes públicos promoverán las condiciones para la participación libre y eficaz de la juventud.»</w:t>
      </w:r>
    </w:p>
    <w:p>
      <w:r>
        <w:rPr>
          <w:b/>
        </w:rPr>
        <w:t>El hecho.</w:t>
      </w:r>
      <w:r>
        <w:t xml:space="preserve"> El Observatorio de Emancipación del Consejo de la Juventud de España sitúa la tasa de emancipación juvenil en el 14,5% (mínimo histórico) y la edad media de emancipación en 30,2 años, con un alquiler medio que absorbe el 98,7% del salario medio de una persona joven.</w:t>
      </w:r>
      <w:r>
        <w:t xml:space="preserve"> (Consejo de la Juventud de España, Observatorio de Emancipación, informe de 2025 (publicado mayo de 2026))</w:t>
      </w:r>
    </w:p>
    <w:p>
      <w:r>
        <w:t>[17.00-62.1 a 62.3]</w:t>
      </w:r>
    </w:p>
    <w:p>
      <w:pPr>
        <w:pStyle w:val="Heading3"/>
      </w:pPr>
      <w:r>
        <w:t>Artículo 49 · CUMPLE</w:t>
      </w:r>
    </w:p>
    <w:p>
      <w:r>
        <w:rPr>
          <w:b/>
        </w:rPr>
        <w:t>La norma.</w:t>
      </w:r>
      <w:r>
        <w:t xml:space="preserve"> «Los poderes públicos impulsarán las políticas que garanticen la plena autonomía personal y la inclusión social de las personas con discapacidad, en entornos universalmente accesibles. Asimismo, fomentarán la participación de sus organizaciones, en los términos que la ley establezca. Se atenderán particularmente las necesidades específicas de las mujeres y los menores con discapacidad.»</w:t>
      </w:r>
    </w:p>
    <w:p>
      <w:r>
        <w:rPr>
          <w:b/>
        </w:rPr>
        <w:t>El hecho.</w:t>
      </w:r>
      <w:r>
        <w:t xml:space="preserve"> Este artículo se reformó en 2024; el Gobierno dijo que era «la tercera desde la entrada en vigor de la Constitución, pero la primera de contenido social»</w:t>
      </w:r>
      <w:r>
        <w:t xml:space="preserve"> (La Moncloa, nota de 18-1-2024)</w:t>
      </w:r>
      <w:r>
        <w:br/>
      </w:r>
      <w:r>
        <w:rPr>
          <w:b/>
        </w:rPr>
        <w:t>leída en su fuente · La Moncloa, nota de 18-1-2024</w:t>
      </w:r>
      <w:r>
        <w:br/>
      </w:r>
      <w:r>
        <w:rPr>
          <w:b/>
        </w:rPr>
        <w:t>Archivo leído:</w:t>
      </w:r>
      <w:r>
        <w:t xml:space="preserve"> 15.00_LaMoncloa_nota_2024-01-18_Congreso_aprueba_reforma_art49.html (c7b\15.00_LaMoncloa_nota_2024-01-18_Congreso_aprueba_reforma_art49.html) · contraste del archivo de pasajes: ✔</w:t>
      </w:r>
      <w:r>
        <w:br/>
      </w:r>
      <w:r>
        <w:rPr>
          <w:b/>
        </w:rPr>
        <w:t>Dirección:</w:t>
      </w:r>
      <w:r>
        <w:t xml:space="preserve"> </w:t>
      </w:r>
      <w:r>
        <w:t>https://www.lamoncloa.gob.es/serviciosdeprensa/notasprensa/presidencia-justicia-relaciones-cortes/Paginas/2024/180124-congreso-aprobada-reforma-constitucion.aspx</w:t>
      </w:r>
      <w:r>
        <w:br/>
      </w:r>
      <w:r>
        <w:rPr>
          <w:b/>
        </w:rPr>
        <w:t>Tal como está en la fuente:</w:t>
      </w:r>
      <w:r>
        <w:t xml:space="preserve"> Esta modificación es la tercera desde la entrada en vigor de la Constitución, pero la primera de contenido social.</w:t>
      </w:r>
      <w:r>
        <w:t xml:space="preserve">, y actualizó su redacción sobre los derechos de las personas con discapacidad (el dato, en </w:t>
      </w:r>
      <w:r>
        <w:t>7.2</w:t>
      </w:r>
      <w:r>
        <w:t>, n.º 14).</w:t>
      </w:r>
      <w:r>
        <w:t xml:space="preserve"> (BOE-A-2024-3099 (reforma del art. 49 CE); La Moncloa, nota sobre la reforma de 2024)</w:t>
      </w:r>
    </w:p>
    <w:p>
      <w:r>
        <w:t>[17.00-63.1 a 63.3]</w:t>
      </w:r>
    </w:p>
    <w:p>
      <w:pPr>
        <w:pStyle w:val="Heading3"/>
      </w:pPr>
      <w:r>
        <w:t>Artículo 50 · CUMPLE</w:t>
      </w:r>
    </w:p>
    <w:p>
      <w:r>
        <w:rPr>
          <w:b/>
        </w:rPr>
        <w:t>La norma.</w:t>
      </w:r>
      <w:r>
        <w:t xml:space="preserve"> «Los poderes públicos garantizarán, mediante pensiones adecuadas y periódicamente actualizadas, la suficiencia económica a los ciudadanos durante la tercera edad.»</w:t>
      </w:r>
    </w:p>
    <w:p>
      <w:r>
        <w:rPr>
          <w:b/>
        </w:rPr>
        <w:t>El hecho.</w:t>
      </w:r>
      <w:r>
        <w:t xml:space="preserve"> El sistema de revalorización de pensiones ha sido objeto de suspensiones (RDL 28/2012) validadas por el Tribunal Constitucional (STC 95/2015 y STC 49/2015), que fijó que la revalorización «puede ser modulada por la Ley de Presupuestos Generales del Estado en función de las circunstancias socioeconómicas concurrentes» — es decir, la actualización periódica no es un mandato absoluto e incondicionado.</w:t>
      </w:r>
      <w:r>
        <w:t xml:space="preserve"> (RDL 28/2012; STC 95/2015, de 14-V; STC 49/2015)</w:t>
      </w:r>
    </w:p>
    <w:p>
      <w:r>
        <w:t>[17.00-64.1 a 64.3]</w:t>
      </w:r>
    </w:p>
    <w:p>
      <w:pPr>
        <w:pStyle w:val="Heading3"/>
      </w:pPr>
      <w:r>
        <w:t>Artículo 51 · INCUMPLE</w:t>
      </w:r>
    </w:p>
    <w:p>
      <w:r>
        <w:rPr>
          <w:b/>
        </w:rPr>
        <w:t>La norma.</w:t>
      </w:r>
      <w:r>
        <w:t xml:space="preserve"> «Los poderes públicos garantizarán la defensa de los consumidores y usuarios.»</w:t>
      </w:r>
    </w:p>
    <w:p>
      <w:r>
        <w:rPr>
          <w:b/>
        </w:rPr>
        <w:t>El hecho.</w:t>
      </w:r>
      <w:r>
        <w:t xml:space="preserve"> El caso de las cláusulas suelo: la STS de 9 de mayo de 2013 las declaró abusivas por falta de transparencia, pero con efectos solo hacia el futuro; el TJUE obligó después a la devolución retroactiva completa. Las propias entidades estimaron el impacto más probable de la eliminación de las cláusulas suelo en torno a los 3.700 millones de euros al cierre de 2016, de los que unos 2.100 millones corresponden a la retroactividad anterior al 9 de mayo de 2013.</w:t>
      </w:r>
      <w:r>
        <w:t xml:space="preserve"> (STS 241/2013, de 9-V-2013, Sala de lo Civil, Rec. 485/2012 (ECLI:ES:TS:2013:1916); TJUE, sentencia de 21-XII-2016 (asuntos C-154/15, C-307/15, C-308/15); estimación de las entidades al cierre de 2016)</w:t>
      </w:r>
    </w:p>
    <w:p>
      <w:r>
        <w:t>[17.00-65.1 a 65.3]</w:t>
      </w:r>
    </w:p>
    <w:p>
      <w:pPr>
        <w:pStyle w:val="Heading3"/>
      </w:pPr>
      <w:r>
        <w:t>Artículo 52 · CUMPLE</w:t>
      </w:r>
    </w:p>
    <w:p>
      <w:r>
        <w:rPr>
          <w:b/>
        </w:rPr>
        <w:t>La norma.</w:t>
      </w:r>
      <w:r>
        <w:t xml:space="preserve"> «La ley regulará las organizaciones profesionales que contribuyan a la defensa de los intereses económicos que les sean propios. Su estructura interna y funcionamiento deberán ser democráticos.»</w:t>
      </w:r>
    </w:p>
    <w:p>
      <w:r>
        <w:rPr>
          <w:b/>
        </w:rPr>
        <w:t>El hecho.</w:t>
      </w:r>
      <w:r>
        <w:t xml:space="preserve"> La Ley 12/2014 regula la representatividad de las organizaciones profesionales agrarias mediante consulta electoral cada 5 años, con umbral mínimo del 15% de votos a nivel estatal. La STC 132/1989 confirmó que el art. 52 CE solo establece una reserva de ley, sin contenido esencial más allá de exigir estructura democrática. No se encontró controversia documentada sobre irregularidades en las organizaciones reales (ASAJA, COAG, UPA).</w:t>
      </w:r>
      <w:r>
        <w:t xml:space="preserve"> (Ley 12/2014, de 9-VII; STC 132/1989, de 18-VII)</w:t>
      </w:r>
    </w:p>
    <w:p>
      <w:r>
        <w:t>[17.00-66.1 a 66.3]</w:t>
      </w:r>
    </w:p>
    <w:p>
      <w:pPr>
        <w:pStyle w:val="Heading3"/>
      </w:pPr>
      <w:r>
        <w:t>Artículo 53.3 · CUMPLE</w:t>
      </w:r>
    </w:p>
    <w:p>
      <w:r>
        <w:rPr>
          <w:b/>
        </w:rPr>
        <w:t>La norma.</w:t>
      </w:r>
      <w:r>
        <w:t xml:space="preserve"> «El reconocimiento, el respeto y la protección de los principios [rectores del Capítulo III][…] informarán la legislación positiva… Sólo podrán ser alegados ante la Jurisdicción ordinaria de acuerdo con lo que dispongan las leyes que los desarrollen.»</w:t>
      </w:r>
    </w:p>
    <w:p>
      <w:r>
        <w:rPr>
          <w:b/>
        </w:rPr>
        <w:t>El hecho.</w:t>
      </w:r>
      <w:r>
        <w:t xml:space="preserve"> Doctrina constante desde la STC 152/1988 hasta la STC 32/2019: los principios rectores (como el derecho a la vivienda del art. 47 CE) no generan, por sí solos, un derecho subjetivo exigible directamente ante los tribunales. La STC 32/2019 rechazó expresamente un recurso que invocaba el art. 47 CE en solitario, citando el TJUE (asunto C-539/14) para confirmar que este límite coincide con la doctrina europea. La STC 79/2024 y la STC 17/2026 matizan, sin contradecir, la doctrina: una vez existe ley de desarrollo, el derecho sí se activa como exigible.</w:t>
      </w:r>
      <w:r>
        <w:t xml:space="preserve"> (STC 152/1988, de 20-VII; STC 32/2019; STC 79/2024; STC 17/2026, de 24-II)</w:t>
      </w:r>
    </w:p>
    <w:p>
      <w:r>
        <w:t>[17.00-67.1 a 67.3]</w:t>
      </w:r>
    </w:p>
    <w:p>
      <w:pPr>
        <w:pStyle w:val="Heading3"/>
      </w:pPr>
      <w:r>
        <w:t>Artículo 54 · CUMPLE</w:t>
      </w:r>
    </w:p>
    <w:p>
      <w:r>
        <w:rPr>
          <w:b/>
        </w:rPr>
        <w:t>La norma.</w:t>
      </w:r>
      <w:r>
        <w:t xml:space="preserve"> «Una ley orgánica regulará la institución del Defensor del Pueblo, como alto comisionado de las Cortes Generales… a cuyo efecto podrá supervisar la actividad de la Administración.»</w:t>
      </w:r>
    </w:p>
    <w:p>
      <w:r>
        <w:rPr>
          <w:b/>
        </w:rPr>
        <w:t>El hecho.</w:t>
      </w:r>
      <w:r>
        <w:t xml:space="preserve"> El caso se cuenta en </w:t>
      </w:r>
      <w:r>
        <w:t>7.3</w:t>
      </w:r>
      <w:r>
        <w:t>, n.º 9. Lo que 7.3 no dice: el art. 30.2 de la LO 3/1981 es el único recurso, y no hay sanción ni ejecución forzosa; la única consecuencia que prevé la ley es la exposición pública.</w:t>
      </w:r>
      <w:r>
        <w:t xml:space="preserve"> (Art. 30.1 y 30.2, LO 3/1981, del Defensor del Pueblo)</w:t>
      </w:r>
    </w:p>
    <w:p>
      <w:r>
        <w:t>[17.00-68.1 a 68.3]</w:t>
      </w:r>
    </w:p>
    <w:p>
      <w:pPr>
        <w:pStyle w:val="Heading3"/>
      </w:pPr>
      <w:r>
        <w:t>Artículo 55 · INCUMPLE · con declaración formal externa</w:t>
      </w:r>
    </w:p>
    <w:p>
      <w:r>
        <w:rPr>
          <w:b/>
        </w:rPr>
        <w:t>La norma.</w:t>
      </w:r>
      <w:r>
        <w:t xml:space="preserve"> «Los derechos reconocidos en los artículos 17, 18, apartados 2 y 3, artículos 19, 20, apartados 1, a) y d), y 5, artículos 21, 28, apartado 2, y artículo 37, apartado 2, podrán ser suspendidos cuando se acuerde la declaración del estado de excepción o de sitio en los términos previstos en la Constitución. Se exceptúa de lo establecido anteriormente el apartado 3 del artículo 17 para el supuesto de declaración de estado de excepción.»</w:t>
      </w:r>
    </w:p>
    <w:p>
      <w:r>
        <w:rPr>
          <w:b/>
        </w:rPr>
        <w:t>Declaración formal externa.</w:t>
      </w:r>
      <w:r>
        <w:t xml:space="preserve"> La STC 148/2021 declaró que el confinamiento de 2020 fue jurídicamente una suspensión de derechos, y el art. 55.1 CE exige para ello el estado de excepción, no el de alarma — que es el instrumento jurídicamente más débil disponible. Se usó la figura más leve de las tres para producir el efecto que solo permite la más grave.</w:t>
      </w:r>
      <w:r>
        <w:t xml:space="preserve"> (STC 148/2021, de 14-VII (BOE-A-2021-13032); STC 183/2021, de 27-X)</w:t>
      </w:r>
    </w:p>
    <w:p>
      <w:r>
        <w:t>[17.00-69.1, 70.1 y 70.2]</w:t>
      </w:r>
    </w:p>
    <w:p>
      <w:r>
        <w:rPr>
          <w:b/>
        </w:rPr>
        <w:t>La mejor defensa del Estado.</w:t>
      </w:r>
      <w:r>
        <w:t xml:space="preserve"> España es una democracia consolidada: los derechos fundamentales están protegidos por los jueces, por el Tribunal Constitucional y por el Tribunal Europeo de Derechos Humanos; y los principios rectores (arts. 39 a 52) son mandatos al legislador, no derechos exigibles de inmediato (art. 53.3).</w:t>
      </w:r>
    </w:p>
    <w:p>
      <w:r>
        <w:rPr>
          <w:i/>
        </w:rPr>
        <w:t>Los contrapuntos de la obra:</w:t>
      </w:r>
      <w:r>
        <w:t xml:space="preserve"> 1) Ese mismo Tribunal Europeo ha condenado a España entre 9 y 10 veces por no investigar bien denuncias de tortura o malos tratos (art. 15), y por castigar críticas al Rey (art. 20). 2) El Constitucional declaró que el confinamiento de 2020 fue una suspensión de derechos que exigía el estado de excepción, no el de alarma (STC 148/2021; arts. 19, 55 y 116). 3) La Constitución los llama derechos: «Todos los españoles tienen derecho a disfrutar de una vivienda digna y adecuada» (art. 47); la emancipación juvenil está en el 14,5 %, mínimo histórico (art. 48); y 853.509 pacientes esperan una operación (art. 43). 4) Lo cobrado con la amnistía fiscal de 2012 y la plusvalía municipal, anuladas, no se devolvió (art. 31.1).</w:t>
      </w:r>
    </w:p>
    <w:p>
      <w:r>
        <w:t>[17.00-225.1, 226.1 a 226.4]</w:t>
      </w:r>
    </w:p>
    <w:p>
      <w:pPr>
        <w:pStyle w:val="Heading2"/>
      </w:pPr>
      <w:r>
        <w:t>A.3 Título II. La Corona</w:t>
      </w:r>
    </w:p>
    <w:p>
      <w:pPr>
        <w:pBdr>
          <w:left w:val="single" w:sz="24" w:space="6" w:color="E2DED6"/>
        </w:pBdr>
        <w:shd w:val="clear" w:color="auto" w:fill="F1EEE8"/>
        <w:spacing w:before="80" w:after="160"/>
        <w:ind w:left="142" w:right="142"/>
      </w:pPr>
      <w:r>
        <w:rPr>
          <w:b/>
        </w:rPr>
        <w:t>La idea: la Corona incumple en 3 de sus 10 artículos; la defensa dice que cumple su función simbólica y publica sus cuentas, y los contrapuntos señalan el coste real de funcionamiento y la motivación de los indultos.</w:t>
      </w:r>
    </w:p>
    <w:p>
      <w:r>
        <w:t>10 artículos auditados; 3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56</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57.5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62.i</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63.3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56 · PENDIENTE</w:t>
      </w:r>
    </w:p>
    <w:p>
      <w:r>
        <w:rPr>
          <w:b/>
        </w:rPr>
        <w:t>La norma.</w:t>
      </w:r>
      <w:r>
        <w:t xml:space="preserve"> «La persona del Rey es inviolable y no está sujeta a responsabilidad.»</w:t>
      </w:r>
    </w:p>
    <w:p>
      <w:r>
        <w:rPr>
          <w:b/>
        </w:rPr>
        <w:t>El hecho.</w:t>
      </w:r>
      <w:r>
        <w:t xml:space="preserve"> Un artículo académico (Revista de Derecho Político, UNED, 2023) confirma que la interpretación tradicional de inviolabilidad «absoluta en lo material y temporal» ha quedado «ampliamente refutada y cuestionada». Existen dos tesis en disputa real: la mayoritaria (inviolabilidad absoluta mientras se ostenta la jefatura, con apoyo en el fundamento doctrinal de la STC 98/2019, que protege la persona del Rey y no la función; la cita exacta «FJ 3.c» no se ha podido confirmar letra por letra) y la minoritaria (podría responder por actos privados no refrendados incluso en mandato). Las investigaciones judiciales solo cubrieron actos posteriores a la abdicación, evitando resolver la pregunta de fondo. Este punto no se puede cerrar en un sentido o en otro: sigue abierto EN LA PROPIA DOCTRINA ACADÉMICA, con las dos tesis en disputa ya descritas; es una disputa real y no resuelta entre juristas, no una laguna de la auditoría.</w:t>
      </w:r>
      <w:r>
        <w:t xml:space="preserve"> (Revista de Derecho Político, UNED (2023); STC 98/2019, de 17-VII, FJ 3.c)</w:t>
      </w:r>
    </w:p>
    <w:p>
      <w:r>
        <w:t>[17.00-72.1 a 72.3]</w:t>
      </w:r>
    </w:p>
    <w:p>
      <w:pPr>
        <w:pStyle w:val="Heading3"/>
      </w:pPr>
      <w:r>
        <w:t>Artículo 57.5 · CUMPLE</w:t>
      </w:r>
    </w:p>
    <w:p>
      <w:r>
        <w:rPr>
          <w:b/>
        </w:rPr>
        <w:t>La norma.</w:t>
      </w:r>
      <w:r>
        <w:t xml:space="preserve"> «Las abdicaciones y renuncias y cualquier duda de hecho o de derecho que ocurra en el orden de sucesión a la Corona se resolverán por una ley orgánica.»</w:t>
      </w:r>
    </w:p>
    <w:p>
      <w:r>
        <w:rPr>
          <w:b/>
        </w:rPr>
        <w:t>El hecho.</w:t>
      </w:r>
      <w:r>
        <w:t xml:space="preserve"> La LO 3/2014, de 18 de junio, reguló la abdicación de Juan Carlos I. Ningún otro caso de «duda de hecho o de derecho» en la sucesión desde 1978 ha requerido nueva ley orgánica. Al ratificar en 1983 la Convención sobre la eliminación de la discriminación contra la mujer, España hizo esta reserva: «La ratificación de la Convención por España no efectará a las disposiciones constitucionales en materia de sucesión a la Corona española.» («efectará» es del original).</w:t>
      </w:r>
      <w:r>
        <w:t xml:space="preserve"> (LO 3/2014, de 18-VI (BOE núm. 148, de 19-VI-2014); reserva de España de 16-XII-1983 a la Convención sobre la mujer (BOE núm. 69, de 21-III-1984))</w:t>
      </w:r>
    </w:p>
    <w:p>
      <w:r>
        <w:t>[17.00-73.1 a 73.3 y 244.3]</w:t>
      </w:r>
    </w:p>
    <w:p>
      <w:pPr>
        <w:pStyle w:val="Heading3"/>
      </w:pPr>
      <w:r>
        <w:t>Artículo 58 · CUMPLE</w:t>
      </w:r>
    </w:p>
    <w:p>
      <w:r>
        <w:rPr>
          <w:b/>
        </w:rPr>
        <w:t>La norma.</w:t>
      </w:r>
      <w:r>
        <w:t xml:space="preserve"> «La Reina consorte o el consorte de la Reina no podrán asumir funciones constitucionales, salvo lo dispuesto para la Regencia.»</w:t>
      </w:r>
    </w:p>
    <w:p>
      <w:r>
        <w:rPr>
          <w:b/>
        </w:rPr>
        <w:t>El hecho.</w:t>
      </w:r>
      <w:r>
        <w:t xml:space="preserve"> La Reina no tiene funciones constitucionales (art. 58). Su agenda, documentada en la web de la Casa de Su Majestad el Rey, incluye un viaje de cooperación a Cabo Verde, con un proyecto bilateral de la Agencia Española de Cooperación Internacional para el Desarrollo (AECID), en marzo de 2025, y la Presidencia de Honor de la Asociación Española Contra el Cáncer y de su Fundación Científica desde 2010.</w:t>
      </w:r>
      <w:r>
        <w:t xml:space="preserve"> (casareal.es, agenda y biografía de la Reina)</w:t>
      </w:r>
    </w:p>
    <w:p>
      <w:r>
        <w:t>[17.00-74.1 y 74.2]</w:t>
      </w:r>
    </w:p>
    <w:p>
      <w:pPr>
        <w:pStyle w:val="Heading3"/>
      </w:pPr>
      <w:r>
        <w:t>Artículo 59 · CUMPLE</w:t>
      </w:r>
    </w:p>
    <w:p>
      <w:r>
        <w:rPr>
          <w:b/>
        </w:rPr>
        <w:t>La norma.</w:t>
      </w:r>
      <w:r>
        <w:t xml:space="preserve"> «Cuando el Rey fuere menor de edad, el padre o la madre del Rey y, en su defecto, el pariente mayor de edad más próximo a suceder en la Corona, según el orden establecido en la Constitución, entrará a ejercer inmediatamente la Regencia y la ejercerá durante el tiempo de la minoría de edad del Rey.»</w:t>
      </w:r>
    </w:p>
    <w:p>
      <w:r>
        <w:rPr>
          <w:b/>
        </w:rPr>
        <w:t>El hecho.</w:t>
      </w:r>
      <w:r>
        <w:t xml:space="preserve"> Ni el art. 59 ni el art. 60 tienen ley orgánica u ordinaria de desarrollo específica — la propia Constitución regula el mecanismo completo en su texto. Nunca se ha activado: tanto Juan Carlos I como Felipe VI accedieron al trono siendo mayores de edad.</w:t>
      </w:r>
      <w:r>
        <w:t xml:space="preserve"> (Art. 59 CE; ausencia de ley de desarrollo)</w:t>
      </w:r>
    </w:p>
    <w:p>
      <w:r>
        <w:t>[17.00-75.1 a 75.3]</w:t>
      </w:r>
    </w:p>
    <w:p>
      <w:pPr>
        <w:pStyle w:val="Heading3"/>
      </w:pPr>
      <w:r>
        <w:t>Artículo 60 · CUMPLE</w:t>
      </w:r>
    </w:p>
    <w:p>
      <w:r>
        <w:rPr>
          <w:b/>
        </w:rPr>
        <w:t>La norma.</w:t>
      </w:r>
      <w:r>
        <w:t xml:space="preserve"> «Será tutor del Rey menor la persona que en su testamento hubiese nombrado el Rey difunto…»</w:t>
      </w:r>
    </w:p>
    <w:p>
      <w:r>
        <w:rPr>
          <w:b/>
        </w:rPr>
        <w:t>El hecho.</w:t>
      </w:r>
      <w:r>
        <w:t xml:space="preserve"> Mismo resultado que el art. 59: tres tipos de tutela posibles (testamentaria, legítima, dativa por las Cortes) regulados en el propio texto constitucional, sin desarrollo legal adicional, nunca activado.</w:t>
      </w:r>
      <w:r>
        <w:t xml:space="preserve"> (Art. 60 CE; ausencia de ley de desarrollo)</w:t>
      </w:r>
    </w:p>
    <w:p>
      <w:r>
        <w:t>[17.00-76.1 a 76.3]</w:t>
      </w:r>
    </w:p>
    <w:p>
      <w:pPr>
        <w:pStyle w:val="Heading3"/>
      </w:pPr>
      <w:r>
        <w:t>Artículo 61 · CUMPLE</w:t>
      </w:r>
    </w:p>
    <w:p>
      <w:r>
        <w:rPr>
          <w:b/>
        </w:rPr>
        <w:t>La norma.</w:t>
      </w:r>
      <w:r>
        <w:t xml:space="preserve"> «El Rey, al ser proclamado ante las Cortes Generales, prestará juramento de desempeñar fielmente sus funciones, guardar y hacer guardar la Constitución y las leyes.»</w:t>
      </w:r>
    </w:p>
    <w:p>
      <w:r>
        <w:rPr>
          <w:b/>
        </w:rPr>
        <w:t>El hecho.</w:t>
      </w:r>
      <w:r>
        <w:t xml:space="preserve"> Felipe VI fue proclamado Rey el 19-VI-2014, en sesión solemne de las Cortes Generales reunidas en el Palacio del Congreso de los Diputados, el mismo día en que entró en vigor la Ley Orgánica 3/2014, de abdicación (BOE núm. 148, de 19-VI-2014). El Diario de Sesiones recoge el texto del juramento y la proclamación.</w:t>
      </w:r>
      <w:r>
        <w:t xml:space="preserve"> (LO 3/2014 (BOE núm. 148, de 19-VI-2014); Cortes Generales, Diario de Sesiones, sesión solemne de 19-VI-2014)</w:t>
      </w:r>
    </w:p>
    <w:p>
      <w:r>
        <w:t>[17.00-77.1 y 77.2]</w:t>
      </w:r>
    </w:p>
    <w:p>
      <w:pPr>
        <w:pStyle w:val="Heading3"/>
      </w:pPr>
      <w:r>
        <w:t>Artículo 62.i · INCUMPLE · con declaración formal externa</w:t>
      </w:r>
    </w:p>
    <w:p>
      <w:r>
        <w:rPr>
          <w:b/>
        </w:rPr>
        <w:t>La norma.</w:t>
      </w:r>
      <w:r>
        <w:t xml:space="preserve"> «Corresponde al Rey… ejercer el derecho de gracia con arreglo a la ley, que no podrá autorizar indultos generales.»</w:t>
      </w:r>
    </w:p>
    <w:p>
      <w:r>
        <w:rPr>
          <w:b/>
        </w:rPr>
        <w:t>Declaración formal externa.</w:t>
      </w:r>
      <w:r>
        <w:t xml:space="preserve"> Cifras anuales de indultos: 11 en 2023 (mínimo histórico), 16 en 2022, un pico de 41 en el primer semestre de 2021 (incluidos los 9 líderes del procés, indultados el 22 de junio de ese año). El Tribunal Supremo anuló el RD 1668/2012 por falta de motivación, y el RD 863/2013 por falta del informe preceptivo del tribunal sentenciador competente. La Fundación CIVIO documenta 10.779 indultos entre diciembre de 1995 y diciembre de 2023.</w:t>
      </w:r>
      <w:r>
        <w:t xml:space="preserve"> (STS Pleno, 20-XI-2013, rec. 13/2013; STS 1.008/2025, de 16-VII-2025; Fundación CIVIO)</w:t>
      </w:r>
    </w:p>
    <w:p>
      <w:r>
        <w:t>[17.00-78.1, 79.1 y 79.2]</w:t>
      </w:r>
    </w:p>
    <w:p>
      <w:pPr>
        <w:pStyle w:val="Heading3"/>
      </w:pPr>
      <w:r>
        <w:t>Artículo 63.3 · INCUMPLE</w:t>
      </w:r>
    </w:p>
    <w:p>
      <w:r>
        <w:rPr>
          <w:b/>
        </w:rPr>
        <w:t>La norma.</w:t>
      </w:r>
      <w:r>
        <w:t xml:space="preserve"> «Al Rey corresponde, previa autorización de las Cortes Generales, declarar la guerra y hacer la paz.»</w:t>
      </w:r>
    </w:p>
    <w:p>
      <w:r>
        <w:rPr>
          <w:b/>
        </w:rPr>
        <w:t>El hecho.</w:t>
      </w:r>
      <w:r>
        <w:t xml:space="preserve"> Debate doctrinal real sobre su alcance: la postura mayoritaria lo considera un acto simbólico del Rey con poder real en el Gobierno; España participa en misiones internacionales por la vía de la LO 5/2005, sin activar nunca el art. 63.3 en sentido estricto desde 1978. La obra lo clasifica como INCUMPLE porque el mecanismo previsto no se ha aplicado nunca (lo que no se cumple, incumple), y deja anotado que es un precepto en desuso. Se anota que la falta de aplicación puede deberse a que no se han dado los supuestos que lo activan.</w:t>
      </w:r>
      <w:r>
        <w:t xml:space="preserve"> (LO 5/2005, de Defensa Nacional; doctrina jurídica especializada)</w:t>
      </w:r>
    </w:p>
    <w:p>
      <w:r>
        <w:t>[17.00-80.1 a 80.3]</w:t>
      </w:r>
    </w:p>
    <w:p>
      <w:pPr>
        <w:pStyle w:val="Heading3"/>
      </w:pPr>
      <w:r>
        <w:t>Artículo 64 · CUMPLE</w:t>
      </w:r>
    </w:p>
    <w:p>
      <w:r>
        <w:rPr>
          <w:b/>
        </w:rPr>
        <w:t>La norma.</w:t>
      </w:r>
      <w:r>
        <w:t xml:space="preserve"> «Los actos del Rey serán refrendados por el Presidente del Gobierno y, en su caso, por los Ministros competentes. [[…]] De los actos del Rey serán responsables las personas que los refrenden.»</w:t>
      </w:r>
    </w:p>
    <w:p>
      <w:r>
        <w:rPr>
          <w:b/>
        </w:rPr>
        <w:t>El hecho.</w:t>
      </w:r>
      <w:r>
        <w:t xml:space="preserve"> El art. 64.1 manda que «la disolución prevista en el artículo 99» sea refrendada «por el Presidente del Congreso». El Real Decreto 551/2019, de 24 de septiembre, que disuelve las Cortes por el art. 99.5, lo firma el Rey y lo refrenda la Presidenta del Congreso: «Dado en Madrid, el 24 de septiembre de 2019. FELIPE R. La Presidenta del Congreso de los Diputados».</w:t>
      </w:r>
      <w:r>
        <w:t xml:space="preserve"> (Constitución, art. 64.1; BOE-A-2019-13558)</w:t>
      </w:r>
    </w:p>
    <w:p>
      <w:r>
        <w:t>[17.00-81.1]</w:t>
      </w:r>
    </w:p>
    <w:p>
      <w:pPr>
        <w:pStyle w:val="Heading3"/>
      </w:pPr>
      <w:r>
        <w:t>Artículo 65 · INCUMPLE · con declaración formal externa</w:t>
      </w:r>
    </w:p>
    <w:p>
      <w:r>
        <w:rPr>
          <w:b/>
        </w:rPr>
        <w:t>La norma.</w:t>
      </w:r>
      <w:r>
        <w:t xml:space="preserve"> «El Rey recibe de los Presupuestos del Estado una cantidad global para el sostenimiento de su Familia y Casa, y distribuye libremente la misma.»</w:t>
      </w:r>
    </w:p>
    <w:p>
      <w:r>
        <w:rPr>
          <w:b/>
        </w:rPr>
        <w:t>Declaración formal externa.</w:t>
      </w:r>
      <w:r>
        <w:t xml:space="preserve"> Presupuesto oficial de 8.431.150 € (PGE), congelado en esa cifra desde 2021 (en 2018-2020 la cifra era de 7.887.150 €). El Tribunal de Cuentas detectó que el coste real de funcionamiento en 2025 fue de 9,4 millones frente a 8,4 presupuestados, obligando a retirar 983.403 € de las reservas, que han quedado en solo 4,1 millones (se agotarían en poco más de 4 años al ritmo actual, cálculo de la obra).</w:t>
      </w:r>
      <w:r>
        <w:t xml:space="preserve"> (Tribunal de Cuentas, informe de 2026)</w:t>
      </w:r>
    </w:p>
    <w:p>
      <w:r>
        <w:rPr>
          <w:b/>
        </w:rPr>
        <w:t>Otro cálculo (nivel B).</w:t>
      </w:r>
      <w:r>
        <w:t xml:space="preserve"> Un informe de REMCO (Universidad de Málaga, marzo de 2026) calcula el coste de la Jefatura del Estado en unos 105 millones de euros (105,24 en sus tablas 1 y 2; 104,86 en la 5), con datos de la Casa de 2021 y relaciones de puestos de 2023. Es un estudio, no una cifra oficial.</w:t>
      </w:r>
      <w:r>
        <w:t xml:space="preserve"> (REMCO, informe sobre el coste de las jefaturas del Estado (marzo de 2026); fuente secundaria)</w:t>
      </w:r>
    </w:p>
    <w:p>
      <w:r>
        <w:t>[17.00-82.1, 83.1 y 83.2]</w:t>
      </w:r>
    </w:p>
    <w:p>
      <w:r>
        <w:rPr>
          <w:b/>
        </w:rPr>
        <w:t>La mejor defensa del Estado.</w:t>
      </w:r>
      <w:r>
        <w:t xml:space="preserve"> La Corona cumple su función simbólica y arbitral, publica sus cuentas y tiene su presupuesto congelado desde 2021.</w:t>
      </w:r>
    </w:p>
    <w:p>
      <w:r>
        <w:rPr>
          <w:i/>
        </w:rPr>
        <w:t>Los contrapuntos de la obra:</w:t>
      </w:r>
      <w:r>
        <w:t xml:space="preserve"> 1) El Tribunal de Cuentas detectó que en 2025 el coste real de funcionamiento fue de 9,4 millones frente a 8,4 presupuestados, y que hubo que retirar 983.403 euros de las reservas (art. 65). 2) Ni el presupuesto ni las cuentas de la Casa del Rey dicen cuántas personas trabajan en ella; sí lo publica el Portal de la Transparencia, en la relación de puestos del Ministerio de la Presidencia: 161 puestos de personal civil a 1-X-2026 (</w:t>
      </w:r>
      <w:r>
        <w:t>C.2</w:t>
      </w:r>
      <w:r>
        <w:t>). Y el Supremo ha anulado indultos por falta de motivación o del informe preceptivo del tribunal sentenciador (art. 62.i).</w:t>
      </w:r>
    </w:p>
    <w:p>
      <w:r>
        <w:t>[17.00-227.1, 228.1, 228.3]</w:t>
      </w:r>
    </w:p>
    <w:p>
      <w:pPr>
        <w:pStyle w:val="Heading2"/>
      </w:pPr>
      <w:r>
        <w:t>A.4 Título III. Las Cortes Generales</w:t>
      </w:r>
    </w:p>
    <w:p>
      <w:pPr>
        <w:pBdr>
          <w:left w:val="single" w:sz="24" w:space="6" w:color="E2DED6"/>
        </w:pBdr>
        <w:shd w:val="clear" w:color="auto" w:fill="F1EEE8"/>
        <w:spacing w:before="80" w:after="160"/>
        <w:ind w:left="142" w:right="142"/>
      </w:pPr>
      <w:r>
        <w:rPr>
          <w:b/>
        </w:rPr>
        <w:t>La idea: el Parlamento funciona, pero sobre todo hacia dentro: 8 de 31 artículos incumplen, con un Gobierno que legisla por decreto y unas Cortes que fijan su propia asignación.</w:t>
      </w:r>
    </w:p>
    <w:p>
      <w:r>
        <w:t>31 artículos auditados; 8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66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67.2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68.3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70.1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75.3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76.2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77.1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83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87.3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96.1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66 · CUMPLE</w:t>
      </w:r>
    </w:p>
    <w:p>
      <w:r>
        <w:t>Artículo auditado por apartados: 66.2 y 66.3.</w:t>
      </w:r>
    </w:p>
    <w:p>
      <w:r>
        <w:t>Se auditan dos apartados: el 2 (control de la acción del Gobierno) y el 3 (inviolabilidad de las Cortes). Los dos cumplen.</w:t>
      </w:r>
    </w:p>
    <w:p>
      <w:r>
        <w:rPr>
          <w:b/>
        </w:rPr>
        <w:t>Apartado 66.2 · CUMPLE.</w:t>
      </w:r>
    </w:p>
    <w:p>
      <w:r>
        <w:rPr>
          <w:b/>
        </w:rPr>
        <w:t>La norma.</w:t>
      </w:r>
      <w:r>
        <w:t xml:space="preserve"> «Las Cortes Generales… controlan la acción del Gobierno.»</w:t>
      </w:r>
    </w:p>
    <w:p>
      <w:r>
        <w:rPr>
          <w:b/>
        </w:rPr>
        <w:t>El hecho.</w:t>
      </w:r>
      <w:r>
        <w:t xml:space="preserve"> Entre enero de 2024 y septiembre de 2026, el Congreso derogó al menos siete reales decretos-leyes del Gobierno (7/2023, 9/2024, 7/2025, 16/2025, 2/2026, 8/2026 y 21/2026) (</w:t>
      </w:r>
      <w:r>
        <w:t>11.3</w:t>
      </w:r>
      <w:r>
        <w:t xml:space="preserve">, </w:t>
      </w:r>
      <w:r>
        <w:t>cargo 12</w:t>
      </w:r>
      <w:r>
        <w:t>).</w:t>
      </w:r>
      <w:r>
        <w:t xml:space="preserve"> (BOE, «Referencias posteriores» de cada decreto-ley)</w:t>
      </w:r>
    </w:p>
    <w:p>
      <w:r>
        <w:rPr>
          <w:b/>
        </w:rPr>
        <w:t>Apartado 66.3 · CUMPLE.</w:t>
      </w:r>
    </w:p>
    <w:p>
      <w:r>
        <w:rPr>
          <w:b/>
        </w:rPr>
        <w:t>La norma.</w:t>
      </w:r>
      <w:r>
        <w:t xml:space="preserve"> «Las Cortes Generales son inviolables.»</w:t>
      </w:r>
    </w:p>
    <w:p>
      <w:r>
        <w:rPr>
          <w:b/>
        </w:rPr>
        <w:t>El hecho.</w:t>
      </w:r>
      <w:r>
        <w:t xml:space="preserve"> El ATC 147/1982 vincula esta inviolabilidad a la independencia de las Cámaras. La propia sinopsis oficial del Congreso reconoce que el carácter institucional de esta inviolabilidad «tiene un perfil más difuso» que la individual del art. 71.1. No se localizó ningún caso documentado de vulneración formal desde 1978.</w:t>
      </w:r>
      <w:r>
        <w:t xml:space="preserve"> (ATC 147/1982, de 22-IV; sinopsis oficial del Congreso de los Diputados)</w:t>
      </w:r>
    </w:p>
    <w:p>
      <w:r>
        <w:t>[17.00-85.1 y 85.2, 86.1, 87.1 a 87.3]</w:t>
      </w:r>
    </w:p>
    <w:p>
      <w:pPr>
        <w:pStyle w:val="Heading3"/>
      </w:pPr>
      <w:r>
        <w:t>Artículo 67.2 · CUMPLE</w:t>
      </w:r>
    </w:p>
    <w:p>
      <w:r>
        <w:rPr>
          <w:b/>
        </w:rPr>
        <w:t>La norma.</w:t>
      </w:r>
      <w:r>
        <w:t xml:space="preserve"> «Los miembros de las Cortes Generales no estarán ligados por mandato imperativo.»</w:t>
      </w:r>
    </w:p>
    <w:p>
      <w:r>
        <w:rPr>
          <w:b/>
        </w:rPr>
        <w:t>El hecho.</w:t>
      </w:r>
      <w:r>
        <w:t xml:space="preserve"> El Pacto Antitransfuguismo (1998, III Adenda de 2020) carece de efecto normativo real, según expertos, porque el propio art. 67.2 CE protege la libertad del diputado y el TC confirma que el acta pertenece al diputado, no al partido. Caso real: dos diputados de UPN, acusados de tránsfugas tras votar contra su partido (UPN no firma el pacto).</w:t>
      </w:r>
      <w:r>
        <w:t xml:space="preserve"> (Pacto Antitransfuguismo (1998, III Adenda 2020); doctrina del Tribunal Constitucional sobre el mandato representativo (STC 10/1983 y jurisprudencia posterior) -no se ha podido confirmar una STS de 27-X-2020 relacionada con este caso concreto; existe una sentencia de esa misma fecha, pero sobre concejales tránsfugas municipales, un asunto distinto-)</w:t>
      </w:r>
    </w:p>
    <w:p>
      <w:r>
        <w:t>[17.00-88.1 a 88.3]</w:t>
      </w:r>
    </w:p>
    <w:p>
      <w:pPr>
        <w:pStyle w:val="Heading3"/>
      </w:pPr>
      <w:r>
        <w:t>Artículo 68.3 · CUMPLE</w:t>
      </w:r>
    </w:p>
    <w:p>
      <w:r>
        <w:rPr>
          <w:b/>
        </w:rPr>
        <w:t>La norma.</w:t>
      </w:r>
      <w:r>
        <w:t xml:space="preserve"> «La elección [al Congreso] se verificará… atendiendo a criterios de representación proporcional.»</w:t>
      </w:r>
    </w:p>
    <w:p>
      <w:r>
        <w:rPr>
          <w:b/>
        </w:rPr>
        <w:t>El hecho.</w:t>
      </w:r>
      <w:r>
        <w:t xml:space="preserve"> El índice de Gallagher para las generales de julio de 2023 sale 5,8 con los resultados oficiales (entre 5,58 y 5,81 según se cuente; cálculo de la obra). El PP obtuvo el 33,06 % de los votos y el 39,14 % de los escaños: una diferencia de 6,08 puntos.</w:t>
      </w:r>
      <w:r>
        <w:t xml:space="preserve"> (Ministerio del Interior, resultados oficiales de las elecciones generales de julio de 2023; cálculo de la obra)</w:t>
      </w:r>
    </w:p>
    <w:p>
      <w:r>
        <w:t>[17.00-89.1 a 89.3]</w:t>
      </w:r>
    </w:p>
    <w:p>
      <w:pPr>
        <w:pStyle w:val="Heading3"/>
      </w:pPr>
      <w:r>
        <w:t>Artículo 69.2 · CUMPLE</w:t>
      </w:r>
    </w:p>
    <w:p>
      <w:r>
        <w:rPr>
          <w:b/>
        </w:rPr>
        <w:t>La norma.</w:t>
      </w:r>
      <w:r>
        <w:t xml:space="preserve"> «En cada provincia se elegirán cuatro Senadores por sufragio universal, libre, igual, directo y secreto por los votantes de cada una de ellas, en los términos que señale una ley orgánica.»</w:t>
      </w:r>
    </w:p>
    <w:p>
      <w:r>
        <w:rPr>
          <w:b/>
        </w:rPr>
        <w:t>El hecho.</w:t>
      </w:r>
      <w:r>
        <w:t xml:space="preserve"> Cada provincia peninsular elige 4 senadores sin importar su población (188 senadores de este tipo). Madrid, con más de 7 millones de habitantes, elige los mismos 4 senadores que Soria (unos 88.000-90.000 habitantes) — una desproporción del orden de 80 a 1.</w:t>
      </w:r>
      <w:r>
        <w:t xml:space="preserve"> (Art. 69.2 CE; datos poblacionales del INE (aproximación razonada))</w:t>
      </w:r>
    </w:p>
    <w:p>
      <w:r>
        <w:t>[17.00-90.1 a 90.3]</w:t>
      </w:r>
    </w:p>
    <w:p>
      <w:pPr>
        <w:pStyle w:val="Heading3"/>
      </w:pPr>
      <w:r>
        <w:t>Artículo 70.1 · CUMPLE</w:t>
      </w:r>
    </w:p>
    <w:p>
      <w:r>
        <w:rPr>
          <w:b/>
        </w:rPr>
        <w:t>La norma.</w:t>
      </w:r>
      <w:r>
        <w:t xml:space="preserve"> «La ley electoral determinará las causas de inelegibilidad e incompatibilidad de los Diputados y Senadores.»</w:t>
      </w:r>
    </w:p>
    <w:p>
      <w:r>
        <w:rPr>
          <w:b/>
        </w:rPr>
        <w:t>El hecho.</w:t>
      </w:r>
      <w:r>
        <w:t xml:space="preserve"> El Acuerdo de la Junta Electoral Central de 3 de enero de 2020 declaró la «inelegibilidad sobrevenida» de un eurodiputado electo tras una condena penal firme, con la pérdida de su condición de eurodiputado. El Tribunal Constitucional desestimó sus recursos de amparo por pérdida sobrevenida de objeto (SSTC 31/2024 y 45/2024) y el TJUE se pronunció en el asunto C-502/19. Otros tres casos con sentencia: STS 572/2021, STS 132/2023 y STS 444/2023. La obra lo clasifica como cumplimiento limpio: no consta resolución que anulara una extralimitación en la aplicación del art. 70.1.</w:t>
      </w:r>
      <w:r>
        <w:t xml:space="preserve"> (Acuerdo JEC de 3-I-2020; STS 459/2019; STC 31/2024 (BOE-A-2024-6673); STC 45/2024 (BOE-A-2024-8188); TJUE C-502/19; STS 572/2021, de 28-IV-2021 (recurso del Parlament de Catalunya contra el Acuerdo de la JEC de 3-I-2020); STS 132/2023, de 2-II-2023 (rec. 95/2022, Presidenta de la Comunidad de Madrid contra el Acuerdo 390/2021 de la JEC); STS 444/2023, de 30-III-2023 (rec. 66/2022, pérdida de credencial de un diputado del Parlament por inelegibilidad sobrevenida))</w:t>
      </w:r>
    </w:p>
    <w:p>
      <w:r>
        <w:t>Recursos de amparo 4481-2021 y 4247-2021 (un eurodiputado electo): el Acuerdo de la Junta Electoral Central de 3 de enero de 2020 declaró la «inelegibilidad sobrevenida» tras una condena penal firme (STS 459/2019) y la pérdida de su condición de eurodiputado. El Tribunal Constitucional desestimó los recursos de amparo del interesado por pérdida sobrevenida de objeto, al haberse satisfecho fuera del proceso sus pretensiones (STC 31/2024, de 28 de febrero, rec. 4481-2021; STC 45/2024, de 12 de marzo, rec. 4247-2021); el TJUE se pronunció en el asunto C-502/19. Otros tres casos con sentencia: STS 572/2021 (pérdida de credencial), STS 132/2023 (Presidenta de Madrid, JEC) y STS 444/2023 (Parlament de Cataluña). La obra lo clasifica como cumplimiento limpio: no consta resolución que anulara una extralimitación en la aplicación del art. 70.1.</w:t>
      </w:r>
    </w:p>
    <w:p>
      <w:r>
        <w:t>[17.00-91.1 a 91.3]</w:t>
      </w:r>
    </w:p>
    <w:p>
      <w:pPr>
        <w:pStyle w:val="Heading3"/>
      </w:pPr>
      <w:r>
        <w:t>Artículo 71.2 · CUMPLE</w:t>
      </w:r>
    </w:p>
    <w:p>
      <w:r>
        <w:rPr>
          <w:b/>
        </w:rPr>
        <w:t>La norma.</w:t>
      </w:r>
      <w:r>
        <w:t xml:space="preserve"> «Los Diputados y Senadores… sólo podrán ser detenidos en caso de flagrante delito… no podrán ser inculpados ni procesados sin la previa autorización de la Cámara respectiva.»</w:t>
      </w:r>
    </w:p>
    <w:p>
      <w:r>
        <w:rPr>
          <w:b/>
        </w:rPr>
        <w:t>El hecho.</w:t>
      </w:r>
      <w:r>
        <w:t xml:space="preserve"> La sinopsis oficial del Congreso explica que lo que se llama suplicatorio «no es técnicamente sino el instrumento procesal en el que la autoridad judicial solicita a la Cámara la autorización para proceder» (art. 5 de la Ley de 9 de febrero de 1912 y art. 755 de la Ley de Enjuiciamiento Criminal), y que es «el documento que desencadena el procedimiento para su tramitación previsto en los Reglamentos de ambas Cámaras».</w:t>
      </w:r>
      <w:r>
        <w:t xml:space="preserve"> (Congreso, sinopsis oficial del art. 71 CE)</w:t>
      </w:r>
    </w:p>
    <w:p>
      <w:r>
        <w:t>[17.00-92.1]</w:t>
      </w:r>
    </w:p>
    <w:p>
      <w:pPr>
        <w:pStyle w:val="Heading3"/>
      </w:pPr>
      <w:r>
        <w:t>Artículo 72.1 · INCUMPLE</w:t>
      </w:r>
    </w:p>
    <w:p>
      <w:r>
        <w:rPr>
          <w:b/>
        </w:rPr>
        <w:t>La norma.</w:t>
      </w:r>
      <w:r>
        <w:t xml:space="preserve"> «Las Cámaras establecen sus propios Reglamentos, aprueban autónomamente sus presupuestos.»</w:t>
      </w:r>
    </w:p>
    <w:p>
      <w:r>
        <w:rPr>
          <w:b/>
        </w:rPr>
        <w:t>El hecho.</w:t>
      </w:r>
      <w:r>
        <w:t xml:space="preserve"> Un artículo de HayDerecho (2024)</w:t>
      </w:r>
      <w:r>
        <w:t xml:space="preserve"> (HayDerecho, 2024; fuente secundaria)</w:t>
      </w:r>
      <w:r>
        <w:t>, titulado «el Tribunal de Cuentas no contesta los requerimientos del Congreso», documenta que el TCu tiene competencia exclusiva sobre la Administración estatal, pero 13 de las 17 comunidades autónomas tienen su propio órgano de control externo, mientras Extremadura, Murcia, La Rioja, Ceuta y Melilla siguen bajo fiscalización exclusiva del TCu estatal.</w:t>
      </w:r>
      <w:r>
        <w:t xml:space="preserve"> (HayDerecho, 2024, que da el título y la lista de comunidades)</w:t>
      </w:r>
    </w:p>
    <w:p>
      <w:r>
        <w:t>[17.00-93.1 a 93.3]</w:t>
      </w:r>
    </w:p>
    <w:p>
      <w:pPr>
        <w:pStyle w:val="Heading3"/>
      </w:pPr>
      <w:r>
        <w:t>Artículo 73.1 · INCUMPLE</w:t>
      </w:r>
    </w:p>
    <w:p>
      <w:r>
        <w:rPr>
          <w:b/>
        </w:rPr>
        <w:t>La norma.</w:t>
      </w:r>
      <w:r>
        <w:t xml:space="preserve"> «Las Cámaras se reunirán anualmente en dos períodos ordinarios de sesiones: el primero, de septiembre a diciembre, y el segundo, de febrero a junio.»</w:t>
      </w:r>
    </w:p>
    <w:p>
      <w:r>
        <w:rPr>
          <w:b/>
        </w:rPr>
        <w:t>El hecho.</w:t>
      </w:r>
      <w:r>
        <w:t xml:space="preserve"> El Gobierno estuvo en funciones desde el 21 de diciembre de 2015 (Real Decreto 1167/2015, que declara su cese tras las elecciones del 20 de diciembre) hasta el 29 de octubre de 2016: diez meses (cálculo de la obra). Las Cortes se habían disuelto el 26 de octubre de 2015 (Real Decreto 977/2015).</w:t>
      </w:r>
      <w:r>
        <w:t xml:space="preserve"> (Real Decreto 977/2015, de 26 de octubre (disolución de las Cortes); Real Decreto 1167/2015 (cese del Gobierno))</w:t>
      </w:r>
    </w:p>
    <w:p>
      <w:r>
        <w:t>[17.00-94.1 a 94.3]</w:t>
      </w:r>
    </w:p>
    <w:p>
      <w:pPr>
        <w:pStyle w:val="Heading3"/>
      </w:pPr>
      <w:r>
        <w:t>Artículo 74 · INCUMPLE</w:t>
      </w:r>
    </w:p>
    <w:p>
      <w:r>
        <w:rPr>
          <w:b/>
        </w:rPr>
        <w:t>La norma.</w:t>
      </w:r>
      <w:r>
        <w:t xml:space="preserve"> «Las Cámaras se reunirán en sesión conjunta para ejercer las competencias no legislativas que el Título II atribuye expresamente a las Cortes Generales.»</w:t>
      </w:r>
    </w:p>
    <w:p>
      <w:r>
        <w:rPr>
          <w:b/>
        </w:rPr>
        <w:t>El hecho.</w:t>
      </w:r>
      <w:r>
        <w:t xml:space="preserve"> Ninguno de los supuestos graves del art. 74.1 (incapacidad del Rey, nombramiento de Regente o tutor por las Cortes, resolución de dudas sucesorias) se ha dado nunca desde 1978. La práctica de la sesión solemne de apertura de legislatura con el Rey presente no se funda en este artículo, sino en el art. 62.b) CE. En cambio, el mecanismo del art. 74.2 (decisión por mayoría de cada Cámara, con Comisión Mixta si hay desacuerdo) sí está en uso regular: es la vía por la que se tramitan los convenios entre Comunidades Autónomas (art. 145.2) y las decisiones del Fondo de Compensación Interterritorial (art. 158.2). La obra lo clasifica como INCUMPLE porque el mecanismo previsto no se ha aplicado nunca (lo que no se cumple, incumple), y deja anotado que es un precepto en desuso. Se anota el matiz: los supuestos graves del art. 74.1 no se han dado nunca y el mecanismo del art. 74.2 sí está en uso regular; la falta de aplicación del 74.1 puede deberse a que no ha habido supuestos que lo exigieran.</w:t>
      </w:r>
      <w:r>
        <w:t xml:space="preserve"> (Sinopsis oficial del Congreso; art. 166 del Reglamento del Congreso; arts. 137-140 del Reglamento del Senado)</w:t>
      </w:r>
    </w:p>
    <w:p>
      <w:r>
        <w:t>[17.00-95.1 a 95.3]</w:t>
      </w:r>
    </w:p>
    <w:p>
      <w:pPr>
        <w:pStyle w:val="Heading3"/>
      </w:pPr>
      <w:r>
        <w:t>Artículo 75.3 · CUMPLE</w:t>
      </w:r>
    </w:p>
    <w:p>
      <w:r>
        <w:rPr>
          <w:b/>
        </w:rPr>
        <w:t>La norma.</w:t>
      </w:r>
      <w:r>
        <w:t xml:space="preserve"> «Quedan exceptuados de [la delegación en Comisiones Legislativas Permanentes] la reforma constitucional, las cuestiones internacionales, las leyes orgánicas y de bases y los Presupuestos Generales del Estado.»</w:t>
      </w:r>
    </w:p>
    <w:p>
      <w:r>
        <w:rPr>
          <w:b/>
        </w:rPr>
        <w:t>El hecho.</w:t>
      </w:r>
      <w:r>
        <w:t xml:space="preserve"> La sinopsis oficial del Congreso dice que «los arts. 148 y 149 del RC, establecen la presunción de delegación» (RC es el Reglamento del Congreso).</w:t>
      </w:r>
      <w:r>
        <w:t xml:space="preserve"> (Congreso, sinopsis oficial del art. 75 CE)</w:t>
      </w:r>
    </w:p>
    <w:p>
      <w:r>
        <w:t>[17.00-96.1 y 96.2]</w:t>
      </w:r>
    </w:p>
    <w:p>
      <w:pPr>
        <w:pStyle w:val="Heading3"/>
      </w:pPr>
      <w:r>
        <w:t>Artículo 76.2 · INCUMPLE</w:t>
      </w:r>
    </w:p>
    <w:p>
      <w:r>
        <w:rPr>
          <w:b/>
        </w:rPr>
        <w:t>La norma.</w:t>
      </w:r>
      <w:r>
        <w:t xml:space="preserve"> «Será obligatorio comparecer a requerimiento de las Cámaras. La ley regulará las sanciones que puedan imponerse por incumplimiento de esta obligación.»</w:t>
      </w:r>
    </w:p>
    <w:p>
      <w:r>
        <w:rPr>
          <w:b/>
        </w:rPr>
        <w:t>El hecho.</w:t>
      </w:r>
      <w:r>
        <w:t xml:space="preserve"> La sanción penal por incomparecencia está prevista en el art. 502.1 CP. Caso real: una exministra se negó a comparecer ante el Parlamento andaluz; la denuncia fue archivada por el Tribunal Supremo en julio de 2016. Existe además una exención estructural: el art. 399.1 LOPJ exime a jueces y magistrados de comparecer ante autoridades distintas de su tribunal aforante.</w:t>
      </w:r>
      <w:r>
        <w:t xml:space="preserve"> (Art. 502.1 CP; art. 399.1 LOPJ; archivo del TS de julio de 2016)</w:t>
      </w:r>
    </w:p>
    <w:p>
      <w:r>
        <w:t>[17.00-97.1 a 97.3]</w:t>
      </w:r>
    </w:p>
    <w:p>
      <w:pPr>
        <w:pStyle w:val="Heading3"/>
      </w:pPr>
      <w:r>
        <w:t>Artículo 77.1 · INCUMPLE</w:t>
      </w:r>
    </w:p>
    <w:p>
      <w:r>
        <w:rPr>
          <w:b/>
        </w:rPr>
        <w:t>La norma.</w:t>
      </w:r>
      <w:r>
        <w:t xml:space="preserve"> «Las Cámaras pueden recibir peticiones individuales y colectivas, siempre por escrito.»</w:t>
      </w:r>
    </w:p>
    <w:p>
      <w:r>
        <w:rPr>
          <w:b/>
        </w:rPr>
        <w:t>El hecho.</w:t>
      </w:r>
      <w:r>
        <w:t xml:space="preserve"> Un estudio de Political Watch, «El derecho de petición en el contexto digital» (3-II-2026), financiado por Red.es con fondos NextGenerationEU</w:t>
      </w:r>
      <w:r>
        <w:t xml:space="preserve"> (Political Watch, estudio y blog de 3-II-2026; fuente secundaria)</w:t>
      </w:r>
      <w:r>
        <w:t>, describe al Congreso y al Senado como «intermediarias administrativas… sin garantías de seguimiento ni evaluación de impacto real». Según sus datos, el Congreso derivó 380 de las 386 peticiones recibidas y el Senado, 78 de 167. El título del blog dice que derivan «todas»: los datos, no.</w:t>
      </w:r>
      <w:r>
        <w:t xml:space="preserve"> (Political Watch, «El derecho de petición en el contexto digital» (M. Á. Gonzalo y B. Agüero), 3-II-2026, con financiación de Red.es)</w:t>
      </w:r>
    </w:p>
    <w:p>
      <w:r>
        <w:t>[17.00-98.1 a 98.3]</w:t>
      </w:r>
    </w:p>
    <w:p>
      <w:pPr>
        <w:pStyle w:val="Heading3"/>
      </w:pPr>
      <w:r>
        <w:t>Artículo 78 · CUMPLE</w:t>
      </w:r>
    </w:p>
    <w:p>
      <w:r>
        <w:rPr>
          <w:b/>
        </w:rPr>
        <w:t>La norma.</w:t>
      </w:r>
      <w:r>
        <w:t xml:space="preserve"> «Las Diputaciones Permanentes estarán presididas por el Presidente de la Cámara respectiva y tendrán como funciones la prevista en el artículo 73, la de asumir las facultades que correspondan a las Cámaras, de acuerdo con los artículos 86 y 116, en caso de que éstas hubieren sido disueltas o hubiere expirado su mandato y la de velar por los poderes de las Cámaras cuando éstas no estén reunidas.»</w:t>
      </w:r>
    </w:p>
    <w:p>
      <w:r>
        <w:rPr>
          <w:b/>
        </w:rPr>
        <w:t>El hecho.</w:t>
      </w:r>
      <w:r>
        <w:t xml:space="preserve"> Tras la disolución de las Cortes en mayo de 2023, la Diputación Permanente asumió las facultades de las Cámaras hasta la constitución del 17 de agosto de 2023.</w:t>
      </w:r>
      <w:r>
        <w:t xml:space="preserve"> (Real Decreto 400/2023, de 29 de mayo, art. 5; art. 78.2 CE)</w:t>
      </w:r>
    </w:p>
    <w:p>
      <w:r>
        <w:t>[17.00-99.1 a 99.3]</w:t>
      </w:r>
    </w:p>
    <w:p>
      <w:pPr>
        <w:pStyle w:val="Heading3"/>
      </w:pPr>
      <w:r>
        <w:t>Artículo 79.3 · CUMPLE</w:t>
      </w:r>
    </w:p>
    <w:p>
      <w:r>
        <w:rPr>
          <w:b/>
        </w:rPr>
        <w:t>La norma.</w:t>
      </w:r>
      <w:r>
        <w:t xml:space="preserve"> «El voto de Senadores y Diputados es personal e indelegable.»</w:t>
      </w:r>
    </w:p>
    <w:p>
      <w:r>
        <w:rPr>
          <w:b/>
        </w:rPr>
        <w:t>El hecho.</w:t>
      </w:r>
      <w:r>
        <w:t xml:space="preserve"> El 3 de febrero de 2022, un diputado del PP emitió su voto telemático en sentido contrario al marcado por su grupo en la votación de convalidación de la reforma laboral, que se aprobó por ese único voto. Antes de la pandemia existía una verificación telefónica adicional del voto telemático que se eliminó al generalizarse su uso masivo. El TS solo anula votaciones por fallo informático real demostrado, nunca por error humano.</w:t>
      </w:r>
      <w:r>
        <w:t xml:space="preserve"> (voto telemático del 3-II-2022; RDL 32/2021)</w:t>
      </w:r>
    </w:p>
    <w:p>
      <w:r>
        <w:t>[17.00-100.1 a 100.3]</w:t>
      </w:r>
    </w:p>
    <w:p>
      <w:pPr>
        <w:pStyle w:val="Heading3"/>
      </w:pPr>
      <w:r>
        <w:t>Artículo 80 · CUMPLE</w:t>
      </w:r>
    </w:p>
    <w:p>
      <w:r>
        <w:rPr>
          <w:b/>
        </w:rPr>
        <w:t>La norma.</w:t>
      </w:r>
      <w:r>
        <w:t xml:space="preserve"> «Las sesiones plenarias de las Cámaras serán públicas, salvo acuerdo en contrario de cada Cámara, adoptado por mayoría absoluta.»</w:t>
      </w:r>
    </w:p>
    <w:p>
      <w:r>
        <w:rPr>
          <w:b/>
        </w:rPr>
        <w:t>El hecho.</w:t>
      </w:r>
      <w:r>
        <w:t xml:space="preserve"> Según la sinopsis oficial del Congreso, el principio de publicidad de las sesiones se restringió dos veces en la fase constituyente. El Anteproyecto decía: «las reuniones de las Cámaras serán públicas, salvo acuerdo en contrario de cada Cámara, tomado por mayoría absoluta y con arreglo al Reglamento», para todas las sesiones, también las de Comisión. El informe de la Ponencia en el Congreso «restringió este principio a las sesiones del Pleno», y el dictamen de la Comisión «transformó en alternativa lo que eran requisitos cumulativos, de modo que se hacía posible la declaración como secreta de una sesión en virtud del propio Reglamento o por una mayoría más reducida».</w:t>
      </w:r>
      <w:r>
        <w:t xml:space="preserve"> (Congreso, sinopsis oficial del art. 80 CE)</w:t>
      </w:r>
    </w:p>
    <w:p>
      <w:r>
        <w:t>[17.00-101.1 y 101.2]</w:t>
      </w:r>
    </w:p>
    <w:p>
      <w:pPr>
        <w:pStyle w:val="Heading3"/>
      </w:pPr>
      <w:r>
        <w:t>Artículo 81 · CUMPLE</w:t>
      </w:r>
    </w:p>
    <w:p>
      <w:r>
        <w:rPr>
          <w:b/>
        </w:rPr>
        <w:t>La norma.</w:t>
      </w:r>
      <w:r>
        <w:t xml:space="preserve"> «Son leyes orgánicas las relativas al desarrollo de los derechos fundamentales y de las libertades públicas, las que aprueben los Estatutos de Autonomía y el régimen electoral general y las demás previstas en la Constitución. [[…]] La aprobación, modificación o derogación de las leyes orgánicas exigirá mayoría absoluta del Congreso, en una votación final sobre el conjunto del proyecto.»</w:t>
      </w:r>
    </w:p>
    <w:p>
      <w:r>
        <w:rPr>
          <w:b/>
        </w:rPr>
        <w:t>El hecho.</w:t>
      </w:r>
      <w:r>
        <w:t xml:space="preserve"> Patrón de los últimos años: la vía de la proposición de ley (en vez del proyecto de ley) se ha usado reiteradamente para tramitar leyes orgánicas evitando informes preceptivos, alegado sin éxito en recursos contra la LO 4/2021 del CGPJ (STC 128/2023, «fraude de ley»), la LO 3/2021 de eutanasia (STC 94/2023) y la LO 8/2022 (STC 139/2024). La STC 108/1986, sobre la LOPJ de 1985, trató otro motivo: la falta de informe del CGPJ sobre el proyecto de ley orgánica, que se habría producido en el procedimiento administrativo previo y no en el legislativo.</w:t>
      </w:r>
      <w:r>
        <w:t xml:space="preserve"> (STC 108/1986; STC 128/2023; STC 94/2023; STC 139/2024)</w:t>
      </w:r>
    </w:p>
    <w:p>
      <w:r>
        <w:t>[17.00-102.1 a 102.3]</w:t>
      </w:r>
    </w:p>
    <w:p>
      <w:pPr>
        <w:pStyle w:val="Heading3"/>
      </w:pPr>
      <w:r>
        <w:t>Artículo 82.6 · CUMPLE</w:t>
      </w:r>
    </w:p>
    <w:p>
      <w:r>
        <w:rPr>
          <w:b/>
        </w:rPr>
        <w:t>La norma.</w:t>
      </w:r>
      <w:r>
        <w:t xml:space="preserve"> «Sin perjuicio de la competencia propia de los Tribunales, las leyes de delegación podrán establecer… fórmulas adicionales de control [del exceso de delegación].»</w:t>
      </w:r>
    </w:p>
    <w:p>
      <w:r>
        <w:rPr>
          <w:b/>
        </w:rPr>
        <w:t>El hecho.</w:t>
      </w:r>
      <w:r>
        <w:t xml:space="preserve"> La STS de 9 de febrero de 2000 (Sala Tercera, recurso contencioso-administrativo 486/1996) anuló por exceso de delegación (ultra vires) y por omisión del dictamen preceptivo del CGPJ el último inciso del art. 145 del Texto Refundido de la Ley de Propiedad Intelectual (RDLeg 1/1996). La STC 166/2007, de 4 de julio, que recoge esa anulación, inadmitió la cuestión de inconstitucionalidad 1780-1999 planteada sobre ese mismo precepto.</w:t>
      </w:r>
      <w:r>
        <w:t xml:space="preserve"> (STS de 9-II-2000 (Sala Tercera, recurso 486/1996; BOE-A-2000-5906, publicación de la sentencia); STC 166/2007, de 4-VII (BOE-T-2007-14794))</w:t>
      </w:r>
    </w:p>
    <w:p>
      <w:r>
        <w:rPr>
          <w:b/>
        </w:rPr>
        <w:t>Frenado por.</w:t>
      </w:r>
      <w:r>
        <w:t xml:space="preserve"> Sentencia de 9-II-2000 (BOE-A-2000-5906) — Tribunal Supremo (Sala Tercera), 9-II-2000. Recurso contencioso-administrativo 486/1996 contra el RDLeg 1/1996. Anuló el último inciso del art. 145 TRLPI por ultra vires y por omisión del dictamen preceptivo del CGPJ.</w:t>
      </w:r>
    </w:p>
    <w:p>
      <w:r>
        <w:t>[17.00-103.1 a 103.4]</w:t>
      </w:r>
    </w:p>
    <w:p>
      <w:pPr>
        <w:pStyle w:val="Heading3"/>
      </w:pPr>
      <w:r>
        <w:t>Artículo 83 · CUMPLE</w:t>
      </w:r>
    </w:p>
    <w:p>
      <w:r>
        <w:rPr>
          <w:b/>
        </w:rPr>
        <w:t>La norma.</w:t>
      </w:r>
      <w:r>
        <w:t xml:space="preserve"> «Las leyes de bases no podrán en ningún caso: a) Autorizar la modificación de la propia ley de bases. b) Facultar para dictar normas con carácter retroactivo.»</w:t>
      </w:r>
    </w:p>
    <w:p>
      <w:r>
        <w:rPr>
          <w:b/>
        </w:rPr>
        <w:t>El hecho.</w:t>
      </w:r>
      <w:r>
        <w:t xml:space="preserve"> La sinopsis oficial del Congreso dice que «El apartado b) del artículo 83 CE prohíbe a las Leyes de Bases que faculten al Gobierno para dictar normas de carácter retroactivo».</w:t>
      </w:r>
      <w:r>
        <w:t xml:space="preserve"> (Congreso, sinopsis oficial del art. 83 CE)</w:t>
      </w:r>
    </w:p>
    <w:p>
      <w:r>
        <w:t>[17.00-104.1 y 104.2]</w:t>
      </w:r>
    </w:p>
    <w:p>
      <w:pPr>
        <w:pStyle w:val="Heading3"/>
      </w:pPr>
      <w:r>
        <w:t>Artículo 84 · INCUMPLE</w:t>
      </w:r>
    </w:p>
    <w:p>
      <w:r>
        <w:rPr>
          <w:b/>
        </w:rPr>
        <w:t>La norma.</w:t>
      </w:r>
      <w:r>
        <w:t xml:space="preserve"> «Cuando una proposición de ley o una enmienda fuere contraria a una delegación legislativa en vigor, el Gobierno está facultado para oponerse a su tramitación. En tal supuesto, podrá presentarse una proposición de ley para la derogación total o parcial de la ley de delegación.»</w:t>
      </w:r>
    </w:p>
    <w:p>
      <w:r>
        <w:rPr>
          <w:b/>
        </w:rPr>
        <w:t>El hecho.</w:t>
      </w:r>
      <w:r>
        <w:t xml:space="preserve"> El art. 84 faculta al Gobierno para oponerse a la tramitación de una proposición de ley o de una enmienda contraria a una delegación legislativa en vigor. El comentario oficial del Congreso dice que no existen precedentes de oposición a enmiendas y que, para las proposiciones de ley, el supuesto es «inédito en la práctica parlamentaria reciente»; el Reglamento del Congreso no desarrolla el artículo. La obra lo clasifica como INCUMPLE porque el mecanismo previsto nunca se ha aplicado (lo que no se cumple, incumple), y deja anotado que es un precepto en desuso. Es una facultad del Gobierno, no una obligación, y esa diferencia queda a la vista del lector.</w:t>
      </w:r>
      <w:r>
        <w:t xml:space="preserve"> (Comentario oficial al art. 84 CE, Portal de la Constitución (Congreso de los Diputados); Reglamento del Senado, art. 128)</w:t>
      </w:r>
    </w:p>
    <w:p>
      <w:r>
        <w:t>El art. 84 faculta al Gobierno para oponerse a la tramitación de una proposición de ley o de una enmienda contraria a una delegación legislativa en vigor. El comentario oficial del Congreso de los Diputados afirma que no existen precedentes de oposición del Gobierno a la tramitación de enmiendas en aplicación del art. 84 CE y que, para las proposiciones de ley, el supuesto es «inédito en la práctica parlamentaria reciente»; que el Reglamento del Congreso no contiene ningún precepto que desarrolle este artículo, y que el Reglamento del Senado sí prevé un procedimiento específico (art. 128): el Gobierno dispone de diez días desde la publicación de la iniciativa, y su propuesta se tramita conforme a lo previsto para los conflictos entre órganos constitucionales, con suspensión de los plazos del procedimiento legislativo. La obra lo clasifica como INCUMPLE porque el mecanismo previsto nunca se ha aplicado (lo que no se cumple, incumple), y deja anotado que es un precepto en desuso. Es una facultad del Gobierno, no una obligación, y esa diferencia queda a la vista del lector.</w:t>
      </w:r>
    </w:p>
    <w:p>
      <w:r>
        <w:t>[17.00-105.1 a 105.3]</w:t>
      </w:r>
    </w:p>
    <w:p>
      <w:pPr>
        <w:pStyle w:val="Heading3"/>
      </w:pPr>
      <w:r>
        <w:t>Artículo 85 · CUMPLE</w:t>
      </w:r>
    </w:p>
    <w:p>
      <w:r>
        <w:rPr>
          <w:b/>
        </w:rPr>
        <w:t>La norma.</w:t>
      </w:r>
      <w:r>
        <w:t xml:space="preserve"> «Las disposiciones del Gobierno que contengan legislación delegada recibirán el título de Decretos Legislativos.»</w:t>
      </w:r>
    </w:p>
    <w:p>
      <w:r>
        <w:rPr>
          <w:b/>
        </w:rPr>
        <w:t>El hecho.</w:t>
      </w:r>
      <w:r>
        <w:t xml:space="preserve"> Ocho textos de uso corriente son textos refundidos aprobados por real decreto legislativo: la Ley General de la Seguridad Social (RDLeg 8/2015, de 30-X-2015), el Estatuto de los Trabajadores (RDLeg 2/2015, de 23-X-2015), el Estatuto Básico del Empleado Público (RDLeg 5/2015, de 30-X-2015), la Ley de Tráfico (RDLeg 6/2015, de 30-X-2015), la Ley de Haciendas Locales (RDLeg 2/2004, de 5-III-2004), la Ley de discapacidad (RDLeg 1/2013, de 29-XI-2013), Clases Pasivas (RDLeg 670/1987, de 30-IV-1987) y la Ley de Propiedad Intelectual (RDLeg 1/1996, de 12-IV-1996).</w:t>
      </w:r>
      <w:r>
        <w:t xml:space="preserve"> (BOE, base de datos abiertos (título y fecha de cada texto))</w:t>
      </w:r>
    </w:p>
    <w:p>
      <w:r>
        <w:t>[17.00-106.1 y 106.2]</w:t>
      </w:r>
    </w:p>
    <w:p>
      <w:pPr>
        <w:pStyle w:val="Heading3"/>
      </w:pPr>
      <w:r>
        <w:t>Artículo 86 · INCUMPLE · con declaración formal externa</w:t>
      </w:r>
    </w:p>
    <w:p>
      <w:r>
        <w:t>Artículo auditado por apartados: 86.1, 86.2 y 86.3.</w:t>
      </w:r>
    </w:p>
    <w:p>
      <w:r>
        <w:rPr>
          <w:b/>
        </w:rPr>
        <w:t>Apartado 86.1 · INCUMPLE.</w:t>
      </w:r>
    </w:p>
    <w:p>
      <w:r>
        <w:rPr>
          <w:b/>
        </w:rPr>
        <w:t>La norma.</w:t>
      </w:r>
      <w:r>
        <w:t xml:space="preserve"> «En caso de extraordinaria y urgente necesidad, el Gobierno podrá dictar disposiciones legislativas provisionales que tomarán la forma de Decretos-leyes.»</w:t>
      </w:r>
    </w:p>
    <w:p>
      <w:r>
        <w:rPr>
          <w:b/>
        </w:rPr>
        <w:t>Apartado 86.2 · CUMPLE.</w:t>
      </w:r>
    </w:p>
    <w:p>
      <w:r>
        <w:rPr>
          <w:b/>
        </w:rPr>
        <w:t>La norma.</w:t>
      </w:r>
      <w:r>
        <w:t xml:space="preserve"> «Los Decretos-leyes deberán ser inmediatamente sometidos a debate y votación de totalidad al Congreso… en el plazo de los treinta días siguientes a su promulgación.»</w:t>
      </w:r>
    </w:p>
    <w:p>
      <w:r>
        <w:rPr>
          <w:b/>
        </w:rPr>
        <w:t>El hecho.</w:t>
      </w:r>
      <w:r>
        <w:t xml:space="preserve"> Al menos 13 decretos-leyes no fueron convalidados por el Congreso entre enero de 2012 y septiembre de 2026, según el recuento de la obra sobre los datos abiertos del BOE. Dos casos recientes: el RDL 7/2025 (rechazado tras 28 días en vigor, cálculo de la obra) y el RDL 8/2026 (rechazado el 28 de abril de 2026, medidas de alquiler).</w:t>
      </w:r>
      <w:r>
        <w:t xml:space="preserve"> (recuento de la obra sobre los datos abiertos del BOE 2012-2026; RDL 7/2025; RDL 8/2026; STC 111/1983)</w:t>
      </w:r>
    </w:p>
    <w:p>
      <w:r>
        <w:rPr>
          <w:b/>
        </w:rPr>
        <w:t>Apartado 86.3 · CUMPLE.</w:t>
      </w:r>
    </w:p>
    <w:p>
      <w:r>
        <w:rPr>
          <w:b/>
        </w:rPr>
        <w:t>La norma.</w:t>
      </w:r>
      <w:r>
        <w:t xml:space="preserve"> «[Los decretos-leyes] no podrán afectar al ordenamiento de las instituciones básicas del Estado, a los derechos, deberes y libertades de los ciudadanos regulados en el Título I, al régimen de las Comunidades Autónomas ni al Derecho electoral general.»</w:t>
      </w:r>
    </w:p>
    <w:p>
      <w:r>
        <w:rPr>
          <w:b/>
        </w:rPr>
        <w:t>El hecho.</w:t>
      </w:r>
      <w:r>
        <w:t xml:space="preserve"> Doctrina fundacional en la STC 111/1983 (caso RUMASA). La STC 182/1997 declaró inconstitucional y nulo el art. 2 del RDL 5/1992 (modificación de las escalas del IRPF por decreto-ley), por alterar el deber de contribuir del art. 31 CE — aunque desestimó la impugnación del art. 6.1 de la misma norma. Corrección efectiva y consumada, no solo doctrina: la STC 73/2017 anuló también, por el mismo motivo, la amnistía fiscal de 2012 (disposición adicional primera del RDL 12/2012), aprobada igualmente por decreto-ley. La STC 17/2023 enjuició después el RDL 26/2021, el decreto-ley con el que el Gobierno reparó la anulación de la plusvalía municipal.</w:t>
      </w:r>
      <w:r>
        <w:t xml:space="preserve"> (STC 111/1983; STC 182/1997 (fallo: nulidad del art. 2 RDL 5/1992); STC 73/2017 (nulidad de la amnistía fiscal, RDL 12/2012); STC 9/2023 y STC 17/2023)</w:t>
      </w:r>
    </w:p>
    <w:p>
      <w:r>
        <w:rPr>
          <w:b/>
        </w:rPr>
        <w:t>Frenado por.</w:t>
      </w:r>
      <w:r>
        <w:t xml:space="preserve"> STC 182/1997 — Tribunal Constitucional (Pleno), 28-X-1997. Recursos de inconstitucionalidad 2548/1992 y 553/1993 (más de 50 diputados del Grupo Popular). Nulidad del art. 2 del RDL 5/1992 (escalas del IRPF); el resto se desestimó.</w:t>
      </w:r>
    </w:p>
    <w:p>
      <w:r>
        <w:rPr>
          <w:b/>
        </w:rPr>
        <w:t>Frenado por.</w:t>
      </w:r>
      <w:r>
        <w:t xml:space="preserve"> STC 73/2017 — Tribunal Constitucional (Pleno), 8-VI-2017. Recurso de inconstitucionalidad 3856-2012 (más de 50 diputados del Grupo Socialista). Nulidad de la disposición adicional primera del RDL 12/2012 (amnistía fiscal).</w:t>
      </w:r>
    </w:p>
    <w:p>
      <w:r>
        <w:rPr>
          <w:b/>
        </w:rPr>
        <w:t>Declaración formal externa.</w:t>
      </w:r>
      <w:r>
        <w:t xml:space="preserve"> Se auditan tres apartados. Incumple el 1 (uso del decreto-ley), con declaración formal externa; cumplen el 2 (convalidación por el Congreso) y el 3 (límites materiales, con dos extralimitaciones frenadas por el Tribunal Constitucional). El artículo incumple porque incumple uno de sus apartados.</w:t>
      </w:r>
    </w:p>
    <w:p>
      <w:r>
        <w:rPr>
          <w:b/>
        </w:rPr>
        <w:t>Declaración formal externa.</w:t>
      </w:r>
      <w:r>
        <w:t xml:space="preserve"> 40 decretos-leyes frente a 74 leyes aprobadas en la legislatura actual (la cifra de 74 no se desglosa siempre igual entre fuentes: unas la presentan como leyes distintas de los decretos, otras como el total combinado). La STC 61/2018 estimó en parte el recurso contra el RDL 5/2013, que declaró nulo en varias disposiciones, y desestimó el resto; la STC 14/2020 declaró nulas las disposiciones adicionales primera y tercera del RDL 7/2019 (vivienda) y desestimó el recurso en todo lo demás: el Tribunal no desmintió la estadística oficial sobre desahucios, porque los «datos reales» y el número «ínfimo» de lanzamientos eran alegaciones de los recurrentes.</w:t>
      </w:r>
      <w:r>
        <w:t xml:space="preserve"> (STC 61/2018, de 7-VI; STC 14/2020, de 28-I (BOE-A-2020-2941); cifras de decretos-leyes y leyes de la legislatura: Artículo14, 15-VIII-2026)</w:t>
      </w:r>
    </w:p>
    <w:p>
      <w:r>
        <w:t>[17.00-107.1, 109.1, 111.1 a 111.3, 112.1 a 112.5, 108.1, 110.1 y 110.2]</w:t>
      </w:r>
    </w:p>
    <w:p>
      <w:pPr>
        <w:pStyle w:val="Heading3"/>
      </w:pPr>
      <w:r>
        <w:t>Artículo 87.3 · CUMPLE</w:t>
      </w:r>
    </w:p>
    <w:p>
      <w:r>
        <w:rPr>
          <w:b/>
        </w:rPr>
        <w:t>La norma.</w:t>
      </w:r>
      <w:r>
        <w:t xml:space="preserve"> «Una ley orgánica regulará las formas de ejercicio y requisitos de la iniciativa popular para la presentación de proposiciones de Ley… No procederá dicha iniciativa en materias propias de Ley Orgánica…»</w:t>
      </w:r>
    </w:p>
    <w:p>
      <w:r>
        <w:rPr>
          <w:b/>
        </w:rPr>
        <w:t>El hecho.</w:t>
      </w:r>
      <w:r>
        <w:t xml:space="preserve"> El umbral de 500.000 firmas equivale al 1,33 % del censo electoral del 23-VII-2023 (37.469.458 electores).</w:t>
      </w:r>
      <w:r>
        <w:t xml:space="preserve"> (BOE-A-2023-18907, resultados de las elecciones del 23-VII-2023 (censo de 37.469.458 electores))</w:t>
      </w:r>
    </w:p>
    <w:p>
      <w:r>
        <w:t>[17.00-113.1 a 113.3]</w:t>
      </w:r>
    </w:p>
    <w:p>
      <w:pPr>
        <w:pStyle w:val="Heading3"/>
      </w:pPr>
      <w:r>
        <w:t>Artículo 88 · CUMPLE</w:t>
      </w:r>
    </w:p>
    <w:p>
      <w:r>
        <w:rPr>
          <w:b/>
        </w:rPr>
        <w:t>La norma.</w:t>
      </w:r>
      <w:r>
        <w:t xml:space="preserve"> «Los proyectos de Ley serán aprobados en Consejo de Ministros, que los someterá al Congreso, acompañados de una exposición de motivos y de los antecedentes necesarios.»</w:t>
      </w:r>
    </w:p>
    <w:p>
      <w:r>
        <w:rPr>
          <w:b/>
        </w:rPr>
        <w:t>El hecho.</w:t>
      </w:r>
      <w:r>
        <w:t xml:space="preserve"> El RD 931/2017 regula la Memoria del Análisis de Impacto Normativo (MAIN), obligatoria solo para proyectos de ley del Gobierno, no para proposiciones parlamentarias — una asimetría que conecta con el uso de la proposición de ley para eludir informes preceptivos (art. 81 CE).</w:t>
      </w:r>
      <w:r>
        <w:t xml:space="preserve"> (RD 931/2017, de 27-X)</w:t>
      </w:r>
    </w:p>
    <w:p>
      <w:r>
        <w:t>[17.00-114.1 a 114.3]</w:t>
      </w:r>
    </w:p>
    <w:p>
      <w:pPr>
        <w:pStyle w:val="Heading3"/>
      </w:pPr>
      <w:r>
        <w:t>Artículo 89.2 · CUMPLE</w:t>
      </w:r>
    </w:p>
    <w:p>
      <w:r>
        <w:rPr>
          <w:b/>
        </w:rPr>
        <w:t>La norma.</w:t>
      </w:r>
      <w:r>
        <w:t xml:space="preserve"> «Las proposiciones de ley que, de acuerdo con el artículo 87, tome en consideración el Senado, se remitirán al Congreso para su trámite en éste como tal proposición.»</w:t>
      </w:r>
    </w:p>
    <w:p>
      <w:r>
        <w:rPr>
          <w:b/>
        </w:rPr>
        <w:t>El hecho.</w:t>
      </w:r>
      <w:r>
        <w:t xml:space="preserve"> Las proposiciones de ley que toma en consideración el Senado se remiten al Congreso para su trámite «como tal proposición» (art. 89.2 CE; art. 125 del Reglamento del Congreso y art. 108.5 del Reglamento del Senado); en palabras del comentario oficial del Congreso, «excluyendo la toma en consideración que ya se ha producido en la otra Cámara». El comentario oficial del Congreso las describe como «una suerte de sistema de lanzadera»: el Congreso las debate y aprueba, en su caso, y las devuelve a la Cámara Alta; y señala que así se mantiene el predominio de la Cámara Baja, que hace la primera lectura de los textos, y a la vez se respeta el ejercicio de la iniciativa legislativa del Senado. Como contexto general de las proposiciones de ley (no solo las del Senado), según ese mismo comentario, en la XV Legislatura, hasta finales de 2025, solo 6 de las 26 leyes aprobadas (el 23%) tuvieron su origen en una proposición.</w:t>
      </w:r>
      <w:r>
        <w:t xml:space="preserve"> (Comentario oficial al art. 89 CE, Portal de la Constitución (Congreso de los Diputados); art. 89.2 CE; Reglamentos del Congreso (art. 125) y del Senado (art. 108.5))</w:t>
      </w:r>
    </w:p>
    <w:p>
      <w:r>
        <w:t>[17.00-115.1 a 115.3]</w:t>
      </w:r>
    </w:p>
    <w:p>
      <w:pPr>
        <w:pStyle w:val="Heading3"/>
      </w:pPr>
      <w:r>
        <w:t>Artículo 90 · INCUMPLE</w:t>
      </w:r>
    </w:p>
    <w:p>
      <w:r>
        <w:rPr>
          <w:b/>
        </w:rPr>
        <w:t>La norma.</w:t>
      </w:r>
      <w:r>
        <w:t xml:space="preserve"> «El Senado en el plazo de dos meses, a partir del día de la recepción del texto, puede, mediante mensaje motivado, oponer su veto o introducir enmiendas al mismo. El veto deberá ser aprobado por mayoría absoluta.»</w:t>
      </w:r>
    </w:p>
    <w:p>
      <w:r>
        <w:rPr>
          <w:b/>
        </w:rPr>
        <w:t>El hecho.</w:t>
      </w:r>
      <w:r>
        <w:t xml:space="preserve"> El Congreso levantó el veto del Senado a la Ley de Amnistía a finales de mayo de 2024. En octubre de 2024, el Senado rechazó una reforma sin veto formal presentado, y declaró que «ha de entenderse que el Pleno del Senado ha vetado el texto». La Mesa del Congreso (15-X-2024) dijo que no era veto y se publicó la LO 4/2024; el Senado planteó un conflicto ante el Tribunal Constitucional (n.º 9110-2024, admitido el 18-XI-2025; sin sentencia hallada): no hay corrección consumada.</w:t>
      </w:r>
      <w:r>
        <w:t xml:space="preserve"> (Ley de Amnistía (2024); Diario de Sesiones del Senado, 14-X-2024; BOCG n.º 165; Mesa del Congreso, 15-X-2024; conflicto n.º 9110-2024)</w:t>
      </w:r>
    </w:p>
    <w:p>
      <w:r>
        <w:t>[17.00-116.1 a 116.3]</w:t>
      </w:r>
    </w:p>
    <w:p>
      <w:pPr>
        <w:pStyle w:val="Heading3"/>
      </w:pPr>
      <w:r>
        <w:t>Artículo 91 · CUMPLE</w:t>
      </w:r>
    </w:p>
    <w:p>
      <w:r>
        <w:rPr>
          <w:b/>
        </w:rPr>
        <w:t>La norma.</w:t>
      </w:r>
      <w:r>
        <w:t xml:space="preserve"> «El Rey sancionará en el plazo de quince días las leyes aprobadas por las Cortes Generales, y las promulgará y ordenará su inmediata publicación.»</w:t>
      </w:r>
    </w:p>
    <w:p>
      <w:r>
        <w:rPr>
          <w:b/>
        </w:rPr>
        <w:t>El hecho.</w:t>
      </w:r>
      <w:r>
        <w:t xml:space="preserve"> La sinopsis oficial del Congreso dice que el art. 91 «obliga a descartar de forma absoluta el supuesto de laboratorio de una negativa del Rey a cumplir con lo que es un acto debido»: «No existe margen para que el Jefe del Estado decida nada porque ello entraría directamente en contradicción con su papel».</w:t>
      </w:r>
      <w:r>
        <w:t xml:space="preserve"> (Congreso, sinopsis oficial del art. 91 CE)</w:t>
      </w:r>
    </w:p>
    <w:p>
      <w:r>
        <w:t>[17.00-117.1 y 117.2]</w:t>
      </w:r>
    </w:p>
    <w:p>
      <w:pPr>
        <w:pStyle w:val="Heading3"/>
      </w:pPr>
      <w:r>
        <w:t>Artículo 92 · CUMPLE</w:t>
      </w:r>
    </w:p>
    <w:p>
      <w:r>
        <w:rPr>
          <w:b/>
        </w:rPr>
        <w:t>La norma.</w:t>
      </w:r>
      <w:r>
        <w:t xml:space="preserve"> «Las decisiones políticas de especial trascendencia podrán ser sometidas a referéndum consultivo de todos los ciudadanos.»</w:t>
      </w:r>
    </w:p>
    <w:p>
      <w:r>
        <w:rPr>
          <w:b/>
        </w:rPr>
        <w:t>El hecho.</w:t>
      </w:r>
      <w:r>
        <w:t xml:space="preserve"> Solo dos usos en la democracia: OTAN (12-III-1986; el «sí» fue el 56,85 % contando solo «sí» y «no», el 53,09 % de los votos válidos y el 52,50 % de los votantes) y Constitución Europea (20-II-2005; «sí» del 77 %, con una participación oficial del 41,77 %: 14.491.752 votantes de 34.692.491 electores). Las condiciones votadas en el referéndum de la OTAN fueron alteradas después sin nueva consulta (incorporación a la estructura militar integrada en 1997).</w:t>
      </w:r>
      <w:r>
        <w:t xml:space="preserve"> (Resultados oficiales de los referéndums de 1986 y 2005)</w:t>
      </w:r>
    </w:p>
    <w:p>
      <w:r>
        <w:t>[17.00-118.1 a 118.3]</w:t>
      </w:r>
    </w:p>
    <w:p>
      <w:pPr>
        <w:pStyle w:val="Heading3"/>
      </w:pPr>
      <w:r>
        <w:t>Artículo 93 · CUMPLE</w:t>
      </w:r>
    </w:p>
    <w:p>
      <w:r>
        <w:rPr>
          <w:b/>
        </w:rPr>
        <w:t>La norma.</w:t>
      </w:r>
      <w:r>
        <w:t xml:space="preserve"> «Mediante ley orgánica se podrá autorizar la celebración de tratados por los que se atribuya a una organización o institución internacional el ejercicio de competencias derivadas de la Constitución.»</w:t>
      </w:r>
    </w:p>
    <w:p>
      <w:r>
        <w:rPr>
          <w:b/>
        </w:rPr>
        <w:t>El hecho.</w:t>
      </w:r>
      <w:r>
        <w:t xml:space="preserve"> La DTC 1/2004 declaró que la primacía del Derecho de la UE no contradice la supremacía de la Constitución, con cláusula de contralímites. Cuando llegó el primer choque real (caso Melloni, STC 26/2014), el Tribunal se alineó con el TJUE en vez de activar el contralímite anunciado en 2004.</w:t>
      </w:r>
      <w:r>
        <w:t xml:space="preserve"> (DTC 1/2004, de 13-XII; STC 26/2014 (caso Melloni))</w:t>
      </w:r>
    </w:p>
    <w:p>
      <w:r>
        <w:t>[17.00-119.1 a 119.3]</w:t>
      </w:r>
    </w:p>
    <w:p>
      <w:pPr>
        <w:pStyle w:val="Heading3"/>
      </w:pPr>
      <w:r>
        <w:t>Artículo 94.1 · CUMPLE</w:t>
      </w:r>
    </w:p>
    <w:p>
      <w:r>
        <w:rPr>
          <w:b/>
        </w:rPr>
        <w:t>La norma.</w:t>
      </w:r>
      <w:r>
        <w:t xml:space="preserve"> «La prestación del consentimiento del Estado para obligarse por medio de tratados o convenios requerirá la previa autorización de las Cortes Generales» en las materias que enumera.</w:t>
      </w:r>
    </w:p>
    <w:p>
      <w:r>
        <w:rPr>
          <w:b/>
        </w:rPr>
        <w:t>El hecho.</w:t>
      </w:r>
      <w:r>
        <w:t xml:space="preserve"> La Oficina del Parlamento Europeo en España (14-VIII-2025) cuenta que, de las 246 leyes aprobadas entre 2019 y 2024, 132 (53,66 %) «respetan la línea marcada» por la Unión Europea: 51 aplican reglamentos o transponen directivas y 81 «contienen referencias a recomendaciones, programas o iniciativas comunitarias». La página no da la lista de las 132 leyes ni el método de la cuenta.</w:t>
      </w:r>
      <w:r>
        <w:t xml:space="preserve"> (Oficina del Parlamento Europeo en España, 14-VIII-2025)</w:t>
      </w:r>
    </w:p>
    <w:p>
      <w:r>
        <w:t>[17.00-120.1 y 120.2]</w:t>
      </w:r>
    </w:p>
    <w:p>
      <w:pPr>
        <w:pStyle w:val="Heading3"/>
      </w:pPr>
      <w:r>
        <w:t>Artículo 95.2 · CUMPLE</w:t>
      </w:r>
    </w:p>
    <w:p>
      <w:r>
        <w:rPr>
          <w:b/>
        </w:rPr>
        <w:t>La norma.</w:t>
      </w:r>
      <w:r>
        <w:t xml:space="preserve"> «El Gobierno o cualquiera de las Cámaras puede requerir al Tribunal Constitucional para que declare si existe o no [contradicción entre un tratado y la Constitución].»</w:t>
      </w:r>
    </w:p>
    <w:p>
      <w:r>
        <w:rPr>
          <w:b/>
        </w:rPr>
        <w:t>El hecho.</w:t>
      </w:r>
      <w:r>
        <w:t xml:space="preserve"> Activado cuatro veces desde 1978: la DTC 1/1992 (Maastricht, sí apreció contradicción), la DTC 1/2004 (Constitución Europea, declaró conformidad), la Declaración 1/2025, de 16-XII-2025 (sobre el Tratado de Amistad y Cooperación con Francia, extinguida por desaparición sobrevenida del objeto al denegar el Congreso la autorización del tratado el 14-V-2025) y una nueva declaración del Pleno, de 23-IX-2026, sobre el mismo tratado ya reautorizado, que no apreció contradicción. La DTC 1/1992 originó directamente la primera y única reforma constitucional de contenido europeo, la del art. 13.2 CE.</w:t>
      </w:r>
      <w:r>
        <w:t xml:space="preserve"> (DTC 1/1992, de 1-VII; DTC 1/2004, de 13-XII; Declaración 1/2025, de 16-XII-2025 (BOE-A-2026-1759); declaración del Pleno de 23-IX-2026 sobre el Tratado de Amistad y Cooperación con Francia)</w:t>
      </w:r>
    </w:p>
    <w:p>
      <w:r>
        <w:t>[17.00-121.1 a 121.3]</w:t>
      </w:r>
    </w:p>
    <w:p>
      <w:pPr>
        <w:pStyle w:val="Heading3"/>
      </w:pPr>
      <w:r>
        <w:t>Artículo 96.1 · CUMPLE</w:t>
      </w:r>
    </w:p>
    <w:p>
      <w:r>
        <w:rPr>
          <w:b/>
        </w:rPr>
        <w:t>La norma.</w:t>
      </w:r>
      <w:r>
        <w:t xml:space="preserve"> «Los tratados internacionales válidamente celebrados, una vez publicados oficialmente en España, formarán parte del ordenamiento interno.»</w:t>
      </w:r>
    </w:p>
    <w:p>
      <w:r>
        <w:rPr>
          <w:b/>
        </w:rPr>
        <w:t>El hecho.</w:t>
      </w:r>
      <w:r>
        <w:t xml:space="preserve"> El propio art. 96.1 CE, en su segundo inciso, exige que las disposiciones de los tratados internacionales solo puedan derogarse, modificarse o suspenderse en la forma prevista en los propios tratados o de acuerdo con las normas generales del Derecho Internacional -nunca por una ley interna posterior de forma unilateral-. No se ha localizado ningún caso en que una ley española ordinaria haya pretendido derogar unilateralmente un tratado en vigor sin seguir ese cauce.</w:t>
      </w:r>
      <w:r>
        <w:t xml:space="preserve"> (Art. 96.1 CE, segundo inciso (texto consolidado, boe.es); no se ha localizado ningún caso de contravención pese a la búsqueda)</w:t>
      </w:r>
    </w:p>
    <w:p>
      <w:r>
        <w:t>[17.00-122.1 a 122.3]</w:t>
      </w:r>
    </w:p>
    <w:p>
      <w:r>
        <w:rPr>
          <w:b/>
        </w:rPr>
        <w:t>La mejor defensa del Estado.</w:t>
      </w:r>
      <w:r>
        <w:t xml:space="preserve"> El Parlamento funciona: 23 de los 31 artículos se cumplen; se celebran elecciones, se votan las leyes y se controlan los decretos-leyes.</w:t>
      </w:r>
    </w:p>
    <w:p>
      <w:r>
        <w:rPr>
          <w:i/>
        </w:rPr>
        <w:t>Los contrapuntos de la obra:</w:t>
      </w:r>
      <w:r>
        <w:t xml:space="preserve"> 1) Funciona sobre todo hacia dentro: el Gobierno legisla por decreto como costumbre, con 40 decretos-leyes frente a 74 leyes en la legislatura (art. 86.1). 2) Un Gobierno estuvo diez meses en funciones, de diciembre de 2015 a octubre de 2016 (art. 73.1). 3) Las Cortes fijan la asignación de sus propios miembros (art. 71.4; </w:t>
      </w:r>
      <w:r>
        <w:t>7.2</w:t>
      </w:r>
      <w:r>
        <w:t>, n.º 1). 4) Ni la ley de partidos (LO 6/2002, arts. 7 y 8) ni la ley electoral (LOREG, arts. 44 a 46) regulan cómo eligen los partidos a sus candidatos: la primera pide un funcionamiento democrático y órganos directivos elegidos por sufragio libre y secreto; la segunda dice quién presenta candidaturas, que sean paritarias (art. 44 bis) y cómo se presentan.</w:t>
      </w:r>
    </w:p>
    <w:p>
      <w:r>
        <w:t>[17.00-229.1, 230.1 a 230.3]</w:t>
      </w:r>
    </w:p>
    <w:p>
      <w:pPr>
        <w:pStyle w:val="Heading2"/>
      </w:pPr>
      <w:r>
        <w:t>A.5 Título IV. El Gobierno y la Administración</w:t>
      </w:r>
    </w:p>
    <w:p>
      <w:pPr>
        <w:pBdr>
          <w:left w:val="single" w:sz="24" w:space="6" w:color="E2DED6"/>
        </w:pBdr>
        <w:shd w:val="clear" w:color="auto" w:fill="F1EEE8"/>
        <w:spacing w:before="80" w:after="160"/>
        <w:ind w:left="142" w:right="142"/>
      </w:pPr>
      <w:r>
        <w:rPr>
          <w:b/>
        </w:rPr>
        <w:t>La idea: la Administración es profesional, dice la defensa; los contrapuntos señalan que el órgano de conflictos de intereses depende del Gobierno que debe fiscalizar y que la temporalidad pública supera con mucho el objetivo legal: 5 de 11 artículos incumplen.</w:t>
      </w:r>
    </w:p>
    <w:p>
      <w:r>
        <w:t>11 artículos auditados; 5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97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98.4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99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102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103.3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104.1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105.b</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106.2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97 · CUMPLE</w:t>
      </w:r>
    </w:p>
    <w:p>
      <w:r>
        <w:rPr>
          <w:b/>
        </w:rPr>
        <w:t>La norma.</w:t>
      </w:r>
      <w:r>
        <w:t xml:space="preserve"> «El Gobierno… ejerce la función ejecutiva y la potestad reglamentaria de acuerdo con la Constitución y las leyes.»</w:t>
      </w:r>
    </w:p>
    <w:p>
      <w:r>
        <w:rPr>
          <w:b/>
        </w:rPr>
        <w:t>El hecho.</w:t>
      </w:r>
      <w:r>
        <w:t xml:space="preserve"> Cuatro anulaciones en poco más de dos años, tres de reglamentos del Gobierno y una de una ordenanza municipal: la Ordenanza de Terrazas de Madrid (2024, por omitir evaluaciones exigibles), un inciso del RD 1004/2015 (2024, exceso reglamentario), el RD 662/2024 (2026, sin consulta pública previa) y varios preceptos del Reglamento de Extranjería, RD 1155/2024 (2026, uno de ellos por falta de cobertura legal).</w:t>
      </w:r>
      <w:r>
        <w:t xml:space="preserve"> (STSJ Madrid 185/2024, de 11-IV (el TS inadmitió el recurso de casación del Ayuntamiento por auto de 12-III-2025, quedando firme la nulidad); STS 1264/2024, de 15-VII (BOE-A-2024-18114); STS 527/2026, de 29-IV (rec. 671/2024, BOE-A-2026-11850); STS 868/2026, de 8-VII-2026, sobre el RD 1155/2024 (BOE-A-2026-19632). Otra sentencia posterior de la Sala Tercera, de 29-VII-2026 (recurso 21/2025, Cáritas Española y CEAR; BOE-A-2026-19633), mantuvo la nulidad del art. 197.2 y desestimó el resto de impugnaciones)</w:t>
      </w:r>
    </w:p>
    <w:p>
      <w:r>
        <w:t>Cuatro anulaciones en poco más de dos años, tres de reglamentos del Gobierno y una de una ordenanza municipal: la STSJ de Madrid 185/2024, de 11 de abril, anuló la Ordenanza de Terrazas 1/2022 del Ayuntamiento de Madrid por omitir evaluaciones exigibles en su elaboración; la STS 1264/2024, de 15 de julio (cuestión de ilegalidad 1/2024), anuló por exceso reglamentario un inciso del art. 12.1 del RD 1004/2015 (buena conducta cívica en la nacionalidad por residencia); la STS 527/2026, de 29 de abril, anuló el RD 662/2024 (placas fotovoltaicas flotantes en embalses) por omitir la consulta pública previa; y la STS 868/2026, de 8 de julio (comunicada por el CGPJ el 13 de julio), anuló varios preceptos del RD 1155/2024 (Reglamento de Extranjería), uno de ellos por falta de cobertura legal.</w:t>
      </w:r>
    </w:p>
    <w:p>
      <w:r>
        <w:rPr>
          <w:b/>
        </w:rPr>
        <w:t>Frenado por.</w:t>
      </w:r>
      <w:r>
        <w:t xml:space="preserve"> STSJ Madrid 185/2024 — Tribunal Superior de Justicia de Madrid (Sección 2.ª, Sala de lo Contencioso-Administrativo), 11-IV-2024. Recurso contencioso-administrativo de concejales contra la Ordenanza 1/2022. Nulidad de la ordenanza por omisión de evaluaciones exigibles.</w:t>
      </w:r>
    </w:p>
    <w:p>
      <w:r>
        <w:rPr>
          <w:b/>
        </w:rPr>
        <w:t>Frenado por.</w:t>
      </w:r>
      <w:r>
        <w:t xml:space="preserve"> STS 1264/2024 — Tribunal Supremo (Sala Tercera, Sección 5.ª), 15-VII-2024. Cuestión de ilegalidad 1/2024. Anulación de un inciso del art. 12.1 del RD 1004/2015 por exceso reglamentario (reserva de ley).</w:t>
      </w:r>
    </w:p>
    <w:p>
      <w:r>
        <w:rPr>
          <w:b/>
        </w:rPr>
        <w:t>Frenado por.</w:t>
      </w:r>
      <w:r>
        <w:t xml:space="preserve"> STS 527/2026 — Tribunal Supremo (Sala Tercera, Sección 5.ª), 29-IV-2026. Recurso contencioso-administrativo 671/2024 (Aragón). Nulidad del RD 662/2024 por omitir la consulta pública previa (art. 26.2 Ley 50/1997).</w:t>
      </w:r>
    </w:p>
    <w:p>
      <w:r>
        <w:rPr>
          <w:b/>
        </w:rPr>
        <w:t>Frenado por.</w:t>
      </w:r>
      <w:r>
        <w:t xml:space="preserve"> STS 868/2026 (ECLI:ES:TS:2026:3113) — Tribunal Supremo (Sala Tercera), 8-VII-2026. Recurso contencioso-administrativo de entidades de defensa de migrantes. Nulidad parcial: menores casados, tutelas extranjeras, antecedentes penales, agencias de trabajo temporal (falta de cobertura legal) y comunicación exclusivamente electrónica.</w:t>
      </w:r>
    </w:p>
    <w:p>
      <w:r>
        <w:t>[17.00-124.1 a 124.7]</w:t>
      </w:r>
    </w:p>
    <w:p>
      <w:pPr>
        <w:pStyle w:val="Heading3"/>
      </w:pPr>
      <w:r>
        <w:t>Artículo 98.4 · INCUMPLE · con declaración formal externa</w:t>
      </w:r>
    </w:p>
    <w:p>
      <w:r>
        <w:rPr>
          <w:b/>
        </w:rPr>
        <w:t>La norma.</w:t>
      </w:r>
      <w:r>
        <w:t xml:space="preserve"> «Los miembros del Gobierno no podrán ejercer otras funciones representativas… ni actividad profesional o mercantil alguna.»</w:t>
      </w:r>
    </w:p>
    <w:p>
      <w:r>
        <w:rPr>
          <w:b/>
        </w:rPr>
        <w:t>Declaración formal externa.</w:t>
      </w:r>
      <w:r>
        <w:t xml:space="preserve"> La Oficina de Conflictos de Intereses depende orgánicamente del Ministerio de Función Pública (del propio Gobierno que fiscaliza). El Informe sobre el Estado de Derecho 2026 de la Comisión Europea dice que la Oficina puede tener una capacidad limitada para detectar, disuadir o sancionar.</w:t>
      </w:r>
      <w:r>
        <w:t xml:space="preserve"> (Comisión Europea, Informe sobre el Estado de Derecho 2026)</w:t>
      </w:r>
    </w:p>
    <w:p>
      <w:r>
        <w:t>[17.00-125.1, 126.1 y 126.2]</w:t>
      </w:r>
    </w:p>
    <w:p>
      <w:pPr>
        <w:pStyle w:val="Heading3"/>
      </w:pPr>
      <w:r>
        <w:t>Artículo 99 · CUMPLE</w:t>
      </w:r>
    </w:p>
    <w:p>
      <w:r>
        <w:t>Artículo auditado por apartados: 99.2 y 99.5.</w:t>
      </w:r>
    </w:p>
    <w:p>
      <w:r>
        <w:t>Se auditan dos apartados: el 2 (investidura) y el 5 (disolución si ningún candidato obtiene la confianza en dos meses). Los dos cumplen.</w:t>
      </w:r>
    </w:p>
    <w:p>
      <w:r>
        <w:rPr>
          <w:b/>
        </w:rPr>
        <w:t>Apartado 99.2 · CUMPLE.</w:t>
      </w:r>
    </w:p>
    <w:p>
      <w:r>
        <w:rPr>
          <w:b/>
        </w:rPr>
        <w:t>La norma.</w:t>
      </w:r>
      <w:r>
        <w:t xml:space="preserve"> «El candidato propuesto conforme a lo previsto en el apartado anterior expondrá ante el Congreso de los Diputados el programa político del Gobierno que pretenda formar y solicitará la confianza de la Cámara. [[…]] Si el Congreso de los Diputados, por el voto de la mayoría absoluta de sus miembros, otorgare su confianza a dicho candidato, el Rey le nombrará Presidente.»</w:t>
      </w:r>
    </w:p>
    <w:p>
      <w:r>
        <w:rPr>
          <w:b/>
        </w:rPr>
        <w:t>El hecho.</w:t>
      </w:r>
      <w:r>
        <w:t xml:space="preserve"> Desde 1979 ha habido 18 candidaturas a la investidura: 14 con éxito y 4 sin él (cuenta de la obra sobre la lista oficial del Congreso).</w:t>
      </w:r>
      <w:r>
        <w:t xml:space="preserve"> (Congreso, sinopsis oficial del art. 99 CE)</w:t>
      </w:r>
    </w:p>
    <w:p>
      <w:r>
        <w:rPr>
          <w:b/>
        </w:rPr>
        <w:t>Apartado 99.5 · CUMPLE.</w:t>
      </w:r>
    </w:p>
    <w:p>
      <w:r>
        <w:rPr>
          <w:b/>
        </w:rPr>
        <w:t>La norma.</w:t>
      </w:r>
      <w:r>
        <w:t xml:space="preserve"> «Si transcurrido el plazo de dos meses, a partir de la primera votación de investidura, ningún candidato hubiere obtenido la confianza del Congreso, el Rey disolverá ambas Cámaras.»</w:t>
      </w:r>
    </w:p>
    <w:p>
      <w:r>
        <w:rPr>
          <w:b/>
        </w:rPr>
        <w:t>El hecho.</w:t>
      </w:r>
      <w:r>
        <w:t xml:space="preserve"> Se ha activado dos veces: con el Real Decreto 184/2016, de 3-V-2016, y con el Real Decreto 551/2019, de 24-IX-2019, que disuelven las Cortes «de acuerdo con lo dispuesto en el artículo 99.5 de la Constitución». La LO 2/2016, de 31-X-2016, para la convocatoria automática reduce un 30 % las subvenciones por gastos electorales y un 50 % el límite de gastos, «en coherencia con el acortamiento de la campaña electoral».</w:t>
      </w:r>
      <w:r>
        <w:t xml:space="preserve"> (BOE, RD 184/2016 y RD 551/2019; LO 2/2016, de 31-X (BOE de 1-XI-2016))</w:t>
      </w:r>
    </w:p>
    <w:p>
      <w:r>
        <w:t>[17.00-127.1 y 127.2, 128.1 y 128.2, 129.1 y 129.2]</w:t>
      </w:r>
    </w:p>
    <w:p>
      <w:pPr>
        <w:pStyle w:val="Heading3"/>
      </w:pPr>
      <w:r>
        <w:t>Artículo 100 · CUMPLE</w:t>
      </w:r>
    </w:p>
    <w:p>
      <w:r>
        <w:rPr>
          <w:b/>
        </w:rPr>
        <w:t>La norma.</w:t>
      </w:r>
      <w:r>
        <w:t xml:space="preserve"> «Los demás miembros del Gobierno serán nombrados y separados por el Rey, a propuesta de su Presidente.»</w:t>
      </w:r>
    </w:p>
    <w:p>
      <w:r>
        <w:rPr>
          <w:b/>
        </w:rPr>
        <w:t>El hecho.</w:t>
      </w:r>
      <w:r>
        <w:t xml:space="preserve"> Sin plazos constitucionales, la potestad es discrecional del presidente. Caso documentado: el cese del ministro de Sanidad (enero de 2021) al ser candidato a las elecciones catalanas.</w:t>
      </w:r>
      <w:r>
        <w:t xml:space="preserve"> (BOE, cese del ministro de Sanidad, 27-I-2021)</w:t>
      </w:r>
    </w:p>
    <w:p>
      <w:r>
        <w:t>[17.00-130.1 a 130.3]</w:t>
      </w:r>
    </w:p>
    <w:p>
      <w:pPr>
        <w:pStyle w:val="Heading3"/>
      </w:pPr>
      <w:r>
        <w:t>Artículo 101 · CUMPLE</w:t>
      </w:r>
    </w:p>
    <w:p>
      <w:r>
        <w:rPr>
          <w:b/>
        </w:rPr>
        <w:t>La norma.</w:t>
      </w:r>
      <w:r>
        <w:t xml:space="preserve"> «El Gobierno cesante continuará en funciones hasta la toma de posesión del nuevo Gobierno.»</w:t>
      </w:r>
    </w:p>
    <w:p>
      <w:r>
        <w:rPr>
          <w:b/>
        </w:rPr>
        <w:t>El hecho.</w:t>
      </w:r>
      <w:r>
        <w:t xml:space="preserve"> Los límites del Gobierno en funciones (art. 21.4, Ley 50/1997) fueron desafiados en 2016, cuando el Gobierno sostuvo por escrito que no estaba sujeto al control del Congreso; la STC 124/2018 confirmó que sí lo está. La primera anulación judicial de una decisión de un Gobierno en funciones (STS de 20-IX-2005, sobre un acuerdo del Consejo de Ministros en un asunto de extradición) fue seguida 73 días después (cálculo de la obra) por la STS de 2-XII-2005, que en un asunto de indulto declaró que el derecho de gracia corresponde al Consejo de Ministros esté o no en funciones </w:t>
      </w:r>
      <w:r>
        <w:t>(reseña de doctrina sobre la STS de 2-XII-2005; fuente secundaria)</w:t>
      </w:r>
      <w:r>
        <w:t>.</w:t>
      </w:r>
      <w:r>
        <w:t xml:space="preserve"> (STC 124/2018, de 14-XI; STS de 20-IX-2005 y STS de 2-XII-2005)</w:t>
      </w:r>
    </w:p>
    <w:p>
      <w:r>
        <w:rPr>
          <w:b/>
        </w:rPr>
        <w:t>Frenado por.</w:t>
      </w:r>
      <w:r>
        <w:t xml:space="preserve"> STC 124/2018 — Tribunal Constitucional (Pleno), 14-XI-2018. Conflicto entre órganos constitucionales 3102-2016 (Congreso de los Diputados). Declaró que el Gobierno en funciones está sometido al control del Congreso constituido tras las elecciones.</w:t>
      </w:r>
    </w:p>
    <w:p>
      <w:r>
        <w:t>[17.00-131.1 a 131.4]</w:t>
      </w:r>
    </w:p>
    <w:p>
      <w:pPr>
        <w:pStyle w:val="Heading3"/>
      </w:pPr>
      <w:r>
        <w:t>Artículo 102 · CUMPLE</w:t>
      </w:r>
    </w:p>
    <w:p>
      <w:r>
        <w:rPr>
          <w:b/>
        </w:rPr>
        <w:t>La norma.</w:t>
      </w:r>
      <w:r>
        <w:t xml:space="preserve"> «La responsabilidad criminal del Presidente y los demás miembros del Gobierno será exigible… ante la Sala de lo Penal del Tribunal Supremo.»</w:t>
      </w:r>
    </w:p>
    <w:p>
      <w:r>
        <w:rPr>
          <w:b/>
        </w:rPr>
        <w:t>El hecho.</w:t>
      </w:r>
      <w:r>
        <w:t xml:space="preserve"> Caso del GAL: el 29 de julio de 1998 la Sala Segunda del TS condenó a un exministro del Interior a diez años de cárcel por secuestro y malversación.</w:t>
      </w:r>
      <w:r>
        <w:t xml:space="preserve"> (STS 2/1998, de 29-VII-1998 (Sala Segunda, causa especial 2530/1995); STC 68/2001, de 17-III-2001 (recurso de amparo 3860/98, Pleno, BOE-T-2001-6813); TEDH, demanda 74181/01, sentencia de 6-I-2010)</w:t>
      </w:r>
    </w:p>
    <w:p>
      <w:r>
        <w:rPr>
          <w:b/>
        </w:rPr>
        <w:t>Frenado por.</w:t>
      </w:r>
      <w:r>
        <w:t xml:space="preserve"> STS 2/1998 — Tribunal Supremo (Sala Segunda), 29-VII-1998. Causa especial 2530/1995 contra un exministro y otros acusados. Condena a diez años de prisión por secuestro y malversación de caudales públicos.</w:t>
      </w:r>
    </w:p>
    <w:p>
      <w:r>
        <w:t>[17.00-132.1 a 132.4]</w:t>
      </w:r>
    </w:p>
    <w:p>
      <w:pPr>
        <w:pStyle w:val="Heading3"/>
      </w:pPr>
      <w:r>
        <w:t>Artículo 103.3 · INCUMPLE · con declaración formal externa</w:t>
      </w:r>
    </w:p>
    <w:p>
      <w:r>
        <w:rPr>
          <w:b/>
        </w:rPr>
        <w:t>La norma.</w:t>
      </w:r>
      <w:r>
        <w:t xml:space="preserve"> «El acceso a la función pública [se realizará] de acuerdo con los principios de mérito y capacidad.»</w:t>
      </w:r>
    </w:p>
    <w:p>
      <w:r>
        <w:rPr>
          <w:b/>
        </w:rPr>
        <w:t>Declaración formal externa.</w:t>
      </w:r>
      <w:r>
        <w:t xml:space="preserve"> La tasa de temporalidad pública se sitúa entre el 26,8% y el 32,7%, frente al objetivo legal de la Ley 20/2021 de bajar del 8%. La sentencia del TJUE de 14 de abril de 2026 (asunto C-418/24) declaró que el modelo español (indefinidos no fijos, indemnizaciones tasadas, procesos selectivos, responsabilidad patrimonial) es insuficiente frente a la Directiva 1999/70/CE.</w:t>
      </w:r>
      <w:r>
        <w:t xml:space="preserve"> (Ley 20/2021; STJUE de 14-IV-2026, asunto C-418/24 («asunto Obadal»))</w:t>
      </w:r>
    </w:p>
    <w:p>
      <w:r>
        <w:t>[17.00-133.1, 134.1 y 134.2]</w:t>
      </w:r>
    </w:p>
    <w:p>
      <w:pPr>
        <w:pStyle w:val="Heading3"/>
      </w:pPr>
      <w:r>
        <w:t>Artículo 104.1 · INCUMPLE · con declaración formal externa</w:t>
      </w:r>
    </w:p>
    <w:p>
      <w:r>
        <w:rPr>
          <w:b/>
        </w:rPr>
        <w:t>La norma.</w:t>
      </w:r>
      <w:r>
        <w:t xml:space="preserve"> «Las Fuerzas y Cuerpos de seguridad… tendrán como misión proteger el libre ejercicio de los derechos y libertades y garantizar la seguridad ciudadana.»</w:t>
      </w:r>
    </w:p>
    <w:p>
      <w:r>
        <w:rPr>
          <w:b/>
        </w:rPr>
        <w:t>Declaración formal externa.</w:t>
      </w:r>
      <w:r>
        <w:t xml:space="preserve"> El TEDH condenó a España por unanimidad en la sentencia de 6-X-2020 ( dispersión policial de una manifestación pacífica en Valladolid, 2014). La Audiencia Provincial de Vizcaya condenó a un oficial de la Ertzaintza a dos años de prisión por homicidio por imprudencia grave profesional por la muerte de un aficionado en 2012 (SAP 82/2018, de 29-XI-2018), la sentencia señala «la deficiente investigación» del propio cuerpo policial; el Tribunal Supremo desestimó los recursos (STS 721/2020).</w:t>
      </w:r>
      <w:r>
        <w:t xml:space="preserve"> (TEDH, demanda nº 41462/17, sentencia de 6-X-2020; sentencia condenatoria del TS a un mando de la Ertzaintza (número de sentencia no localizado))</w:t>
      </w:r>
    </w:p>
    <w:p>
      <w:r>
        <w:t>[17.00-135.1, 136.1 y 136.2]</w:t>
      </w:r>
    </w:p>
    <w:p>
      <w:pPr>
        <w:pStyle w:val="Heading3"/>
      </w:pPr>
      <w:r>
        <w:t>Artículo 105.b · INCUMPLE</w:t>
      </w:r>
    </w:p>
    <w:p>
      <w:r>
        <w:rPr>
          <w:b/>
        </w:rPr>
        <w:t>La norma.</w:t>
      </w:r>
      <w:r>
        <w:t xml:space="preserve"> «La ley regulará… el acceso de los ciudadanos a los archivos y registros administrativos.»</w:t>
      </w:r>
    </w:p>
    <w:p>
      <w:r>
        <w:rPr>
          <w:b/>
        </w:rPr>
        <w:t>El hecho.</w:t>
      </w:r>
      <w:r>
        <w:t xml:space="preserve"> La Memoria 2025 del Consejo de Transparencia y Buen Gobierno registró 2.767 reclamaciones, récord histórico (+40,2%), con el 45,5% de las reclamaciones estatales y el 75,3% de las autonómicas y locales presentadas porque la Administración no contestó en plazo — una tendencia que empeora cada año.</w:t>
      </w:r>
      <w:r>
        <w:t xml:space="preserve"> (CTBG, Memoria 2025 (BOE de 31-VIII-2026))</w:t>
      </w:r>
    </w:p>
    <w:p>
      <w:r>
        <w:t>[17.00-137.1 a 137.3]</w:t>
      </w:r>
    </w:p>
    <w:p>
      <w:pPr>
        <w:pStyle w:val="Heading3"/>
      </w:pPr>
      <w:r>
        <w:t>Artículo 106.2 · INCUMPLE</w:t>
      </w:r>
    </w:p>
    <w:p>
      <w:r>
        <w:rPr>
          <w:b/>
        </w:rPr>
        <w:t>La norma.</w:t>
      </w:r>
      <w:r>
        <w:t xml:space="preserve"> «Los particulares… tendrán derecho a ser indemnizados por toda lesión que sufran en cualquiera de sus bienes y derechos… salvo en los casos de fuerza mayor.»</w:t>
      </w:r>
    </w:p>
    <w:p>
      <w:r>
        <w:rPr>
          <w:b/>
        </w:rPr>
        <w:t>El hecho.</w:t>
      </w:r>
      <w:r>
        <w:t xml:space="preserve"> La STS de 18 de junio de 2026 condenó al Ministerio de Justicia a pagar 2,5 millones de euros a un hombre que pasó 18 años en prisión por un delito que no cometió. Entre 2000 y 2019, el Ministerio de Justicia reconoció 140 indemnizaciones por prisión preventiva indebida, por un total de 2,07 millones de euros, y de 3.698 reclamaciones resueltas estimó el 3,8 %; el 96,2 % de rechazo es cálculo de la obra (3.558 de 3.698)</w:t>
      </w:r>
      <w:r>
        <w:t xml:space="preserve"> (un magistrado del Tribunal Supremo, con datos del Ministerio de Justicia; fuente secundaria)</w:t>
      </w:r>
      <w:r>
        <w:t>. El rechazo es el hecho dominante del mecanismo; el pago puntual es la excepción que confirma el fallo sistémico, no una corrección consumada de una extralimitación concreta: el propio artículo exige indemnización por «toda lesión», no por una fracción marginal de ellas.</w:t>
      </w:r>
      <w:r>
        <w:t xml:space="preserve"> (STS de 18-VI-2026; Ministerio de Justicia, datos 2000-2019)</w:t>
      </w:r>
    </w:p>
    <w:p>
      <w:r>
        <w:t>[17.00-138.1 a 138.3]</w:t>
      </w:r>
    </w:p>
    <w:p>
      <w:pPr>
        <w:pStyle w:val="Heading3"/>
      </w:pPr>
      <w:r>
        <w:t>Artículo 107 · CUMPLE</w:t>
      </w:r>
    </w:p>
    <w:p>
      <w:r>
        <w:rPr>
          <w:b/>
        </w:rPr>
        <w:t>La norma.</w:t>
      </w:r>
      <w:r>
        <w:t xml:space="preserve"> «El Consejo de Estado es el supremo órgano consultivo del Gobierno.»</w:t>
      </w:r>
    </w:p>
    <w:p>
      <w:r>
        <w:rPr>
          <w:b/>
        </w:rPr>
        <w:t>El hecho.</w:t>
      </w:r>
      <w:r>
        <w:t xml:space="preserve"> En 2023, el 99,19 % (1.106 de 1.115) de las resoluciones y disposiciones generales de las que el Consejo de Estado tuvo conocimiento se adoptaron «de acuerdo con el Consejo de Estado»; en 2024, el 98,90 % (1.076 de 1.088). Es el porcentaje de las resoluciones que conoce, no de todos sus dictámenes (1.514 con pronunciamiento de fondo en 2023; 1.789 en 2024).</w:t>
      </w:r>
      <w:r>
        <w:t xml:space="preserve"> (Consejo de Estado, Memorias de 2023 y de 2024)</w:t>
      </w:r>
    </w:p>
    <w:p>
      <w:r>
        <w:t>[17.00-139.1 y 139.2]</w:t>
      </w:r>
    </w:p>
    <w:p>
      <w:r>
        <w:rPr>
          <w:b/>
        </w:rPr>
        <w:t>La mejor defensa del Estado.</w:t>
      </w:r>
      <w:r>
        <w:t xml:space="preserve"> La Administración es profesional, se accede por oposición y existen órganos de control de los conflictos de intereses y de la transparencia.</w:t>
      </w:r>
    </w:p>
    <w:p>
      <w:r>
        <w:rPr>
          <w:i/>
        </w:rPr>
        <w:t>Los contrapuntos de la obra:</w:t>
      </w:r>
      <w:r>
        <w:t xml:space="preserve"> 1) La Oficina de Conflictos de Intereses depende del propio Gobierno que debe fiscalizar (art. 98.4). 2) La temporalidad en el empleo público está entre el 26,8 % y el 32,7 %, frente al objetivo legal del 8 % (art. 103.3). 3) El Consejo de Transparencia recibió en 2025 2.767 reclamaciones, un récord (+40,2 %) (art. 105.b), y el Estado tuvo que pagar 2,5 millones a un hombre que pasó 18 años en prisión por un delito que no cometió (art. 106.2).</w:t>
      </w:r>
    </w:p>
    <w:p>
      <w:r>
        <w:t>[17.00-231.1, 232.1 a 232.3]</w:t>
      </w:r>
    </w:p>
    <w:p>
      <w:pPr>
        <w:pStyle w:val="Heading2"/>
      </w:pPr>
      <w:r>
        <w:t>A.6 Título V. Las relaciones entre el Gobierno y las Cortes Generales</w:t>
      </w:r>
    </w:p>
    <w:p>
      <w:pPr>
        <w:pBdr>
          <w:left w:val="single" w:sz="24" w:space="6" w:color="E2DED6"/>
        </w:pBdr>
        <w:shd w:val="clear" w:color="auto" w:fill="F1EEE8"/>
        <w:spacing w:before="80" w:after="160"/>
        <w:ind w:left="142" w:right="142"/>
      </w:pPr>
      <w:r>
        <w:rPr>
          <w:b/>
        </w:rPr>
        <w:t>La idea: el control parlamentario existe en el papel; 2 de 9 artículos incumplen, entre ellos el deber del Gobierno de dar la información que las Cámaras piden, y 2 quedan pendientes de dato.</w:t>
      </w:r>
    </w:p>
    <w:p>
      <w:r>
        <w:t>9 artículos auditados; 2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108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110</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111</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108 · CUMPLE</w:t>
      </w:r>
    </w:p>
    <w:p>
      <w:r>
        <w:rPr>
          <w:b/>
        </w:rPr>
        <w:t>La norma.</w:t>
      </w:r>
      <w:r>
        <w:t xml:space="preserve"> «El Gobierno responde solidariamente en su gestión política ante el Congreso de los Diputados.»</w:t>
      </w:r>
    </w:p>
    <w:p>
      <w:r>
        <w:rPr>
          <w:b/>
        </w:rPr>
        <w:t>El hecho.</w:t>
      </w:r>
      <w:r>
        <w:t xml:space="preserve"> El comentario oficial del Congreso al art. 108 dice que las mociones de reprobación frente a algún miembro del Gobierno «se consideraron dotadas de efectos políticos pero no jurídicos» — solo el Presidente puede cesar a un ministro; el Congreso solo puede censurar al Gobierno entero (art. 113 CE).</w:t>
      </w:r>
      <w:r>
        <w:t xml:space="preserve"> (Sinopsis oficial del Congreso de los Diputados sobre el art. 108 CE)</w:t>
      </w:r>
    </w:p>
    <w:p>
      <w:r>
        <w:t>[17.00-141.1 a 141.3]</w:t>
      </w:r>
    </w:p>
    <w:p>
      <w:pPr>
        <w:pStyle w:val="Heading3"/>
      </w:pPr>
      <w:r>
        <w:t>Artículo 109 · INCUMPLE</w:t>
      </w:r>
    </w:p>
    <w:p>
      <w:r>
        <w:rPr>
          <w:b/>
        </w:rPr>
        <w:t>La norma.</w:t>
      </w:r>
      <w:r>
        <w:t xml:space="preserve"> «Las Cámaras… podrán recabar… la información y ayuda que precisen del Gobierno y de sus Departamentos.»</w:t>
      </w:r>
    </w:p>
    <w:p>
      <w:r>
        <w:rPr>
          <w:b/>
        </w:rPr>
        <w:t>El hecho.</w:t>
      </w:r>
      <w:r>
        <w:t xml:space="preserve"> Nota oficial del CGPJ: el Tribunal Supremo estimó un recurso de diputados tras que el Gobierno, en vez de entregar información solicitada, les invitara a «concertar una visita» al Ministerio — el TS declaró que esa respuesta «no casa con la dignidad parlamentaria». El propio Congreso documenta el problema desde una nota de 1985 sobre incumplimiento del deber de facilitar documentación.</w:t>
      </w:r>
      <w:r>
        <w:t xml:space="preserve"> (CGPJ, nota de prensa sobre STS ECLI:ES:TS:2022:399 (Sala 3ª); Secretaría General del Congreso, nota sobre el deber de facilitar documentación al Congreso conforme al artículo 7.º del Reglamento de la Cámara, Revista de las Cortes Generales, núm. 5 (1985), pp. 231-240)</w:t>
      </w:r>
    </w:p>
    <w:p>
      <w:r>
        <w:t>[17.00-142.1 a 142.3]</w:t>
      </w:r>
    </w:p>
    <w:p>
      <w:pPr>
        <w:pStyle w:val="Heading3"/>
      </w:pPr>
      <w:r>
        <w:t>Artículo 110 · PENDIENTE</w:t>
      </w:r>
    </w:p>
    <w:p>
      <w:r>
        <w:rPr>
          <w:b/>
        </w:rPr>
        <w:t>La norma.</w:t>
      </w:r>
      <w:r>
        <w:t xml:space="preserve"> «Las Cámaras y sus Comisiones pueden reclamar la presencia de los miembros del Gobierno.»</w:t>
      </w:r>
    </w:p>
    <w:p>
      <w:r>
        <w:rPr>
          <w:b/>
        </w:rPr>
        <w:t>El hecho.</w:t>
      </w:r>
      <w:r>
        <w:t xml:space="preserve"> El hecho que sostiene este estado va a flecos: no se ha leído en su fuente. Pasa a PENDIENTE (8-oct-2026) porque el punto depende de una resolución externa que aún no existe: según la prensa (sin leer en su fuente), el conflicto de agosto de 2026 sobre las comparecencias en el Senado seguía abierto.</w:t>
      </w:r>
    </w:p>
    <w:p>
      <w:r>
        <w:t>[17.00-143.1]</w:t>
      </w:r>
    </w:p>
    <w:p>
      <w:pPr>
        <w:pStyle w:val="Heading3"/>
      </w:pPr>
      <w:r>
        <w:t>Artículo 111 · PENDIENTE</w:t>
      </w:r>
    </w:p>
    <w:p>
      <w:r>
        <w:rPr>
          <w:b/>
        </w:rPr>
        <w:t>La norma.</w:t>
      </w:r>
      <w:r>
        <w:t xml:space="preserve"> «El Gobierno y cada uno de sus miembros están sometidos a las interpelaciones y preguntas que se le formulen en las Cámaras.»</w:t>
      </w:r>
    </w:p>
    <w:p>
      <w:r>
        <w:rPr>
          <w:b/>
        </w:rPr>
        <w:t>El hecho.</w:t>
      </w:r>
      <w:r>
        <w:t xml:space="preserve"> El Congreso fija veinte días para que el Gobierno conteste una pregunta escrita, ampliables otros veinte a petición suya; si no contesta, el diputado puede pedir que la pregunta se incluya en el orden del día de la comisión competente, y la costumbre ha generalizado el «amparo de la Presidencia», para que la Presidencia de la Cámara insista al Gobierno.</w:t>
      </w:r>
      <w:r>
        <w:t xml:space="preserve"> (Congreso, sinopsis oficial del art. 111 CE)</w:t>
      </w:r>
      <w:r>
        <w:t xml:space="preserve"> Maldita.es y Qué hacen los diputados, con los datos de 98.735 preguntas parlamentarias registradas hasta el 3-I-2023, calculan que el 20,8 % de las preguntas de la legislatura se contestó «fuera de plazo o en el plazo ampliado de hasta 40 días», que se respondieron de media en 18 días hábiles, y que cerca de 14.000 preguntas del Congreso caducaron en diez años (el 6,1 % del total).</w:t>
      </w:r>
      <w:r>
        <w:t xml:space="preserve"> (Maldita.es y Qué hacen los diputados, 28-IV-2023; fuente secundaria)</w:t>
      </w:r>
      <w:r>
        <w:t xml:space="preserve"> A 23-IV-2026 había 726 preguntas sin responder pasados los 40 días, de más de 40.000 registradas en la legislatura en curso.</w:t>
      </w:r>
      <w:r>
        <w:t xml:space="preserve"> (Newtral, 6-V-2026; fuente secundaria)</w:t>
      </w:r>
      <w:r>
        <w:t xml:space="preserve"> Esa cifra del 20,8 % incluye el plazo ampliado, que es legal, y no mide solo lo tardío; nada de lo leído muestra que el Gobierno eluda su deber de someterse a las preguntas. </w:t>
      </w:r>
      <w:r>
        <w:rPr>
          <w:b/>
        </w:rPr>
        <w:t>Pasa a PENDIENTE (8-oct-2026) por falta de datos públicos que se puedan auditar:</w:t>
      </w:r>
      <w:r>
        <w:t xml:space="preserve"> el Congreso publica la ficha de cada pregunta, con sus fases y fechas, y la contestación del Gobierno en el Boletín Oficial de las Cortes Generales</w:t>
      </w:r>
      <w:r>
        <w:t xml:space="preserve"> (Congreso, ficha de la pregunta 184/029356, XIV Legislatura, consultada el 8-oct-2026)</w:t>
      </w:r>
      <w:r>
        <w:t>, pero entre sus datos abiertos de iniciativas, que son cuatro conjuntos (iniciativas legislativas aprobadas, proyectos de ley, propuestas de reforma de estatuto de autonomía y proposiciones de ley), no figuran las preguntas escritas</w:t>
      </w:r>
      <w:r>
        <w:t xml:space="preserve"> (Congreso, datos abiertos de iniciativas, consultados el 8-oct-2026)</w:t>
      </w:r>
      <w:r>
        <w:t>. Las cifras de plazos que se han podido leer son de terceros.</w:t>
      </w:r>
    </w:p>
    <w:p>
      <w:r>
        <w:t>[17.00-144.1 y 144.2]</w:t>
      </w:r>
    </w:p>
    <w:p>
      <w:pPr>
        <w:pStyle w:val="Heading3"/>
      </w:pPr>
      <w:r>
        <w:t>Artículo 112 · CUMPLE</w:t>
      </w:r>
    </w:p>
    <w:p>
      <w:r>
        <w:rPr>
          <w:b/>
        </w:rPr>
        <w:t>La norma.</w:t>
      </w:r>
      <w:r>
        <w:t xml:space="preserve"> «El Presidente del Gobierno, previa deliberación del Consejo de Ministros, puede plantear ante el Congreso… la cuestión de confianza.»</w:t>
      </w:r>
    </w:p>
    <w:p>
      <w:r>
        <w:rPr>
          <w:b/>
        </w:rPr>
        <w:t>El hecho.</w:t>
      </w:r>
      <w:r>
        <w:t xml:space="preserve"> Solo dos veces se ha planteado una cuestión de confianza: la primera se debatió los días 16, 17 y 18 de septiembre de 1980, y la segunda se presentó el 5 de abril de 1990. En las dos, el Congreso mantuvo la confianza. La sinopsis no da los votos.</w:t>
      </w:r>
      <w:r>
        <w:t xml:space="preserve"> (Congreso, sinopsis oficial del art. 112 CE)</w:t>
      </w:r>
    </w:p>
    <w:p>
      <w:r>
        <w:t>[17.00-145.1 y 145.2]</w:t>
      </w:r>
    </w:p>
    <w:p>
      <w:pPr>
        <w:pStyle w:val="Heading3"/>
      </w:pPr>
      <w:r>
        <w:t>Artículo 113 · CUMPLE</w:t>
      </w:r>
    </w:p>
    <w:p>
      <w:r>
        <w:rPr>
          <w:b/>
        </w:rPr>
        <w:t>La norma.</w:t>
      </w:r>
      <w:r>
        <w:t xml:space="preserve"> «El Congreso de los Diputados puede exigir la responsabilidad política del Gobierno mediante la adopción por mayoría absoluta de la moción de censura [constructiva].»</w:t>
      </w:r>
    </w:p>
    <w:p>
      <w:r>
        <w:rPr>
          <w:b/>
        </w:rPr>
        <w:t>El hecho.</w:t>
      </w:r>
      <w:r>
        <w:t xml:space="preserve"> Seis mociones de censura en la democracia, no cuatro: 1980, 1987, 2017, 2018 (única aprobada, 180-169-1), 2020 y 2023 (estas dos últimas de Vox). Solo una ha prosperado desde 1978, y el mayor rechazo de la historia fue en 2020 (298 votos en contra).</w:t>
      </w:r>
      <w:r>
        <w:t xml:space="preserve"> (Datos históricos completos de las seis mociones de censura (Statista))</w:t>
      </w:r>
    </w:p>
    <w:p>
      <w:r>
        <w:t>[17.00-146.1 a 146.3]</w:t>
      </w:r>
    </w:p>
    <w:p>
      <w:pPr>
        <w:pStyle w:val="Heading3"/>
      </w:pPr>
      <w:r>
        <w:t>Artículo 114 · CUMPLE</w:t>
      </w:r>
    </w:p>
    <w:p>
      <w:r>
        <w:rPr>
          <w:b/>
        </w:rPr>
        <w:t>La norma.</w:t>
      </w:r>
      <w:r>
        <w:t xml:space="preserve"> «Si el Congreso niega su confianza al Gobierno, éste presentará su dimisión al Rey… Si el Congreso adopta una moción de censura, el Gobierno presentará su dimisión al Rey y el candidato incluido en aquélla se entenderá investido de la confianza de la Cámara a los efectos previstos en el artículo 99.»</w:t>
      </w:r>
    </w:p>
    <w:p>
      <w:r>
        <w:rPr>
          <w:b/>
        </w:rPr>
        <w:t>El hecho.</w:t>
      </w:r>
      <w:r>
        <w:t xml:space="preserve"> La moción de censura de 2018 se registró el 25-V-2018, se calificó el día 28, se debatió el 31-V y el 1-VI, y se votó al terminar el debate; quedó aprobada el 1-VI-2018, con la investidura del candidato incluido en ella.</w:t>
      </w:r>
      <w:r>
        <w:t xml:space="preserve"> (Congreso, sinopsis oficial de los arts. 101 y 113 CE)</w:t>
      </w:r>
    </w:p>
    <w:p>
      <w:r>
        <w:t>[17.00-147.1 y 147.2]</w:t>
      </w:r>
    </w:p>
    <w:p>
      <w:pPr>
        <w:pStyle w:val="Heading3"/>
      </w:pPr>
      <w:r>
        <w:t>Artículo 115 · CUMPLE</w:t>
      </w:r>
    </w:p>
    <w:p>
      <w:r>
        <w:rPr>
          <w:b/>
        </w:rPr>
        <w:t>La norma.</w:t>
      </w:r>
      <w:r>
        <w:t xml:space="preserve"> «El Presidente del Gobierno, previa deliberación del Consejo de Ministros, y bajo su exclusiva responsabilidad, podrá proponer la disolución del Congreso, del Senado o de las Cortes Generales.»</w:t>
      </w:r>
    </w:p>
    <w:p>
      <w:r>
        <w:rPr>
          <w:b/>
        </w:rPr>
        <w:t>El hecho.</w:t>
      </w:r>
      <w:r>
        <w:t xml:space="preserve"> Según el propio blog oficial del Congreso, todas las legislaturas salvo las repeticiones de 2016 y 2019 han terminado por disolución anticipada del Presidente. La sinopsis oficial del art. 115 lo cuenta así: «excepto la XI y XIII Legislaturas, el resto (quince más la constituyente)» se disolvieron por decreto del Presidente (la sinopsis no da la lista). Que ninguna legislatura agotara los cuatro años no se puede afirmar sin más: en 1986, 1993, 2000 y 2015 la disolución llegó «relativamente cerca o muy cerca» del agotamiento, y la de 2015 se discute (disolución automática por cumplirse los cuatro años, o anticipada).</w:t>
      </w:r>
      <w:r>
        <w:t xml:space="preserve"> (Blog oficial del Congreso de los Diputados; Revista de Derecho Político (UNED); Congreso, sinopsis oficial del art. 115 CE)</w:t>
      </w:r>
    </w:p>
    <w:p>
      <w:r>
        <w:t>[17.00-148.1 a 148.3]</w:t>
      </w:r>
    </w:p>
    <w:p>
      <w:pPr>
        <w:pStyle w:val="Heading3"/>
      </w:pPr>
      <w:r>
        <w:t>Artículo 116 · INCUMPLE · con declaración formal externa</w:t>
      </w:r>
    </w:p>
    <w:p>
      <w:r>
        <w:rPr>
          <w:b/>
        </w:rPr>
        <w:t>La norma.</w:t>
      </w:r>
      <w:r>
        <w:t xml:space="preserve"> «Una ley orgánica regulará los estados de alarma, de excepción y de sitio.»</w:t>
      </w:r>
    </w:p>
    <w:p>
      <w:r>
        <w:rPr>
          <w:b/>
        </w:rPr>
        <w:t>Declaración formal externa.</w:t>
      </w:r>
      <w:r>
        <w:t xml:space="preserve"> Cuatro estados de alarma declarados (controladores aéreos 2010, dos COVID nacionales y uno regional en Madrid), ningún estado de excepción ni de sitio jamás. La STC 148/2021 y la STC 183/2021 declararon parcialmente inconstitucionales dos de las cuatro aplicaciones, por usar la figura más leve para hacer lo que solo permite la más grave.</w:t>
      </w:r>
      <w:r>
        <w:t xml:space="preserve"> (STC 148/2021, de 14-VII; STC 183/2021, de 27-X)</w:t>
      </w:r>
    </w:p>
    <w:p>
      <w:r>
        <w:t>[17.00-149.1, 150.1 y 150.2]</w:t>
      </w:r>
    </w:p>
    <w:p>
      <w:r>
        <w:rPr>
          <w:b/>
        </w:rPr>
        <w:t>La mejor defensa del Estado.</w:t>
      </w:r>
      <w:r>
        <w:t xml:space="preserve"> El control parlamentario existe: preguntas, interpelaciones, comparecencias y mociones de censura.</w:t>
      </w:r>
    </w:p>
    <w:p>
      <w:r>
        <w:rPr>
          <w:i/>
        </w:rPr>
        <w:t>Los contrapuntos de la obra:</w:t>
      </w:r>
      <w:r>
        <w:t xml:space="preserve"> 1) El Gobierno, en lugar de entregar a unos diputados la información pedida, les invitó a «concertar una visita» al ministerio, y el Supremo declaró que esa respuesta «no casa con la dignidad parlamentaria» (art. 109). 2) Cuatro estados de alarma, y el Constitucional declaró que el confinamiento debió hacerse con el estado de excepción (STC 148/2021; art. 116).</w:t>
      </w:r>
    </w:p>
    <w:p>
      <w:r>
        <w:t>[17.00-233.1, 234.1, 234.3]</w:t>
      </w:r>
    </w:p>
    <w:p>
      <w:pPr>
        <w:pStyle w:val="Heading2"/>
      </w:pPr>
      <w:r>
        <w:t>A.7 Título VI. El Poder Judicial</w:t>
      </w:r>
    </w:p>
    <w:p>
      <w:pPr>
        <w:pBdr>
          <w:left w:val="single" w:sz="24" w:space="6" w:color="E2DED6"/>
        </w:pBdr>
        <w:shd w:val="clear" w:color="auto" w:fill="F1EEE8"/>
        <w:spacing w:before="80" w:after="160"/>
        <w:ind w:left="142" w:right="142"/>
      </w:pPr>
      <w:r>
        <w:rPr>
          <w:b/>
        </w:rPr>
        <w:t>La idea: los jueces son independientes, dice la defensa, y el sistema se corrige a sí mismo; los contrapuntos añaden que el Gobierno nombra al Fiscal General y que el órgano de gobierno de los jueces estuvo cinco años y medio con el mandato caducado: 7 de 11 artículos incumplen.</w:t>
      </w:r>
    </w:p>
    <w:p>
      <w:r>
        <w:t>11 artículos auditados; 7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117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 intento frenado</w:t>
            </w:r>
          </w:p>
        </w:tc>
      </w:tr>
      <w:tr>
        <w:tc>
          <w:tcPr>
            <w:tcW w:type="dxa" w:w="2296"/>
          </w:tcPr>
          <w:p>
            <w:pPr>
              <w:spacing w:after="20" w:line="264" w:lineRule="auto"/>
            </w:pPr>
            <w:r/>
            <w:r>
              <w:rPr>
                <w:rFonts w:ascii="Segoe UI" w:hAnsi="Segoe UI" w:eastAsia="Segoe UI" w:cs="Segoe UI"/>
                <w:color w:val="1F1D1A"/>
                <w:sz w:val="18"/>
              </w:rPr>
              <w:t>118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120.3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127.1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117 · INCUMPLE · con declaración formal externa</w:t>
      </w:r>
    </w:p>
    <w:p>
      <w:r>
        <w:t>Artículo auditado por apartados: 117.1 y 117.5.</w:t>
      </w:r>
    </w:p>
    <w:p>
      <w:r>
        <w:rPr>
          <w:b/>
        </w:rPr>
        <w:t>Apartado 117.1 · INCUMPLE.</w:t>
      </w:r>
    </w:p>
    <w:p>
      <w:r>
        <w:rPr>
          <w:b/>
        </w:rPr>
        <w:t>La norma.</w:t>
      </w:r>
      <w:r>
        <w:t xml:space="preserve"> «La justicia… se administra… por Jueces y Magistrados… independientes, inamovibles, responsables y sometidos únicamente al imperio de la ley.»</w:t>
      </w:r>
    </w:p>
    <w:p>
      <w:r>
        <w:rPr>
          <w:b/>
        </w:rPr>
        <w:t>Apartado 117.5 · CUMPLE.</w:t>
      </w:r>
    </w:p>
    <w:p>
      <w:r>
        <w:rPr>
          <w:b/>
        </w:rPr>
        <w:t>La norma.</w:t>
      </w:r>
      <w:r>
        <w:t xml:space="preserve"> «El principio de unidad jurisdiccional es la base de la organización y funcionamiento de los Tribunales. La ley regulará el ejercicio de la jurisdicción militar en el ámbito estrictamente castrense y en los supuestos de estado de sitio, de acuerdo con los principios de la Constitución.»</w:t>
      </w:r>
    </w:p>
    <w:p>
      <w:r>
        <w:rPr>
          <w:b/>
        </w:rPr>
        <w:t>El hecho.</w:t>
      </w:r>
      <w:r>
        <w:t xml:space="preserve"> El jurado popular cubre una fracción muy pequeña de los asuntos penales: en 2025 dictó 465 sentencias, de 599.492 sentencias penales, menos del 0,1 % (cálculo de la obra sobre la memoria del CGPJ «La Justicia dato a dato 2025»). Según el CGPJ (14-VII-2015), los asuntos tramitados por la Ley del Jurado cayeron de 785 procedimientos en 1998 a 364 en 2014, la mitad, y su Sección de Estadística lo atribuye a «una restrictiva interpretación de las normas de conexión y de la competencia»; las sentencias del jurado fueron condenatorias en el 89,2 % de los casos (entre el 86 % y el 91,6 % desde 1998, hasta 2014). En su caso más célebre, la sentencia del TSJ de Andalucía de 1 de febrero de 2002 (rollo 29/2001) anuló la sentencia de 25 de septiembre de 2001 y el veredicto del jurado y ordenó devolver la causa a la Audiencia Provincial de Málaga para un nuevo juicio con distinto jurado, por insuficiente motivación del veredicto, y el Tribunal Supremo desestimó los recursos de casación del Ministerio Fiscal y de la acusación particular (STS 279/2003, de 12 de marzo, casación 459/2002).</w:t>
      </w:r>
      <w:r>
        <w:t xml:space="preserve"> (CGPJ, «La Justicia dato a dato 2025»; CGPJ, «Datos de Justicia» n.º 40, nota de 14-VII-2015; STSJ de Andalucía de 1-II-2002, rollo 29/2001 (fallo transcrito en la STS 279/2003, leída en el original); STS 279/2003, de 12-III (Sala Segunda, casación 459/2002, leída en el original))</w:t>
      </w:r>
    </w:p>
    <w:p>
      <w:r>
        <w:rPr>
          <w:b/>
        </w:rPr>
        <w:t>Frenado por.</w:t>
      </w:r>
      <w:r>
        <w:t xml:space="preserve"> Sentencia de 1-II-2002 (rollo 29/2001) — Tribunal Superior de Justicia de Andalucía, 1-II-2002. Apelación (rollo 29/2001) contra la sentencia de 25-IX-2001 de la Audiencia Provincial de Málaga. Anuló la sentencia y el veredicto y ordenó nuevo juicio con distinto jurado, por motivación insuficiente.</w:t>
      </w:r>
    </w:p>
    <w:p>
      <w:r>
        <w:rPr>
          <w:b/>
        </w:rPr>
        <w:t>Frenado por.</w:t>
      </w:r>
      <w:r>
        <w:t xml:space="preserve"> STS 279/2003 — Tribunal Supremo (Sala Segunda), 12-III-2003. Recurso de casación 459/2002 (Ministerio Fiscal y acusación particular). Desestimó los recursos: la anulación del TSJ quedó firme.</w:t>
      </w:r>
    </w:p>
    <w:p>
      <w:r>
        <w:rPr>
          <w:b/>
        </w:rPr>
        <w:t>Declaración formal externa.</w:t>
      </w:r>
      <w:r>
        <w:t xml:space="preserve"> Se auditan dos apartados. Incumple el 1 (independencia judicial), con declaración formal externa; cumple el 5 (unidad jurisdiccional), con una extralimitación frenada (véase el apartado 117.5). El artículo incumple porque incumple uno de sus apartados, y por eso cuenta en el organigrama político, que es el grupo de su apartado 1 y del Título VI, Del Poder Judicial.</w:t>
      </w:r>
    </w:p>
    <w:p>
      <w:r>
        <w:rPr>
          <w:b/>
        </w:rPr>
        <w:t>Declaración formal externa.</w:t>
      </w:r>
      <w:r>
        <w:t xml:space="preserve"> El Informe sobre el Estado de Derecho 2026 de la Comisión Europea (documento de trabajo SWD(2026) 909, de 17 de julio de 2026, capítulo de España) hace a España seis recomendaciones. La primera es que siga adelante con la adaptación del procedimiento de nombramiento de los jueces vocales del Consejo General del Poder Judicial, teniendo en cuenta la orientación de la Comisión de Venecia: la Comisión constata «algún progreso adicional», pero que no se ha hallado consenso para cerrar el proceso.</w:t>
      </w:r>
      <w:r>
        <w:t xml:space="preserve"> [original: «Some further progress was made on adapting the procedure for appointing the Council for the Judiciary's judges-members, as the Council obtained guidance from the Venice Commission, but no consensus has been found on finalising the process.» (traducción de la edición)]</w:t>
      </w:r>
      <w:r>
        <w:t xml:space="preserve"> Las otras cinco recomendaciones son el estatuto del Fiscal General, la duración de las investigaciones y los procesos por corrupción de alto nivel, los conflictos de intereses y las declaraciones de bienes de los altos cargos, los grupos de presión y el acceso a la información.</w:t>
      </w:r>
      <w:r>
        <w:t xml:space="preserve"> (Comisión Europea, Informe sobre el Estado de Derecho 2026, documento de trabajo SWD(2026) 909, de 17-VII-2026, capítulo de España, apartado «Recomendaciones» (leído en el original))</w:t>
      </w:r>
    </w:p>
    <w:p>
      <w:r>
        <w:t>[17.00-152.1, 154.1, 156.1 a 156.5, 153.1, 155.1 y 155.2]</w:t>
      </w:r>
    </w:p>
    <w:p>
      <w:pPr>
        <w:pStyle w:val="Heading3"/>
      </w:pPr>
      <w:r>
        <w:t>Artículo 118 · INCUMPLE</w:t>
      </w:r>
    </w:p>
    <w:p>
      <w:r>
        <w:rPr>
          <w:b/>
        </w:rPr>
        <w:t>La norma.</w:t>
      </w:r>
      <w:r>
        <w:t xml:space="preserve"> «Es obligado cumplir las sentencias y demás resoluciones firmes de los Jueces y Tribunales.»</w:t>
      </w:r>
    </w:p>
    <w:p>
      <w:r>
        <w:rPr>
          <w:b/>
        </w:rPr>
        <w:t>El hecho.</w:t>
      </w:r>
      <w:r>
        <w:t xml:space="preserve"> La STS 162/2022 (9-II-2022, caso Isla de Valdecañas) casó y dejó sin efecto la conservación del hotel, las viviendas, el campo de golf y las instalaciones que estaban construidas y en funcionamiento, que deberán ser demolidas como el resto de las obras e instalaciones. En su fundamento quinto, la sentencia dice que «no cabe apreciar imposibilidad material de ejecución de las correspondientes sentencias, respecto de todo lo que ya ha sido construido, por la afectación de intereses de carácter socioeconómico o de otra índole».</w:t>
      </w:r>
      <w:r>
        <w:t xml:space="preserve"> (STS 162/2022, de 9-II (Sala de lo Contencioso, recurso 7128/2020, fundamento 5.º))</w:t>
      </w:r>
    </w:p>
    <w:p>
      <w:r>
        <w:t>[17.00-157.1 a 157.3]</w:t>
      </w:r>
    </w:p>
    <w:p>
      <w:pPr>
        <w:pStyle w:val="Heading3"/>
      </w:pPr>
      <w:r>
        <w:t>Artículo 119 · INCUMPLE</w:t>
      </w:r>
    </w:p>
    <w:p>
      <w:r>
        <w:rPr>
          <w:b/>
        </w:rPr>
        <w:t>La norma.</w:t>
      </w:r>
      <w:r>
        <w:t xml:space="preserve"> «La justicia será gratuita cuando así lo disponga la ley y, en todo caso, respecto de quienes acrediten insuficiencia de recursos para litigar.»</w:t>
      </w:r>
    </w:p>
    <w:p>
      <w:r>
        <w:rPr>
          <w:b/>
        </w:rPr>
        <w:t>El hecho.</w:t>
      </w:r>
      <w:r>
        <w:t xml:space="preserve"> Huelga indefinida del turno de oficio, aún sin resolver. La retribución media en la Audiencia Nacional es de 244,95 € netos por asunto en macrocausas complejas. Canarias no había actualizado su retribución desde 2008 hasta agosto de 2025 — diecisiete años.</w:t>
      </w:r>
      <w:r>
        <w:t xml:space="preserve"> (Asociación de Letrados por un Turno de Oficio Digno (ALTODO); Orden de Canarias de 25-VIII-2025)</w:t>
      </w:r>
    </w:p>
    <w:p>
      <w:r>
        <w:t>[17.00-158.1 a 158.3]</w:t>
      </w:r>
    </w:p>
    <w:p>
      <w:pPr>
        <w:pStyle w:val="Heading3"/>
      </w:pPr>
      <w:r>
        <w:t>Artículo 120.3 · INCUMPLE · con declaración formal externa</w:t>
      </w:r>
    </w:p>
    <w:p>
      <w:r>
        <w:rPr>
          <w:b/>
        </w:rPr>
        <w:t>La norma.</w:t>
      </w:r>
      <w:r>
        <w:t xml:space="preserve"> «Las sentencias serán siempre motivadas y se pronunciarán en audiencia pública.»</w:t>
      </w:r>
    </w:p>
    <w:p>
      <w:r>
        <w:rPr>
          <w:b/>
        </w:rPr>
        <w:t>Declaración formal externa.</w:t>
      </w:r>
      <w:r>
        <w:t xml:space="preserve"> El informe del CGPJ de 2025 registra 4.673.596 asuntos pendientes; la pendencia penal aumentó un 11,7% en un año. El propio CGPJ reconoce que no dispone de datos directos sobre la duración real de los procedimientos. El TEDH condenó a España por la lentitud del propio Tribunal Constitucional en una sentencia de 2003.</w:t>
      </w:r>
      <w:r>
        <w:t xml:space="preserve"> (CGPJ, informe de 2025; TEDH, sentencia de 25-XI-2003)</w:t>
      </w:r>
    </w:p>
    <w:p>
      <w:r>
        <w:t>[17.00-159.1, 160.1 y 160.2]</w:t>
      </w:r>
    </w:p>
    <w:p>
      <w:pPr>
        <w:pStyle w:val="Heading3"/>
      </w:pPr>
      <w:r>
        <w:t>Artículo 121 · INCUMPLE</w:t>
      </w:r>
    </w:p>
    <w:p>
      <w:r>
        <w:rPr>
          <w:b/>
        </w:rPr>
        <w:t>La norma.</w:t>
      </w:r>
      <w:r>
        <w:t xml:space="preserve"> «Los daños causados por error judicial, así como los que sean consecuencia del funcionamiento anormal de la Administración de Justicia, darán derecho a una indemnización a cargo del Estado.»</w:t>
      </w:r>
    </w:p>
    <w:p>
      <w:r>
        <w:rPr>
          <w:b/>
        </w:rPr>
        <w:t>El hecho.</w:t>
      </w:r>
      <w:r>
        <w:t xml:space="preserve"> El estándar jurisprudencial exige un «error craso, evidente e injustificado» (STS 1484/2019), con plazo perentorio de tres meses, sin efecto suspensivo y riesgo de costas para el demandante. No se publica la cifra agregada anual de declaraciones estimadas, y el hecho no documenta ningún caso concreto de indemnización efectivamente concedida bajo este cauce.</w:t>
      </w:r>
      <w:r>
        <w:t xml:space="preserve"> (STS 1484/2019, de 6-V; art. 293 LOPJ)</w:t>
      </w:r>
    </w:p>
    <w:p>
      <w:r>
        <w:t>[17.00-161.1 a 161.3]</w:t>
      </w:r>
    </w:p>
    <w:p>
      <w:pPr>
        <w:pStyle w:val="Heading3"/>
      </w:pPr>
      <w:r>
        <w:t>Artículo 122 · INCUMPLE · con declaración formal externa</w:t>
      </w:r>
    </w:p>
    <w:p>
      <w:r>
        <w:rPr>
          <w:b/>
        </w:rPr>
        <w:t>La norma.</w:t>
      </w:r>
      <w:r>
        <w:t xml:space="preserve"> «El Consejo General del Poder Judicial… estará integrado por… veinte miembros nombrados por el Rey por un período de cinco años.»</w:t>
      </w:r>
    </w:p>
    <w:p>
      <w:r>
        <w:rPr>
          <w:b/>
        </w:rPr>
        <w:t>Declaración formal externa.</w:t>
      </w:r>
      <w:r>
        <w:t xml:space="preserve"> Mandato caducado en diciembre de 2018, renovado en junio de 2024 — cinco años y medio de bloqueo, con el acuerdo firmado en Bruselas ante la Comisión Europea. La reforma del sistema de elección de vocales fracasó formalmente en febrero de 2025; siguen bloqueadas las presidencias de las Salas Penal y Contencioso-Administrativa del TS.</w:t>
      </w:r>
      <w:r>
        <w:t xml:space="preserve"> (Comisión Europea, informes 2022, 2023 y 2024 sobre el Estado de Derecho)</w:t>
      </w:r>
    </w:p>
    <w:p>
      <w:r>
        <w:t>[17.00-162.1, 163.1 y 163.2]</w:t>
      </w:r>
    </w:p>
    <w:p>
      <w:pPr>
        <w:pStyle w:val="Heading3"/>
      </w:pPr>
      <w:r>
        <w:t>Artículo 123 · CUMPLE</w:t>
      </w:r>
    </w:p>
    <w:p>
      <w:r>
        <w:rPr>
          <w:b/>
        </w:rPr>
        <w:t>La norma.</w:t>
      </w:r>
      <w:r>
        <w:t xml:space="preserve"> «El Tribunal Supremo… es el órgano jurisdiccional superior en todos los órdenes, salvo lo dispuesto en materia de garantías constitucionales.»</w:t>
      </w:r>
    </w:p>
    <w:p>
      <w:r>
        <w:rPr>
          <w:b/>
        </w:rPr>
        <w:t>El hecho.</w:t>
      </w:r>
      <w:r>
        <w:t xml:space="preserve"> El filtro de admisión del recurso de casación («interés casacional objetivo») se compara con el del recurso de amparo ante el Tribunal Constitucional (97,75 % de inadmisión en 2024, según el propio Tribunal). La LO 1/2025 no lo introduce, sino que lo unifica: su preámbulo dice que «se unifica el alcance y finalidad del recurso de casación en todas las Salas del Tribunal Supremo», completando un criterio de admisión que «ya rige en las Salas Segunda y Tercera, y que en la última reforma legal se extendió a la Sala Primera».</w:t>
      </w:r>
      <w:r>
        <w:t xml:space="preserve"> (LO 1/2025 (jurisdicciones social y penal), preámbulo; RDL 5/2023, de 28-VI (art. 477 LEC, jurisdicción civil))</w:t>
      </w:r>
    </w:p>
    <w:p>
      <w:r>
        <w:t>[17.00-164.1 a 164.3]</w:t>
      </w:r>
    </w:p>
    <w:p>
      <w:pPr>
        <w:pStyle w:val="Heading3"/>
      </w:pPr>
      <w:r>
        <w:t>Artículo 124 · INCUMPLE · con declaración formal externa</w:t>
      </w:r>
    </w:p>
    <w:p>
      <w:r>
        <w:rPr>
          <w:b/>
        </w:rPr>
        <w:t>La norma.</w:t>
      </w:r>
      <w:r>
        <w:t xml:space="preserve"> «El Ministerio Fiscal, sin perjuicio de las funciones encomendadas a otros órganos, tiene por misión promover la acción de la justicia en defensa de la legalidad, de los derechos de los ciudadanos y del interés público tutelado por la ley, de oficio o a petición de los interesados, así como velar por la independencia de los Tribunales y procurar ante éstos la satisfacción del interés social. [[…]] El Ministerio Fiscal ejerce sus funciones por medio de órganos propios conforme a los principios de unidad de actuación y dependencia jerárquica y con sujeción, en todo caso, a los de legalidad e imparcialidad.»</w:t>
      </w:r>
    </w:p>
    <w:p>
      <w:r>
        <w:rPr>
          <w:b/>
        </w:rPr>
        <w:t>Declaración formal externa.</w:t>
      </w:r>
      <w:r>
        <w:t xml:space="preserve"> Primera condena penal firme a un Fiscal General del Estado en la historia democrática: condenado por la Sala Segunda del TS por revelación de datos reservados (fallo de 20-XI-2025, firme el 26-II-2026), tras lo cual dimitió. El Fiscal General sigue siendo nombrado por el Gobierno.</w:t>
      </w:r>
      <w:r>
        <w:t xml:space="preserve"> (STS 1000/2025, Sala Segunda, Causa Especial 3/20557/2024, de 9-XII-2025 (firme 26-II-2026))</w:t>
      </w:r>
    </w:p>
    <w:p>
      <w:r>
        <w:t>[17.00-165.1, 166.1 y 166.2]</w:t>
      </w:r>
    </w:p>
    <w:p>
      <w:pPr>
        <w:pStyle w:val="Heading3"/>
      </w:pPr>
      <w:r>
        <w:t>Artículo 125 · CUMPLE</w:t>
      </w:r>
    </w:p>
    <w:p>
      <w:r>
        <w:rPr>
          <w:b/>
        </w:rPr>
        <w:t>La norma.</w:t>
      </w:r>
      <w:r>
        <w:t xml:space="preserve"> «Los ciudadanos podrán ejercer la acción popular… en la forma y con respecto a aquellos procesos penales que la ley determine.»</w:t>
      </w:r>
    </w:p>
    <w:p>
      <w:r>
        <w:rPr>
          <w:b/>
        </w:rPr>
        <w:t>El hecho.</w:t>
      </w:r>
      <w:r>
        <w:t xml:space="preserve"> La «doctrina Botín» (STS 1045/2007) impide abrir juicio oral si solo acusa la acción popular sin Fiscalía ni acusación particular. Matizada por la «doctrina Atutxa» (STS 54/2008): si no hay perjudicado individual (delitos socioeconómicos), la acción popular sí puede sostener el juicio sola — avalada por el TC en 2013. Una reforma en proyecto prohibiría el ejercicio de la acción popular a los partidos políticos.</w:t>
      </w:r>
      <w:r>
        <w:t xml:space="preserve"> (STS 1045/2007, de 17-XII; STS 54/2008, de 8-IV; STC 205/2013, de 5-XII (avaló la doctrina Atutxa))</w:t>
      </w:r>
    </w:p>
    <w:p>
      <w:r>
        <w:t>[17.00-167.1 a 167.3]</w:t>
      </w:r>
    </w:p>
    <w:p>
      <w:pPr>
        <w:pStyle w:val="Heading3"/>
      </w:pPr>
      <w:r>
        <w:t>Artículo 126 · CUMPLE</w:t>
      </w:r>
    </w:p>
    <w:p>
      <w:r>
        <w:rPr>
          <w:b/>
        </w:rPr>
        <w:t>La norma.</w:t>
      </w:r>
      <w:r>
        <w:t xml:space="preserve"> «La Policía Judicial depende de los Jueces, de los Tribunales y del Ministerio Fiscal en sus funciones de averiguación del delito.»</w:t>
      </w:r>
    </w:p>
    <w:p>
      <w:r>
        <w:rPr>
          <w:b/>
        </w:rPr>
        <w:t>El hecho.</w:t>
      </w:r>
      <w:r>
        <w:t xml:space="preserve"> Jueces para la Democracia (1991) denunció que una interpretación del Ministerio del Interior, a propósito de la actuación con dos policías de Sevilla, «menoscaba la dependencia funcional de la Policía Judicial respecto de los jueces, y, en definitiva, la independencia judicial».</w:t>
      </w:r>
      <w:r>
        <w:t xml:space="preserve"> (Jueces para la Democracia (1991); RD 769/1987, de 19-VI)</w:t>
      </w:r>
    </w:p>
    <w:p>
      <w:r>
        <w:t>[17.00-168.1 a 168.3]</w:t>
      </w:r>
    </w:p>
    <w:p>
      <w:pPr>
        <w:pStyle w:val="Heading3"/>
      </w:pPr>
      <w:r>
        <w:t>Artículo 127.1 · CUMPLE</w:t>
      </w:r>
    </w:p>
    <w:p>
      <w:r>
        <w:rPr>
          <w:b/>
        </w:rPr>
        <w:t>La norma.</w:t>
      </w:r>
      <w:r>
        <w:t xml:space="preserve"> «Los Jueces y Magistrados así como los Fiscales, mientras se hallen en activo, no podrán desempeñar otros cargos públicos, ni pertenecer a partidos políticos o sindicatos. La ley establecerá el sistema y modalidades de asociación profesional de los Jueces, Magistrados y Fiscales.»</w:t>
      </w:r>
    </w:p>
    <w:p>
      <w:r>
        <w:rPr>
          <w:b/>
        </w:rPr>
        <w:t>El hecho.</w:t>
      </w:r>
      <w:r>
        <w:t xml:space="preserve"> No se localizó ningún caso de sanción disciplinaria a un juez, magistrado o fiscal español por afiliación o actividad política o sindical estando en activo. El art. 127.1 CE permite expresamente las asociaciones profesionales de jueces, de ahí que estas existan legalmente sin constituir infracción.</w:t>
      </w:r>
      <w:r>
        <w:t xml:space="preserve"> (Búsqueda sin hallazgos de sanciones por esta causa)</w:t>
      </w:r>
    </w:p>
    <w:p>
      <w:r>
        <w:t>[17.00-169.1 a 169.3]</w:t>
      </w:r>
    </w:p>
    <w:p>
      <w:r>
        <w:rPr>
          <w:b/>
        </w:rPr>
        <w:t>La mejor defensa del Estado.</w:t>
      </w:r>
      <w:r>
        <w:t xml:space="preserve"> Los jueces son independientes, y la prueba es que el Supremo ha llegado a condenar a un Fiscal General del Estado; el sistema se corrige a sí mismo.</w:t>
      </w:r>
    </w:p>
    <w:p>
      <w:r>
        <w:rPr>
          <w:i/>
        </w:rPr>
        <w:t>Los contrapuntos de la obra:</w:t>
      </w:r>
      <w:r>
        <w:t xml:space="preserve"> 1) Esa condena, la primera de la democracia, muestra también el problema de fondo: el Fiscal General lo sigue nombrando el Gobierno (art. 124). 2) El órgano de gobierno de los jueces estuvo cinco años y medio con el mandato caducado, de diciembre de 2018 a junio de 2024, y se renovó con un acuerdo firmado ante la Comisión Europea (art. 122). 3) Hay 4.673.596 asuntos pendientes en los juzgados, y la pendencia penal subió un 11,7 % en un año (art. 120.3); el turno de oficio está en huelga indefinida (art. 119).</w:t>
      </w:r>
    </w:p>
    <w:p>
      <w:r>
        <w:t>[17.00-235.1, 236.1 a 236.3]</w:t>
      </w:r>
    </w:p>
    <w:p>
      <w:pPr>
        <w:pStyle w:val="Heading2"/>
      </w:pPr>
      <w:r>
        <w:t>A.8 Título VII. Economía y Hacienda</w:t>
      </w:r>
    </w:p>
    <w:p>
      <w:pPr>
        <w:pBdr>
          <w:left w:val="single" w:sz="24" w:space="6" w:color="E2DED6"/>
        </w:pBdr>
        <w:shd w:val="clear" w:color="auto" w:fill="F1EEE8"/>
        <w:spacing w:before="80" w:after="160"/>
        <w:ind w:left="142" w:right="142"/>
      </w:pPr>
      <w:r>
        <w:rPr>
          <w:b/>
        </w:rPr>
        <w:t>La idea: el Estado cumple la estabilidad presupuestaria, dice la defensa; 6 de 9 artículos incumplen, con prórrogas presupuestarias y el peso de los intereses de la deuda.</w:t>
      </w:r>
    </w:p>
    <w:p>
      <w:r>
        <w:t>9 artículos auditados; 6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128.2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129.2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130.2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133.1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128.2 · CUMPLE</w:t>
      </w:r>
    </w:p>
    <w:p>
      <w:r>
        <w:rPr>
          <w:b/>
        </w:rPr>
        <w:t>La norma.</w:t>
      </w:r>
      <w:r>
        <w:t xml:space="preserve"> «Se reconoce la iniciativa pública en la actividad económica. Mediante ley se podrá reservar al sector público recursos o servicios esenciales, especialmente en caso de monopolio y asimismo acordar la intervención de empresas cuando así lo exigiere el interés general.»</w:t>
      </w:r>
    </w:p>
    <w:p>
      <w:r>
        <w:rPr>
          <w:b/>
        </w:rPr>
        <w:t>El hecho.</w:t>
      </w:r>
      <w:r>
        <w:t xml:space="preserve"> La mayor intervención empresarial de la democracia, la nacionalización de BFA-Bankia en 2012, se articuló por legislación específica de resolución bancaria (FROB), no por el cauce del art. 128.2 CE. Se inyectaron 22.424 millones de euros; el FROB seguía con el 100% del capital de BFA a 31 de diciembre de 2025, catorce años después.</w:t>
      </w:r>
      <w:r>
        <w:t xml:space="preserve"> (FROB, cronología de la intervención de BFA-Bankia (2012-2025))</w:t>
      </w:r>
    </w:p>
    <w:p>
      <w:r>
        <w:t>[17.00-171.1 a 171.3]</w:t>
      </w:r>
    </w:p>
    <w:p>
      <w:pPr>
        <w:pStyle w:val="Heading3"/>
      </w:pPr>
      <w:r>
        <w:t>Artículo 129.2 · INCUMPLE</w:t>
      </w:r>
    </w:p>
    <w:p>
      <w:r>
        <w:rPr>
          <w:b/>
        </w:rPr>
        <w:t>La norma.</w:t>
      </w:r>
      <w:r>
        <w:t xml:space="preserve"> «Los poderes públicos promoverán eficazmente las diversas formas de participación en la empresa y fomentarán… las sociedades cooperativas.»</w:t>
      </w:r>
    </w:p>
    <w:p>
      <w:r>
        <w:rPr>
          <w:b/>
        </w:rPr>
        <w:t>El hecho.</w:t>
      </w:r>
      <w:r>
        <w:t xml:space="preserve"> España tiene el 26% del empleo cooperativo europeo y el 9% de las cooperativas de la UE. Pero España está en «un grupo minoritario de 6 países en los que estos derechos sólo se reconocen y de forma débil en las empresas públicas» (los de representación y participación de los trabajadores en las empresas) — el mandato de promover la participación de los trabajadores en la empresa no tiene desarrollo legal general fuera del cooperativismo.</w:t>
      </w:r>
      <w:r>
        <w:t xml:space="preserve"> (CEPES, nota de prensa (VII-2024); Comisión Internacional de Personas Expertas sobre la Democracia en el Trabajo (Ministerio de Trabajo y Economía Social), «Dos promesas a quienes trabajan: voz y propiedad», presentada el 2-II-2026)</w:t>
      </w:r>
    </w:p>
    <w:p>
      <w:r>
        <w:t>[17.00-172.1 a 172.3]</w:t>
      </w:r>
    </w:p>
    <w:p>
      <w:pPr>
        <w:pStyle w:val="Heading3"/>
      </w:pPr>
      <w:r>
        <w:t>Artículo 130.2 · INCUMPLE</w:t>
      </w:r>
    </w:p>
    <w:p>
      <w:r>
        <w:rPr>
          <w:b/>
        </w:rPr>
        <w:t>La norma.</w:t>
      </w:r>
      <w:r>
        <w:t xml:space="preserve"> «Con el mismo fin, se dispensará un tratamiento especial a las zonas de montaña.»</w:t>
      </w:r>
    </w:p>
    <w:p>
      <w:r>
        <w:rPr>
          <w:b/>
        </w:rPr>
        <w:t>El hecho.</w:t>
      </w:r>
      <w:r>
        <w:t xml:space="preserve"> El Banco de España sitúa a 3.403 municipios en riesgo de despoblación (42% de los municipios). Un estudio de la Fundación la Caixa identifica 1.112 municipios de cadenas montañosas entre los más vulnerables del país. El primer plan interministerial contra la despoblación llegó en 2019 — 41 años después del mandato constitucional (cálculo de la obra).</w:t>
      </w:r>
      <w:r>
        <w:t xml:space="preserve"> (Banco de España, «La distribución espacial de la población en España y sus implicaciones económicas» (Informe Anual 2020, publ. 2021); Fundación «la Caixa» (Observatorio Social), «Más allá de la «España vaciada»: cambio climático, despoblación y globalización en las zonas rurales» (UAB))</w:t>
      </w:r>
    </w:p>
    <w:p>
      <w:r>
        <w:t>[17.00-173.1 a 173.3]</w:t>
      </w:r>
    </w:p>
    <w:p>
      <w:pPr>
        <w:pStyle w:val="Heading3"/>
      </w:pPr>
      <w:r>
        <w:t>Artículo 131 · INCUMPLE</w:t>
      </w:r>
    </w:p>
    <w:p>
      <w:r>
        <w:rPr>
          <w:b/>
        </w:rPr>
        <w:t>La norma.</w:t>
      </w:r>
      <w:r>
        <w:t xml:space="preserve"> «El Estado, mediante ley, podrá planificar la actividad económica general.»</w:t>
      </w:r>
    </w:p>
    <w:p>
      <w:r>
        <w:rPr>
          <w:b/>
        </w:rPr>
        <w:t>El hecho.</w:t>
      </w:r>
      <w:r>
        <w:t xml:space="preserve"> La propia sinopsis oficial del Congreso reconoce que este mecanismo está en «desuso» en la política económica actual. El Consejo asesor que exige el art. 131.2 nunca se ha constituido desde 1978. El mayor plan económico reciente (fondos Next Generation) se articuló por decreto-ley, no por ley de planificación, sin la participación de los órganos consultivos que el artículo exige. La obra lo clasifica como INCUMPLE porque el mecanismo previsto no se ha aplicado nunca (lo que no se cumple, incumple), y deja anotado que es un precepto en desuso.</w:t>
      </w:r>
      <w:r>
        <w:t xml:space="preserve"> (Sinopsis oficial del Congreso; STC 76/1983; RDL 36/2020)</w:t>
      </w:r>
    </w:p>
    <w:p>
      <w:r>
        <w:t>[17.00-174.1 a 174.3]</w:t>
      </w:r>
    </w:p>
    <w:p>
      <w:pPr>
        <w:pStyle w:val="Heading3"/>
      </w:pPr>
      <w:r>
        <w:t>Artículo 132 · CUMPLE</w:t>
      </w:r>
    </w:p>
    <w:p>
      <w:r>
        <w:rPr>
          <w:b/>
        </w:rPr>
        <w:t>La norma.</w:t>
      </w:r>
      <w:r>
        <w:t xml:space="preserve"> «La ley regulará el régimen jurídico de los bienes de dominio público y de los comunales.»</w:t>
      </w:r>
    </w:p>
    <w:p>
      <w:r>
        <w:rPr>
          <w:b/>
        </w:rPr>
        <w:t>El hecho.</w:t>
      </w:r>
      <w:r>
        <w:t xml:space="preserve"> La Ley de Costas de 1988 declaró de dominio público terrenos que estaban en manos privadas y convirtió los derechos de propiedad en derechos de concesión</w:t>
      </w:r>
      <w:r>
        <w:t xml:space="preserve"> (resumen doctrinal sobre la Ley de Costas; fuente secundaria)</w:t>
      </w:r>
      <w:r>
        <w:t>. La STC 149/1991, de 4 de julio (recursos de inconstitucionalidad 1689/1988 y acumulados), estimó parcialmente los recursos de las comunidades autónomas: declaró nulos, entre otros, los arts. 26.1, 34 y 118 por razón del reparto de competencias y desestimó los recursos en todo lo demás (fallo, apartado 3.º). Ese examen versó sobre el reparto de competencias, no sobre el art. 132. No consta resolución que haya corregido una extralimitación en este artículo: se clasifica como cumplimiento limpio.</w:t>
      </w:r>
      <w:r>
        <w:t xml:space="preserve"> (Ley 22/1988, de Costas; STC 149/1991, de 4-VII (BOE-T-1991-19353; fallo leído en el original))</w:t>
      </w:r>
    </w:p>
    <w:p>
      <w:r>
        <w:t>[17.00-175.1 a 175.3]</w:t>
      </w:r>
    </w:p>
    <w:p>
      <w:pPr>
        <w:pStyle w:val="Heading3"/>
      </w:pPr>
      <w:r>
        <w:t>Artículo 133.1 · CUMPLE</w:t>
      </w:r>
    </w:p>
    <w:p>
      <w:r>
        <w:rPr>
          <w:b/>
        </w:rPr>
        <w:t>La norma.</w:t>
      </w:r>
      <w:r>
        <w:t xml:space="preserve"> «La potestad originaria para establecer los tributos corresponde exclusivamente al Estado, mediante ley.»</w:t>
      </w:r>
    </w:p>
    <w:p>
      <w:r>
        <w:rPr>
          <w:b/>
        </w:rPr>
        <w:t>El hecho.</w:t>
      </w:r>
      <w:r>
        <w:t xml:space="preserve"> Hay tantas regulaciones distintas de Sucesiones y Donaciones como comunidades de régimen común, junto a la estatal, la ley foral navarra y las tres normas forales vascas: según el informe, una situación sin igual en la Unión Europea, ni siquiera en Estados federales (AEDAF, 2019, p. 150). Las renuncias a herencias se triplicaron entre 2011 y 2018 en varias comunidades (Andalucía, Asturias, Extremadura y Murcia, con datos del Notariado); el informe lo atribuye a las deudas, en su mayoría hipotecarias, y sobre todo a la elevada carga fiscal en algunas comunidades (AEDAF, 2019, p. 148). El Impuesto Temporal de Solidaridad de las Grandes Fortunas fue impugnado por el Consejo de Gobierno de la Comunidad de Madrid, que tenía bonificado el 100% del Impuesto sobre el Patrimonio, y el Tribunal Constitucional desestimó el recurso (STC 149/2023, de 7 de noviembre, rec. 616-2023). Por el criterio estricto de esta sección, un recurso desestimado no cuenta como «intento frenado»: se clasifica como cumplimiento limpio.</w:t>
      </w:r>
      <w:r>
        <w:t xml:space="preserve"> (AEDAF, «50 años de evolución impositiva: avanzando juntos, superando barreras» (2019, aedaf.es/es/documentos/descarga/44858); STC 149/2023, de 7-XI (rec. 616-2023; HJ 29821))</w:t>
      </w:r>
    </w:p>
    <w:p>
      <w:r>
        <w:t>[17.00-176.1 a 176.3]</w:t>
      </w:r>
    </w:p>
    <w:p>
      <w:pPr>
        <w:pStyle w:val="Heading3"/>
      </w:pPr>
      <w:r>
        <w:t>Artículo 134 · INCUMPLE</w:t>
      </w:r>
    </w:p>
    <w:p>
      <w:r>
        <w:rPr>
          <w:b/>
        </w:rPr>
        <w:t>La norma.</w:t>
      </w:r>
      <w:r>
        <w:t xml:space="preserve"> «Si la Ley de Presupuestos no se aprobara antes del primer día del ejercicio económico correspondiente, se considerarán automáticamente prorrogados los Presupuestos del ejercicio anterior.»</w:t>
      </w:r>
    </w:p>
    <w:p>
      <w:r>
        <w:rPr>
          <w:b/>
        </w:rPr>
        <w:t>El hecho.</w:t>
      </w:r>
      <w:r>
        <w:t xml:space="preserve"> Seis ejercicios empezaron con los presupuestos prorrogados entre 2018 y 2026 (2018, 2019, 2020, 2024, 2025 y 2026), contados en el BOE (cálculo de la obra); desde 2000 son ocho. 2026 arranca con las cuentas de 2023 por tercer año consecutivo. Las modificaciones de crédito hasta el 30-IX-2025 sumaron 44.887 millones de euros (IGAE); la fuente no dice qué parte pasó por el Congreso.</w:t>
      </w:r>
      <w:r>
        <w:t xml:space="preserve"> (Instituto de Estudios Económicos (IEE); IGAE, ejecución presupuestaria 2025; BOE, leyes de presupuestos (base de datos abiertos))</w:t>
      </w:r>
    </w:p>
    <w:p>
      <w:r>
        <w:t>[17.00-177.1 a 177.3]</w:t>
      </w:r>
    </w:p>
    <w:p>
      <w:pPr>
        <w:pStyle w:val="Heading3"/>
      </w:pPr>
      <w:r>
        <w:t>Artículo 135 · INCUMPLE</w:t>
      </w:r>
    </w:p>
    <w:p>
      <w:r>
        <w:rPr>
          <w:b/>
        </w:rPr>
        <w:t>La norma.</w:t>
      </w:r>
      <w:r>
        <w:t xml:space="preserve"> «Todas las Administraciones Públicas adecuarán sus actuaciones al principio de estabilidad presupuestaria. [[…]] Los créditos para satisfacer los intereses y el capital de la deuda pública de las Administraciones se entenderán siempre incluidos en el estado de gastos de sus presupuestos y su pago gozará de prioridad absoluta. Estos créditos no podrán ser objeto de enmienda o modificación, mientras se ajusten a las condiciones de la ley de emisión.»</w:t>
      </w:r>
    </w:p>
    <w:p>
      <w:r>
        <w:rPr>
          <w:b/>
        </w:rPr>
        <w:t>El hecho.</w:t>
      </w:r>
      <w:r>
        <w:t xml:space="preserve"> La deuda de las Administraciones Públicas fue el 100,2 % del PIB en mayo de 2026 (1.729 miles de millones de euros), 2 puntos porcentuales menos que un año antes. En 2024, los intereses de la deuda (38.793 millones de euros) superaron en 1.408 millones lo que se gastó en defensa (14.233), protección del medio ambiente (15.539) y vivienda y servicios comunitarios (7.613) juntos (37.385).</w:t>
      </w:r>
      <w:r>
        <w:t xml:space="preserve"> (Banco de España, deuda de las Administraciones Públicas, mayo de 2026 (nota de 17-VII-2026); Eurostat, gov_10a_exp y gov_10dd_edpt1, 2024)</w:t>
      </w:r>
    </w:p>
    <w:p>
      <w:r>
        <w:t>[17.00-178.1 y 178.2]</w:t>
      </w:r>
    </w:p>
    <w:p>
      <w:pPr>
        <w:pStyle w:val="Heading3"/>
      </w:pPr>
      <w:r>
        <w:t>Artículo 136 · INCUMPLE</w:t>
      </w:r>
    </w:p>
    <w:p>
      <w:r>
        <w:rPr>
          <w:b/>
        </w:rPr>
        <w:t>La norma.</w:t>
      </w:r>
      <w:r>
        <w:t xml:space="preserve"> «El Tribunal de Cuentas es el supremo órgano fiscalizador de las cuentas y de la gestión económica de Estado, así como del sector público.»</w:t>
      </w:r>
    </w:p>
    <w:p>
      <w:r>
        <w:rPr>
          <w:b/>
        </w:rPr>
        <w:t>El hecho.</w:t>
      </w:r>
      <w:r>
        <w:t xml:space="preserve"> Las Cortes Generales, en el Dictamen sobre la Cuenta General del Estado de 2020 (Pleno del Congreso, 1-XII-2022; Pleno del Senado, 23-XI-2022), instaron al Tribunal de Cuentas a lo siguiente: «Dar cumplimiento, en su integridad, a lo dispuesto el artículo 136.2 de la Constitución española de 1978.»</w:t>
      </w:r>
      <w:r>
        <w:t xml:space="preserve"> (BOE núm. 5, 6-I-2023, BOE-A-2023-440)</w:t>
      </w:r>
      <w:r>
        <w:br/>
      </w:r>
      <w:r>
        <w:rPr>
          <w:b/>
        </w:rPr>
        <w:t>leída en su fuente · BOE núm. 5, 6-I-2023, BOE-A-2023-440</w:t>
      </w:r>
      <w:r>
        <w:br/>
      </w:r>
      <w:r>
        <w:rPr>
          <w:b/>
        </w:rPr>
        <w:t>Archivo leído:</w:t>
      </w:r>
      <w:r>
        <w:t xml:space="preserve"> 136_BOE-A-2023-440_Dictamen_Comision_Mixta_TCu_Cuenta_General.xml (flecos3\136_BOE-A-2023-440_Dictamen_Comision_Mixta_TCu_Cuenta_General.xml) · contraste del archivo de pasajes: ✔</w:t>
      </w:r>
      <w:r>
        <w:br/>
      </w:r>
      <w:r>
        <w:rPr>
          <w:b/>
        </w:rPr>
        <w:t>Dirección:</w:t>
      </w:r>
      <w:r>
        <w:t xml:space="preserve"> </w:t>
      </w:r>
      <w:r>
        <w:t>https://www.boe.es/diario_boe/xml.php?id=BOE-A-2023-440</w:t>
      </w:r>
      <w:r>
        <w:br/>
      </w:r>
      <w:r>
        <w:rPr>
          <w:b/>
        </w:rPr>
        <w:t>Tal como está en la fuente:</w:t>
      </w:r>
      <w:r>
        <w:t xml:space="preserve"> Dar cumplimiento, en su integridad, a lo dispuesto el artículo 136.2 de la Constitución española de 1978.</w:t>
      </w:r>
      <w:r>
        <w:t xml:space="preserve"> Ese apartado dice que las cuentas del Estado y del sector público estatal se rendirán al Tribunal y serán censuradas por él, y que el Tribunal remitirá a las Cortes un informe anual; la resolución no dice qué parte falta. La revisión entre pares de 2015, hecha por el Tribunal de Cuentas Europeo y el de Portugal, halló que el marco de nombramiento de los consejeros «es conforme con los criterios internacionalmente reconocidos (ISSAI 1, 10 y 11), sin perjuicio de poder ser fortalecido», recomendó revisarlo (criterios objetivos, condiciones de acceso y duración del mandato) y observó «una percepción pública de influencia política en los consejeros del TCu, aunque del trabajo realizado en la revisión no se evidenciaron hechos concretos que pudiesen resultar de tal influencia».</w:t>
      </w:r>
      <w:r>
        <w:t xml:space="preserve"> (Tribunal de Cuentas, Informe de la Revisión entre Pares, junio de 2015, págs. 10, 11 y 29)</w:t>
      </w:r>
      <w:r>
        <w:t xml:space="preserve"> Un análisis jurídico de 2024 añade que el informe anual del Tribunal no tiene el contenido que prevé la ley.</w:t>
      </w:r>
      <w:r>
        <w:t xml:space="preserve"> (HayDerecho, 15-I-2024; fuente secundaria)</w:t>
      </w:r>
    </w:p>
    <w:p>
      <w:r>
        <w:t>[17.00-179.1 y 179.2]</w:t>
      </w:r>
    </w:p>
    <w:p>
      <w:r>
        <w:rPr>
          <w:b/>
        </w:rPr>
        <w:t>La mejor defensa del Estado.</w:t>
      </w:r>
      <w:r>
        <w:t xml:space="preserve"> El Estado cumple la estabilidad presupuestaria que exige Europa, sus cuentas se fiscalizan y la deuda financia los servicios públicos.</w:t>
      </w:r>
    </w:p>
    <w:p>
      <w:r>
        <w:rPr>
          <w:i/>
        </w:rPr>
        <w:t>Los contrapuntos de la obra:</w:t>
      </w:r>
      <w:r>
        <w:t xml:space="preserve"> 1) En seis de los nueve ejercicios de 2018 a 2026 se empezó con presupuestos prorrogados, y 2026 arranca con las cuentas de 2023 por tercer año (art. 134). 2) Los intereses de la deuda de todas las administraciones fueron en 2025 de 40.314 millones de euros, frente a 49.632 millones de inversión: por cada 5 euros que se invierten, unos 4 de intereses (art. 135; </w:t>
      </w:r>
      <w:r>
        <w:t>7.2</w:t>
      </w:r>
      <w:r>
        <w:t>, n.º 4). 3) 3.403 municipios están en riesgo de despoblación (art. 130.2).</w:t>
      </w:r>
    </w:p>
    <w:p>
      <w:r>
        <w:t>[17.00-237.1, 238.1 a 238.3]</w:t>
      </w:r>
    </w:p>
    <w:p>
      <w:pPr>
        <w:pStyle w:val="Heading2"/>
      </w:pPr>
      <w:r>
        <w:t>A.9 Título VIII. La organización territorial del Estado</w:t>
      </w:r>
    </w:p>
    <w:p>
      <w:pPr>
        <w:pBdr>
          <w:left w:val="single" w:sz="24" w:space="6" w:color="E2DED6"/>
        </w:pBdr>
        <w:shd w:val="clear" w:color="auto" w:fill="F1EEE8"/>
        <w:spacing w:before="80" w:after="160"/>
        <w:ind w:left="142" w:right="142"/>
      </w:pPr>
      <w:r>
        <w:rPr>
          <w:b/>
        </w:rPr>
        <w:t>La idea: el Estado autonómico descentralizó el poder, dice la defensa; 7 de 22 artículos incumplen, con una financiación autonómica caducada y un Fondo de Compensación Interterritorial en su mínimo histórico.</w:t>
      </w:r>
    </w:p>
    <w:p>
      <w:r>
        <w:t>22 artículos auditados; 7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137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139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143.1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150.2</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137 · CUMPLE</w:t>
      </w:r>
    </w:p>
    <w:p>
      <w:r>
        <w:rPr>
          <w:b/>
        </w:rPr>
        <w:t>La norma.</w:t>
      </w:r>
      <w:r>
        <w:t xml:space="preserve"> «El Estado se organiza territorialmente en municipios, en provincias y en las Comunidades Autónomas… Todas estas entidades gozan de autonomía para la gestión de sus respectivos intereses.»</w:t>
      </w:r>
    </w:p>
    <w:p>
      <w:r>
        <w:rPr>
          <w:b/>
        </w:rPr>
        <w:t>El hecho.</w:t>
      </w:r>
      <w:r>
        <w:t xml:space="preserve"> El Congreso de Autoridades Locales y Regionales del Consejo de Europa constata que «España no tiene un verdadero sistema de nivelación financiera a nivel local»</w:t>
      </w:r>
      <w:r>
        <w:t xml:space="preserve"> [original: «in Spain a proper equalisation system does not exist at local level»]</w:t>
      </w:r>
      <w:r>
        <w:t>. Las transferencias suman el 35,8 % de los ingresos de los gobiernos locales, y las del Estado, el 20,25 %.</w:t>
      </w:r>
      <w:r>
        <w:t xml:space="preserve"> (Congreso de Autoridades Locales y Regionales del Consejo de Europa, informe CG(2021)41-07 que acompaña a la Recomendación 465 (2021), §§ 78, 215, 225 y 294)</w:t>
      </w:r>
    </w:p>
    <w:p>
      <w:r>
        <w:t>[17.00-181.1 a 181.3]</w:t>
      </w:r>
    </w:p>
    <w:p>
      <w:pPr>
        <w:pStyle w:val="Heading3"/>
      </w:pPr>
      <w:r>
        <w:t>Artículo 138.2 · INCUMPLE · con declaración formal externa</w:t>
      </w:r>
    </w:p>
    <w:p>
      <w:r>
        <w:rPr>
          <w:b/>
        </w:rPr>
        <w:t>La norma.</w:t>
      </w:r>
      <w:r>
        <w:t xml:space="preserve"> «Las diferencias entre los Estatutos de las distintas Comunidades Autónomas no podrán implicar, en ningún caso, privilegios económicos o sociales.»</w:t>
      </w:r>
    </w:p>
    <w:p>
      <w:r>
        <w:rPr>
          <w:b/>
        </w:rPr>
        <w:t>Declaración formal externa.</w:t>
      </w:r>
      <w:r>
        <w:t xml:space="preserve"> El sistema de financiación autonómica (Ley 22/2009) debía revisarse en 2014 y lleva doce años caducado (cálculo de la obra: de 2014 a 2026), reconocido en documento oficial de la Comisión Bilateral Generalitat-Estado. Las comunidades autónomas son el nivel de gobierno regional más endeudado de la UE. La propuesta de reforma de 2026 introduce una «financiación singular» para una comunidad, calificada por Gestha de riesgo de inconstitucionalidad.</w:t>
      </w:r>
      <w:r>
        <w:t xml:space="preserve"> (Comisión Bilateral Generalitat-Estado, acuerdo de 14-VII-2025; Gestha)</w:t>
      </w:r>
    </w:p>
    <w:p>
      <w:r>
        <w:t>[17.00-182.1, 183.1 y 183.2]</w:t>
      </w:r>
    </w:p>
    <w:p>
      <w:pPr>
        <w:pStyle w:val="Heading3"/>
      </w:pPr>
      <w:r>
        <w:t>Artículo 139 · INCUMPLE</w:t>
      </w:r>
    </w:p>
    <w:p>
      <w:r>
        <w:t>Artículo auditado por apartados: 139.1 y 139.2.</w:t>
      </w:r>
    </w:p>
    <w:p>
      <w:r>
        <w:t>Se auditan dos apartados. Incumple el 1 (los mismos derechos en todo el territorio); cumple el 2 (libertad de circulación y establecimiento), con una extralimitación frenada por el Tribunal Constitucional. El artículo incumple porque incumple uno de sus apartados.</w:t>
      </w:r>
    </w:p>
    <w:p>
      <w:r>
        <w:rPr>
          <w:b/>
        </w:rPr>
        <w:t>Apartado 139.1 · INCUMPLE.</w:t>
      </w:r>
    </w:p>
    <w:p>
      <w:r>
        <w:rPr>
          <w:b/>
        </w:rPr>
        <w:t>La norma.</w:t>
      </w:r>
      <w:r>
        <w:t xml:space="preserve"> «Todos los españoles tienen los mismos derechos y obligaciones en cualquier parte del territorio del Estado.»</w:t>
      </w:r>
    </w:p>
    <w:p>
      <w:r>
        <w:rPr>
          <w:b/>
        </w:rPr>
        <w:t>El hecho.</w:t>
      </w:r>
      <w:r>
        <w:t xml:space="preserve"> La Ley de Dependencia se aplica con disparidades territoriales, con disparidades documentadas en listas de espera: a 31-XII-2025, la espera media para operarse iba de 50 días en Madrid a 173 en Andalucía (art. 43). El Defensor del Pueblo tuvo que intervenir para que Madrid ajustara su normativa a la estatal.</w:t>
      </w:r>
      <w:r>
        <w:t xml:space="preserve"> (Gaceta Sanitaria (2016); Defensor del Pueblo; Ministerio de Sanidad, SISLE-SNS (31-XII-2025))</w:t>
      </w:r>
    </w:p>
    <w:p>
      <w:r>
        <w:rPr>
          <w:b/>
        </w:rPr>
        <w:t>Apartado 139.2 · CUMPLE.</w:t>
      </w:r>
    </w:p>
    <w:p>
      <w:r>
        <w:rPr>
          <w:b/>
        </w:rPr>
        <w:t>La norma.</w:t>
      </w:r>
      <w:r>
        <w:t xml:space="preserve"> «Ninguna autoridad podrá adoptar medidas que directa o indirectamente obstaculicen la libertad de circulación y establecimiento de las personas y la libre circulación de bienes en todo el territorio español.»</w:t>
      </w:r>
    </w:p>
    <w:p>
      <w:r>
        <w:rPr>
          <w:b/>
        </w:rPr>
        <w:t>El hecho.</w:t>
      </w:r>
      <w:r>
        <w:t xml:space="preserve"> La STC 79/2017 (recurso del Parlamento de Cataluña) y la STC 111/2017 (recurso de la Junta de Andalucía) anularon partes de la Ley de Garantía de la Unidad de Mercado del Estado por extralimitación competencial — fue el Estado, no una comunidad autónoma, el que vio anulado su mecanismo de «licencia única».</w:t>
      </w:r>
      <w:r>
        <w:t xml:space="preserve"> (STC 79/2017, de 22-VI; STC 111/2017, de 5-X)</w:t>
      </w:r>
    </w:p>
    <w:p>
      <w:r>
        <w:rPr>
          <w:b/>
        </w:rPr>
        <w:t>Frenado por.</w:t>
      </w:r>
      <w:r>
        <w:t xml:space="preserve"> STC 79/2017 — Tribunal Constitucional (Pleno), 22-VI-2017. Recurso de inconstitucionalidad 1397-2014 (Parlamento de Cataluña). Nulidad de disposiciones de la Ley 20/2013 de garantía de la unidad de mercado (entre ellas la eficacia nacional de las licencias).</w:t>
      </w:r>
    </w:p>
    <w:p>
      <w:r>
        <w:rPr>
          <w:b/>
        </w:rPr>
        <w:t>Frenado por.</w:t>
      </w:r>
      <w:r>
        <w:t xml:space="preserve"> STC 111/2017 — Tribunal Constitucional (Pleno), 5-X-2017. Recurso de inconstitucionalidad 1454-2014 (Junta de Andalucía). Extinción parcial del objeto por la STC 79/2017 y nulidad de un precepto sobre control por las autoridades del lugar de fabricación.</w:t>
      </w:r>
    </w:p>
    <w:p>
      <w:r>
        <w:t>[17.00-184.1 y 184.2, 185.1 a 185.3, 186.1 a 186.5]</w:t>
      </w:r>
    </w:p>
    <w:p>
      <w:pPr>
        <w:pStyle w:val="Heading3"/>
      </w:pPr>
      <w:r>
        <w:t>Artículo 140 · CUMPLE</w:t>
      </w:r>
    </w:p>
    <w:p>
      <w:r>
        <w:rPr>
          <w:b/>
        </w:rPr>
        <w:t>La norma.</w:t>
      </w:r>
      <w:r>
        <w:t xml:space="preserve"> «La Constitución garantiza la autonomía de los municipios.»</w:t>
      </w:r>
    </w:p>
    <w:p>
      <w:r>
        <w:rPr>
          <w:b/>
        </w:rPr>
        <w:t>El hecho.</w:t>
      </w:r>
      <w:r>
        <w:t xml:space="preserve"> La Ley 27/2013 (LRSAL) reformó el régimen local, suprimió la cláusula general de competencia municipal y trasladó servicios a las Diputaciones. La STC 41/2016, de 3 de marzo (recurso 1792-2014, Asamblea de Extremadura), declaró nulos, entre otros, el art. 57 bis de la Ley 7/1985 (compensación estatal de deudas de las comunidades con los créditos de su sistema de financiación) y las disposiciones adicional undécima y transitorias primera a tercera, y desestimó el recurso en todo lo demás. La STC 111/2016, de 9 de junio (recurso 1959-2014, Junta de Andalucía), declaró la nulidad parcial de preceptos sobre funciones atribuidas a la Administración del Estado.</w:t>
      </w:r>
      <w:r>
        <w:t xml:space="preserve"> (Ley 27/2013 (BOE-A-2013-13756); STC 41/2016 (BOE-A-2016-3407, fallo leído en el original); STC 111/2016, de 9-VI (rec. 1959-2014; título leído, fallo sin leer))</w:t>
      </w:r>
    </w:p>
    <w:p>
      <w:r>
        <w:rPr>
          <w:b/>
        </w:rPr>
        <w:t>Frenado por.</w:t>
      </w:r>
      <w:r>
        <w:t xml:space="preserve"> STC 41/2016 — Tribunal Constitucional (Pleno), 3-III-2016. Recurso de inconstitucionalidad 1792-2014 (diputados de la Asamblea de Extremadura). Nulidad del art. 57 bis LBRL, de la disp. adicional 11.ª y de las transitorias 1.ª a 3.ª de la Ley 27/2013 y de dos incisos.</w:t>
      </w:r>
    </w:p>
    <w:p>
      <w:r>
        <w:rPr>
          <w:b/>
        </w:rPr>
        <w:t>Frenado por.</w:t>
      </w:r>
      <w:r>
        <w:t xml:space="preserve"> STC 111/2016 — Tribunal Constitucional (Pleno), 9-VI-2016. Recurso de inconstitucionalidad 1959-2014 (Junta de Andalucía). Nulidad parcial de preceptos sobre funciones atribuidas a la Administración del Estado.</w:t>
      </w:r>
    </w:p>
    <w:p>
      <w:r>
        <w:t>[17.00-187.1 a 187.5]</w:t>
      </w:r>
    </w:p>
    <w:p>
      <w:pPr>
        <w:pStyle w:val="Heading3"/>
      </w:pPr>
      <w:r>
        <w:t>Artículo 141 · CUMPLE</w:t>
      </w:r>
    </w:p>
    <w:p>
      <w:r>
        <w:rPr>
          <w:b/>
        </w:rPr>
        <w:t>La norma.</w:t>
      </w:r>
      <w:r>
        <w:t xml:space="preserve"> «La provincia es una entidad local con personalidad jurídica propia… El Gobierno y la administración autónoma de las provincias estarán encomendados a Diputaciones.»</w:t>
      </w:r>
    </w:p>
    <w:p>
      <w:r>
        <w:rPr>
          <w:b/>
        </w:rPr>
        <w:t>El hecho.</w:t>
      </w:r>
      <w:r>
        <w:t xml:space="preserve"> Según Martín-Retortillo Baquer (1991, pp. 59-60), citado en la REALA n.º 23 (INAP, 2025)</w:t>
      </w:r>
      <w:r>
        <w:t xml:space="preserve"> (REALA n.º 23, INAP, 2025; fuente secundaria)</w:t>
      </w:r>
      <w:r>
        <w:t>, la existencia de las Diputaciones Provinciales «ha estado en entredicho desde su nacimiento», con «un resultado verdaderamente paradójico: su fortalecimiento» tras cada intento de reforma. La STC 31/2010 estableció que el art. 149.1.18 CE (bases del régimen local) impide a las comunidades autónomas suprimirlas, cerrando la vía incluso en Cataluña, con organización comarcal propia.</w:t>
      </w:r>
      <w:r>
        <w:t xml:space="preserve"> (Martín-Retortillo Baquer (1991); STC 31/2010, de 28-VI)</w:t>
      </w:r>
    </w:p>
    <w:p>
      <w:r>
        <w:t>[17.00-188.1 a 188.3]</w:t>
      </w:r>
    </w:p>
    <w:p>
      <w:pPr>
        <w:pStyle w:val="Heading3"/>
      </w:pPr>
      <w:r>
        <w:t>Artículo 142 · INCUMPLE</w:t>
      </w:r>
    </w:p>
    <w:p>
      <w:r>
        <w:rPr>
          <w:b/>
        </w:rPr>
        <w:t>La norma.</w:t>
      </w:r>
      <w:r>
        <w:t xml:space="preserve"> «Las Haciendas locales deberán disponer de los medios suficientes para el desempeño de las funciones que la ley atribuye a las Corporaciones respectivas.»</w:t>
      </w:r>
    </w:p>
    <w:p>
      <w:r>
        <w:rPr>
          <w:b/>
        </w:rPr>
        <w:t>El hecho.</w:t>
      </w:r>
      <w:r>
        <w:t xml:space="preserve"> Los recursos propios cubren en torno al 75% del gasto municipal (estudio del INAP). Los ayuntamientos con superávit no pueden gastarlo por la regla derivada del art. 135 CE; los intentos de corregirlo acumulan más de 30 prórrogas parlamentarias de enmiendas y un decreto-ley tumbado en 2020.</w:t>
      </w:r>
      <w:r>
        <w:t xml:space="preserve"> (Instituto Nacional de Administración Pública (INAP); FEMP)</w:t>
      </w:r>
    </w:p>
    <w:p>
      <w:r>
        <w:t>[17.00-189.1 a 189.3]</w:t>
      </w:r>
    </w:p>
    <w:p>
      <w:pPr>
        <w:pStyle w:val="Heading3"/>
      </w:pPr>
      <w:r>
        <w:t>Artículo 143.1 · CUMPLE</w:t>
      </w:r>
    </w:p>
    <w:p>
      <w:r>
        <w:rPr>
          <w:b/>
        </w:rPr>
        <w:t>La norma.</w:t>
      </w:r>
      <w:r>
        <w:t xml:space="preserve"> «En el ejercicio del derecho a la autonomía… las provincias limítrofes con características históricas, culturales y económicas comunes, los territorios insulares y las provincias con entidad regional histórica podrán acceder a su autogobierno y constituirse en Comunidades Autónomas.»</w:t>
      </w:r>
    </w:p>
    <w:p>
      <w:r>
        <w:rPr>
          <w:b/>
        </w:rPr>
        <w:t>El hecho.</w:t>
      </w:r>
      <w:r>
        <w:t xml:space="preserve"> Este es el cauce ordinario de acceso a la autonomía (frente a la vía agravada del art. 151, ya verificada en esta auditoría). Por los Pactos Autonómicos de 1981, se predeterminó que todas las comunidades salvo Andalucía accederían por esta vía — no fue una elección libre de cada territorio, sino un acuerdo entre los dos grandes partidos estatales.</w:t>
      </w:r>
      <w:r>
        <w:t xml:space="preserve"> (Sinopsis oficial del Congreso sobre los arts. 143 y 148 CE)</w:t>
      </w:r>
    </w:p>
    <w:p>
      <w:r>
        <w:t>[17.00-190.1 a 190.3]</w:t>
      </w:r>
    </w:p>
    <w:p>
      <w:pPr>
        <w:pStyle w:val="Heading3"/>
      </w:pPr>
      <w:r>
        <w:t>Artículo 144 · INCUMPLE</w:t>
      </w:r>
    </w:p>
    <w:p>
      <w:r>
        <w:rPr>
          <w:b/>
        </w:rPr>
        <w:t>La norma.</w:t>
      </w:r>
      <w:r>
        <w:t xml:space="preserve"> «Las Cortes Generales, mediante ley orgánica, podrán, por motivos de interés nacional: … b) Autorizar o acordar, en su caso, un Estatuto de autonomía para territorios que no estén integrados en la organización provincial.»</w:t>
      </w:r>
    </w:p>
    <w:p>
      <w:r>
        <w:rPr>
          <w:b/>
        </w:rPr>
        <w:t>El hecho.</w:t>
      </w:r>
      <w:r>
        <w:t xml:space="preserve"> Los Acuerdos Autonómicos de 1981 preveían los Estatutos de Ceuta y Melilla; se aprobaron por la Ley Orgánica 1/1995 (Ceuta) y la Ley Orgánica 2/1995 (Melilla), ambas de 13 de marzo de 1995 y publicadas en el BOE el 14 de marzo; los Acuerdos se habían firmado el 31 de julio de 1981. Según la consejera de Presidencia y Administración Pública de Melilla, al no ser Comunidades Autónomas, ni las comunidades ni el Estado pueden actualizar la normativa antigua que las regula, y el retraso nunca se corrigió por vía judicial ni legislativa.</w:t>
      </w:r>
      <w:r>
        <w:t xml:space="preserve"> (la consejera de Presidencia y Administración Pública de Melilla, declaraciones en sesión de control al Gobierno de Melilla, enero de 2025 (recogidas por ceutatv.com, 3-II-2025); LO 1/1995 (BOE-A-1995-6358) y LO 2/1995 (BOE-A-1995-6359); fecha de los Acuerdos Autonómicos: Hernández Lafuente (2023), fuente secundaria)</w:t>
      </w:r>
    </w:p>
    <w:p>
      <w:r>
        <w:t>[17.00-191.1 a 191.3]</w:t>
      </w:r>
    </w:p>
    <w:p>
      <w:pPr>
        <w:pStyle w:val="Heading3"/>
      </w:pPr>
      <w:r>
        <w:t>Artículo 145.2 · CUMPLE</w:t>
      </w:r>
    </w:p>
    <w:p>
      <w:r>
        <w:rPr>
          <w:b/>
        </w:rPr>
        <w:t>La norma.</w:t>
      </w:r>
      <w:r>
        <w:t xml:space="preserve"> «Los Estatutos podrán prever los supuestos… en que las Comunidades Autónomas podrán celebrar convenios entre sí.»</w:t>
      </w:r>
    </w:p>
    <w:p>
      <w:r>
        <w:rPr>
          <w:b/>
        </w:rPr>
        <w:t>El hecho.</w:t>
      </w:r>
      <w:r>
        <w:t xml:space="preserve"> Solo 26 convenios y acuerdos entre comunidades autónomas tramitados en más de 40 años. La STC 44/1986 anuló un convenio real (Cataluña-Murcia) por falta de autorización de las Cortes. El artículo nació de la desconfianza del constituyente hacia la cooperación horizontal.</w:t>
      </w:r>
      <w:r>
        <w:t xml:space="preserve"> (STC 44/1986, de 17-IV; análisis académico sobre convenios interautonómicos)</w:t>
      </w:r>
    </w:p>
    <w:p>
      <w:r>
        <w:rPr>
          <w:b/>
        </w:rPr>
        <w:t>Frenado por.</w:t>
      </w:r>
      <w:r>
        <w:t xml:space="preserve"> STC 44/1986 — Tribunal Constitucional (Pleno), 17-IV-1986. Impugnación 163/1982 (Gobierno de la Nación). Nulidad de la resolución que aprobó el convenio entre la Generalidad de Cataluña y el Consejo Regional de Murcia, y del propio convenio.</w:t>
      </w:r>
    </w:p>
    <w:p>
      <w:r>
        <w:t>[17.00-192.1 a 192.4]</w:t>
      </w:r>
    </w:p>
    <w:p>
      <w:pPr>
        <w:pStyle w:val="Heading3"/>
      </w:pPr>
      <w:r>
        <w:t>Artículo 146 · INCUMPLE</w:t>
      </w:r>
    </w:p>
    <w:p>
      <w:r>
        <w:rPr>
          <w:b/>
        </w:rPr>
        <w:t>La norma.</w:t>
      </w:r>
      <w:r>
        <w:t xml:space="preserve"> «El proyecto de Estatuto será elaborado por una asamblea compuesta por los miembros de la Diputación u órgano interinsular de las provincias afectadas y por los Diputados y Senadores elegidos en ellas y será elevado a las Cortes Generales para su tramitación como ley.»</w:t>
      </w:r>
    </w:p>
    <w:p>
      <w:r>
        <w:rPr>
          <w:b/>
        </w:rPr>
        <w:t>El hecho.</w:t>
      </w:r>
      <w:r>
        <w:t xml:space="preserve"> La LO 12/1980 modificó la ley del referéndum (art. 8.4) con efecto retroactivo sobre un referéndum ya celebrado, para permitir sustituir por ley orgánica la iniciativa autonómica no alcanzada en Almería (LO 12/1980 y LO 13/1980, ambas de 16-XII-1980), y nunca fue corregida por ningún tribunal. En Andalucía, de las manifestaciones del 4-XII-1977 y el referéndum del 28-II-1980 al Estatuto, ratificado el 20-X-1981 y aprobado por la LO 6/1981, de 30-XII, pasaron cuatro años y 26 días (cuenta de la obra).</w:t>
      </w:r>
      <w:r>
        <w:t xml:space="preserve"> (LO 12/1980, de 16-XII; análisis jurídico sobre el «caso Almería»; LO 2/2007 (preámbulo) y LO 6/1981)</w:t>
      </w:r>
    </w:p>
    <w:p>
      <w:r>
        <w:t>[17.00-193.1 a 193.3]</w:t>
      </w:r>
    </w:p>
    <w:p>
      <w:pPr>
        <w:pStyle w:val="Heading3"/>
      </w:pPr>
      <w:r>
        <w:t>Artículo 147 · CUMPLE</w:t>
      </w:r>
    </w:p>
    <w:p>
      <w:r>
        <w:rPr>
          <w:b/>
        </w:rPr>
        <w:t>La norma.</w:t>
      </w:r>
      <w:r>
        <w:t xml:space="preserve"> «Dentro de los términos de la presente Constitución, los Estatutos serán la norma institucional básica de cada Comunidad Autónoma y el Estado los reconocerá y amparará como parte integrante de su ordenamiento jurídico.»</w:t>
      </w:r>
    </w:p>
    <w:p>
      <w:r>
        <w:rPr>
          <w:b/>
        </w:rPr>
        <w:t>El hecho.</w:t>
      </w:r>
      <w:r>
        <w:t xml:space="preserve"> La STC 31/2010, cuatro años después del recurso de 99 diputados del PP contra el Estatut de Cataluña (refrendado en referéndum), declaró inconstitucionales 14 de sus 223 artículos y sujetó otros a interpretación conforme; además declaró que carecen de eficacia jurídica interpretativa las referencias del preámbulo a «Cataluña como nación» y a «la realidad nacional de Cataluña».</w:t>
      </w:r>
      <w:r>
        <w:t xml:space="preserve"> (STC 31/2010, de 28-VI (BOE-A-2010-11409))</w:t>
      </w:r>
    </w:p>
    <w:p>
      <w:r>
        <w:rPr>
          <w:b/>
        </w:rPr>
        <w:t>Frenado por.</w:t>
      </w:r>
      <w:r>
        <w:t xml:space="preserve"> STC 31/2010 — Tribunal Constitucional (Pleno), 28-VI-2010. Recurso de inconstitucionalidad 8045-2006 (noventa y nueve diputados del Grupo Popular). Estimación parcial: nulidad de preceptos de la LO 6/2006, interpretación conforme de otros y privación de eficacia interpretativa de dos referencias del preámbulo.</w:t>
      </w:r>
    </w:p>
    <w:p>
      <w:r>
        <w:t>[17.00-194.1 a 194.4]</w:t>
      </w:r>
    </w:p>
    <w:p>
      <w:pPr>
        <w:pStyle w:val="Heading3"/>
      </w:pPr>
      <w:r>
        <w:t>Artículo 148 · CUMPLE</w:t>
      </w:r>
    </w:p>
    <w:p>
      <w:r>
        <w:rPr>
          <w:b/>
        </w:rPr>
        <w:t>La norma.</w:t>
      </w:r>
      <w:r>
        <w:t xml:space="preserve"> «Las Comunidades Autónomas podrán asumir competencias en las siguientes materias…»</w:t>
      </w:r>
    </w:p>
    <w:p>
      <w:r>
        <w:rPr>
          <w:b/>
        </w:rPr>
        <w:t>El hecho.</w:t>
      </w:r>
      <w:r>
        <w:t xml:space="preserve"> El índice de autoridad regional de Hooghe y otros mide la autoridad regional en 81 países de 1950 a 2010 (libro de 2016); la base actual (libro de códigos de 2021) abarca 95.</w:t>
      </w:r>
      <w:r>
        <w:t xml:space="preserve"> (Hooghe, Marks, Schakel, Chapman Osterkatz, Niedzwiecki y Shair-Rosenfield, libro de 2016 (Oxford University Press), según la reseña de decentralization.net; libro de códigos de 2021; fuente secundaria)</w:t>
      </w:r>
    </w:p>
    <w:p>
      <w:r>
        <w:t>[17.00-195.1 y 195.2]</w:t>
      </w:r>
    </w:p>
    <w:p>
      <w:pPr>
        <w:pStyle w:val="Heading3"/>
      </w:pPr>
      <w:r>
        <w:t>Artículo 149 · CUMPLE</w:t>
      </w:r>
    </w:p>
    <w:p>
      <w:r>
        <w:t>Artículo auditado por apartados: 149.1 y 149.3.</w:t>
      </w:r>
    </w:p>
    <w:p>
      <w:r>
        <w:t>Se auditan dos apartados: el 1 (competencias exclusivas del Estado) y el 3 (supletoriedad del derecho estatal). Los dos cumplen, con extralimitaciones frenadas por el Tribunal Constitucional.</w:t>
      </w:r>
    </w:p>
    <w:p>
      <w:r>
        <w:rPr>
          <w:b/>
        </w:rPr>
        <w:t>Apartado 149.1 · CUMPLE.</w:t>
      </w:r>
    </w:p>
    <w:p>
      <w:r>
        <w:rPr>
          <w:b/>
        </w:rPr>
        <w:t>La norma.</w:t>
      </w:r>
      <w:r>
        <w:t xml:space="preserve"> «El Estado tiene competencia exclusiva sobre las siguientes materias…»</w:t>
      </w:r>
    </w:p>
    <w:p>
      <w:r>
        <w:rPr>
          <w:b/>
        </w:rPr>
        <w:t>El hecho.</w:t>
      </w:r>
      <w:r>
        <w:t xml:space="preserve"> Litigiosidad competencial intensa y bidireccional en 2024-2026: la STC 44/2026, de 10 de junio, anuló parcialmente (un inciso) la ley riojana del paisaje (Ley 4/2025) por afectar a competencias estatales, y la STC 79/2024, de 21 de mayo, anuló varios preceptos de la ley estatal de vivienda (Ley 12/2023: art. 16, parte de los arts. 19.3 y 27.1, art. 27.3 y disposición transitoria primera) por invadir competencias autonómicas. La STC 17/2026, de 24 de febrero (rec. 5518-2023, Comunidad de Madrid), declaró la pérdida parcial de objeto por la STC 79/2024 y la constitucionalidad de otros preceptos de la misma ley.</w:t>
      </w:r>
      <w:r>
        <w:t xml:space="preserve"> (STC 79/2024 (BOE-A-2024-12808); STC 44/2026 (BOE-A-2026-14760); STC 17/2026 (BOE-A-2026-7119); STC 26/2025, de 29-I-2025 (BOE-A-2025-4079, recurso 5514-2023, más de cincuenta diputados del Grupo Popular contra la Ley 12/2023 de vivienda) y STC 190/2025, de 16-XII-2025 (BOE-A-2026-1756, recurso 5516-2023, Consejo de Gobierno de las Illes Balears contra la misma ley) -ambas sobre la Ley estatal 12/2023, no sobre una ley autonómica catalana-)</w:t>
      </w:r>
    </w:p>
    <w:p>
      <w:r>
        <w:rPr>
          <w:b/>
        </w:rPr>
        <w:t>Frenado por.</w:t>
      </w:r>
      <w:r>
        <w:t xml:space="preserve"> STC 79/2024 — Tribunal Constitucional (Pleno), 21-V-2024. Recurso de inconstitucionalidad 5491-2023 (Consejo de Gobierno de la Junta de Andalucía). Estimación parcial: nulidad del art. 16, de parte del 19.3 y del 27.1, del 27.3 y de la disp. transitoria 1.ª de la Ley 12/2023.</w:t>
      </w:r>
    </w:p>
    <w:p>
      <w:r>
        <w:rPr>
          <w:b/>
        </w:rPr>
        <w:t>Frenado por.</w:t>
      </w:r>
      <w:r>
        <w:t xml:space="preserve"> STC 44/2026 — Tribunal Constitucional (Pleno), 10-VI-2026. Recurso de inconstitucionalidad 2525-2026 (Presidente del Gobierno). Nulidad parcial de un inciso de la Ley riojana 4/2025 del paisaje; interpretación conforme de otros preceptos.</w:t>
      </w:r>
    </w:p>
    <w:p>
      <w:r>
        <w:rPr>
          <w:b/>
        </w:rPr>
        <w:t>Apartado 149.3 · CUMPLE.</w:t>
      </w:r>
    </w:p>
    <w:p>
      <w:r>
        <w:rPr>
          <w:b/>
        </w:rPr>
        <w:t>La norma.</w:t>
      </w:r>
      <w:r>
        <w:t xml:space="preserve"> «El derecho estatal será, en todo caso, supletorio del derecho de las Comunidades Autónomas.»</w:t>
      </w:r>
    </w:p>
    <w:p>
      <w:r>
        <w:rPr>
          <w:b/>
        </w:rPr>
        <w:t>El hecho.</w:t>
      </w:r>
      <w:r>
        <w:t xml:space="preserve"> La STC 118/1996, de 27 de junio (Ley de Ordenación de los Transportes Terrestres), y la STC 61/1997, de 20 de marzo (Texto Refundido de la Ley del Suelo de 1992), declararon nulos preceptos estatales y establecieron que el Estado no puede dictar normas meramente supletorias sin título competencial propio; con ello la cláusula de supletoriedad del art. 149.3 quedó reducida por vía interpretativa.</w:t>
      </w:r>
      <w:r>
        <w:t xml:space="preserve"> (STC 118/1996 (BOE-T-1996-17381); STC 61/1997 (BOE-T-1997-8872); STC 147/1991, de 4-VII-1991 (BOE-T-1991-19351, Pleno, conflictos positivos de competencia acumulados 384/1985, 407/1985 y 340/1989))</w:t>
      </w:r>
    </w:p>
    <w:p>
      <w:r>
        <w:rPr>
          <w:b/>
        </w:rPr>
        <w:t>Frenado por.</w:t>
      </w:r>
      <w:r>
        <w:t xml:space="preserve"> STC 118/1996 — Tribunal Constitucional (Pleno), 27-VI-1996. Recursos de inconstitucionalidad 1191/1987 y acumulados (Gobierno y comunidades autónomas). Nulidad de preceptos estatales sobre transporte urbano y de otros de la Ley de Ordenación de los Transportes Terrestres.</w:t>
      </w:r>
    </w:p>
    <w:p>
      <w:r>
        <w:rPr>
          <w:b/>
        </w:rPr>
        <w:t>Frenado por.</w:t>
      </w:r>
      <w:r>
        <w:t xml:space="preserve"> STC 61/1997 — Tribunal Constitucional (Pleno), 20-III-1997. Recursos de inconstitucionalidad 2477/1990 y acumulados (comunidades autónomas). Nulidad de numerosos preceptos del Texto Refundido de la Ley del Suelo de 1992, básicos y de aplicación supletoria.</w:t>
      </w:r>
    </w:p>
    <w:p>
      <w:r>
        <w:t>[17.00-196.1 y 196.2, 197.1 a 197.5, 198.1 a 198.5]</w:t>
      </w:r>
    </w:p>
    <w:p>
      <w:pPr>
        <w:pStyle w:val="Heading3"/>
      </w:pPr>
      <w:r>
        <w:t>Artículo 150.2 · PENDIENTE</w:t>
      </w:r>
    </w:p>
    <w:p>
      <w:r>
        <w:rPr>
          <w:b/>
        </w:rPr>
        <w:t>La norma.</w:t>
      </w:r>
      <w:r>
        <w:t xml:space="preserve"> «El Estado podrá transferir o delegar en las Comunidades Autónomas, mediante ley orgánica, facultades correspondientes a materia de titularidad estatal.»</w:t>
      </w:r>
    </w:p>
    <w:p>
      <w:r>
        <w:rPr>
          <w:b/>
        </w:rPr>
        <w:t>El hecho.</w:t>
      </w:r>
      <w:r>
        <w:t xml:space="preserve"> El hecho que sostiene este estado va a flecos: no se ha leído en su fuente.</w:t>
      </w:r>
    </w:p>
    <w:p>
      <w:r>
        <w:t>[17.00-199.1]</w:t>
      </w:r>
    </w:p>
    <w:p>
      <w:pPr>
        <w:pStyle w:val="Heading3"/>
      </w:pPr>
      <w:r>
        <w:t>Artículo 151 · CUMPLE</w:t>
      </w:r>
    </w:p>
    <w:p>
      <w:r>
        <w:rPr>
          <w:b/>
        </w:rPr>
        <w:t>La norma.</w:t>
      </w:r>
      <w:r>
        <w:t xml:space="preserve"> «No será preciso dejar transcurrir el plazo de cinco años, a que se refiere el apartado 2 del artículo 148, cuando la iniciativa del proceso autonómico sea acordada dentro del plazo del artículo 143.2, además de por las Diputaciones o los órganos interinsulares correspondientes, por las tres cuartas partes de los municipios de cada una de las provincias afectadas que representen, al menos, la mayoría del censo electoral de cada una de ellas y dicha iniciativa sea ratificada mediante referéndum por el voto afirmativo de la mayoría absoluta de los electores de cada provincia en los términos que establezca una ley orgánica.»</w:t>
      </w:r>
    </w:p>
    <w:p>
      <w:r>
        <w:rPr>
          <w:b/>
        </w:rPr>
        <w:t>El hecho.</w:t>
      </w:r>
      <w:r>
        <w:t xml:space="preserve"> Solo Andalucía accedió a la autonomía por la vía completa del art. 151.1; País Vasco, Cataluña y Galicia lo hicieron por la Disposición Transitoria 2ª, sin cumplir sus requisitos. La vía del resto de comunidades se predeterminó por los Pactos Autonómicos de 1981. La equiparación competencial de los años 90 borró la diferencia entre vías.</w:t>
      </w:r>
      <w:r>
        <w:t xml:space="preserve"> (Sinopsis oficial del Congreso sobre las vías de acceso a la autonomía)</w:t>
      </w:r>
    </w:p>
    <w:p>
      <w:r>
        <w:t>[17.00-200.1 a 200.3]</w:t>
      </w:r>
    </w:p>
    <w:p>
      <w:pPr>
        <w:pStyle w:val="Heading3"/>
      </w:pPr>
      <w:r>
        <w:t>Artículo 152.1 · INCUMPLE</w:t>
      </w:r>
    </w:p>
    <w:p>
      <w:r>
        <w:rPr>
          <w:b/>
        </w:rPr>
        <w:t>La norma.</w:t>
      </w:r>
      <w:r>
        <w:t xml:space="preserve"> «Un Tribunal Superior de Justicia… culminará la organización judicial en el ámbito territorial de la Comunidad Autónoma.»</w:t>
      </w:r>
    </w:p>
    <w:p>
      <w:r>
        <w:rPr>
          <w:b/>
        </w:rPr>
        <w:t>El hecho.</w:t>
      </w:r>
      <w:r>
        <w:t xml:space="preserve"> La litigiosidad en 2025 (asuntos ingresados por cada 1.000 habitantes, por Tribunal Superior de Justicia) varía de 202,06 en Canarias a 109,94 en el País Vasco: 1,84 veces, casi el doble (cálculo de la obra); la media de España es 160,4</w:t>
      </w:r>
      <w:r>
        <w:t xml:space="preserve"> (CGPJ, La Justicia dato a dato 2025)</w:t>
      </w:r>
      <w:r>
        <w:t>.</w:t>
      </w:r>
      <w:r>
        <w:t xml:space="preserve"> (CGPJ, La Justicia dato a dato 2025, datos por Tribunal Superior de Justicia)</w:t>
      </w:r>
    </w:p>
    <w:p>
      <w:r>
        <w:t>[17.00-201.1 a 201.3]</w:t>
      </w:r>
    </w:p>
    <w:p>
      <w:pPr>
        <w:pStyle w:val="Heading3"/>
      </w:pPr>
      <w:r>
        <w:t>Artículo 153 · CUMPLE</w:t>
      </w:r>
    </w:p>
    <w:p>
      <w:r>
        <w:rPr>
          <w:b/>
        </w:rPr>
        <w:t>La norma.</w:t>
      </w:r>
      <w:r>
        <w:t xml:space="preserve"> «El control de la actividad de los órganos de las Comunidades Autónomas se ejercerá: a) Por el Tribunal Constitucional… b) Por el Gobierno… c) Por la jurisdicción contencioso-administrativa… d) Por el Tribunal de Cuentas…»</w:t>
      </w:r>
    </w:p>
    <w:p>
      <w:r>
        <w:rPr>
          <w:b/>
        </w:rPr>
        <w:t>El hecho.</w:t>
      </w:r>
      <w:r>
        <w:t xml:space="preserve"> El Tribunal Constitucional dedica el grueso de su actividad al arbitraje competencial (recursos de inconstitucionalidad y conflictos de competencia) e inadmite casi todos los recursos de amparo ciudadanos: la Memoria del Tribunal de 2018 da un 98,33 % de decisiones de admisión que acabaron en inadmisión o archivo (6.918 recursos ingresados y 115 admitidos a trámite en 2018). No consta aquí resolución que corrija una extralimitación respecto del art. 153: se clasifica como cumplimiento limpio.</w:t>
      </w:r>
      <w:r>
        <w:t xml:space="preserve"> (Memoria del Tribunal Constitucional, 2018 (tribunalconstitucional.es); cifra citada por Noticias Jurídicas, TheObjective y El Derecho)</w:t>
      </w:r>
    </w:p>
    <w:p>
      <w:r>
        <w:t>[17.00-202.1 a 202.3]</w:t>
      </w:r>
    </w:p>
    <w:p>
      <w:pPr>
        <w:pStyle w:val="Heading3"/>
      </w:pPr>
      <w:r>
        <w:t>Artículo 154 · CUMPLE</w:t>
      </w:r>
    </w:p>
    <w:p>
      <w:r>
        <w:rPr>
          <w:b/>
        </w:rPr>
        <w:t>La norma.</w:t>
      </w:r>
      <w:r>
        <w:t xml:space="preserve"> «Un Delegado nombrado por el Gobierno dirigirá la Administración del Estado en el territorio de la Comunidad Autónoma y la coordinará… con la administración propia de la Comunidad.»</w:t>
      </w:r>
    </w:p>
    <w:p>
      <w:r>
        <w:rPr>
          <w:b/>
        </w:rPr>
        <w:t>El hecho.</w:t>
      </w:r>
      <w:r>
        <w:t xml:space="preserve"> Dos estudios académicos independientes califican la figura, ya en el título, de «conflictiva» y de «figura de confianza política».</w:t>
      </w:r>
      <w:r>
        <w:t xml:space="preserve"> (Julio Ponce, «Los delegados del Gobierno en España (1997-2018)», Historia y Política n.º 44 (2020))</w:t>
      </w:r>
    </w:p>
    <w:p>
      <w:r>
        <w:t>[17.00-203.1 a 203.3]</w:t>
      </w:r>
    </w:p>
    <w:p>
      <w:pPr>
        <w:pStyle w:val="Heading3"/>
      </w:pPr>
      <w:r>
        <w:t>Artículo 155 · CUMPLE</w:t>
      </w:r>
    </w:p>
    <w:p>
      <w:r>
        <w:rPr>
          <w:b/>
        </w:rPr>
        <w:t>La norma.</w:t>
      </w:r>
      <w:r>
        <w:t xml:space="preserve"> «Si una Comunidad Autónoma no cumpliere las obligaciones… el Gobierno… podrá adoptar las medidas necesarias para obligar a aquélla al cumplimiento forzoso.»</w:t>
      </w:r>
    </w:p>
    <w:p>
      <w:r>
        <w:rPr>
          <w:b/>
        </w:rPr>
        <w:t>El hecho.</w:t>
      </w:r>
      <w:r>
        <w:t xml:space="preserve"> La doctrina académica (Lafuente Balle, UNED) constata que el precepto «carece de desarrollo legislativo y precedentes históricos» desde 1978. Su única aplicación fue en Cataluña en octubre de 2017, avalada por la STC 90/2019. Nueve años después de su único uso (cálculo de la obra), sigue sin ley que fije procedimiento, límites ni duración máxima.</w:t>
      </w:r>
      <w:r>
        <w:t xml:space="preserve"> (J. M. Lafuente Balle, Revista de Derecho Político (UNED), n.º 102 (2018))</w:t>
      </w:r>
    </w:p>
    <w:p>
      <w:r>
        <w:t>[17.00-204.1 a 204.3]</w:t>
      </w:r>
    </w:p>
    <w:p>
      <w:pPr>
        <w:pStyle w:val="Heading3"/>
      </w:pPr>
      <w:r>
        <w:t>Artículo 156 · CUMPLE</w:t>
      </w:r>
    </w:p>
    <w:p>
      <w:r>
        <w:rPr>
          <w:b/>
        </w:rPr>
        <w:t>La norma.</w:t>
      </w:r>
      <w:r>
        <w:t xml:space="preserve"> «Las Comunidades Autónomas gozarán de autonomía financiera para el desarrollo y ejecución de sus competencias con arreglo a los principios de coordinación con la Hacienda estatal y de solidaridad entre todos los españoles.»</w:t>
      </w:r>
    </w:p>
    <w:p>
      <w:r>
        <w:rPr>
          <w:b/>
        </w:rPr>
        <w:t>El hecho.</w:t>
      </w:r>
      <w:r>
        <w:t xml:space="preserve"> Varias comunidades han incrementado su tramo autonómico del IRPF en distintos momentos: Cataluña, Andalucía y Asturias lo hicieron ya en 2012, según el Ministerio de Hacienda.</w:t>
      </w:r>
      <w:r>
        <w:t xml:space="preserve"> (Estudios sobre corresponsabilidad fiscal autonómica; Ley 22/2009)</w:t>
      </w:r>
    </w:p>
    <w:p>
      <w:r>
        <w:t>[17.00-205.1 a 205.3]</w:t>
      </w:r>
    </w:p>
    <w:p>
      <w:pPr>
        <w:pStyle w:val="Heading3"/>
      </w:pPr>
      <w:r>
        <w:t>Artículo 157 · CUMPLE</w:t>
      </w:r>
    </w:p>
    <w:p>
      <w:r>
        <w:rPr>
          <w:b/>
        </w:rPr>
        <w:t>La norma.</w:t>
      </w:r>
      <w:r>
        <w:t xml:space="preserve"> «Los recursos de las Comunidades Autónomas estarán constituidos por: a) Impuestos cedidos total o parcialmente por el Estado; recargos sobre impuestos estatales y otras participaciones en los ingresos del Estado. b) Sus propios impuestos, tasas y contribuciones especiales. c) Transferencias de un Fondo de Compensación interterritorial y otras asignaciones con cargo a los Presupuestos Generales del Estado. d) Rendimientos procedentes de su patrimonio e ingresos de derecho privado. e) El producto de las operaciones de crédito.»</w:t>
      </w:r>
    </w:p>
    <w:p>
      <w:r>
        <w:rPr>
          <w:b/>
        </w:rPr>
        <w:t>El hecho.</w:t>
      </w:r>
      <w:r>
        <w:t xml:space="preserve"> La capacidad normativa que sí se ejerce sobre los tributos cedidos se ha usado casi exclusivamente para competir a la baja, con tantas regulaciones distintas de Sucesiones y Donaciones como comunidades de régimen común, más las forales, y renuncias a herencias triplicadas entre 2011 y 2018 en varias de ellas, ya verificado en esta auditoría (art. 133.1).</w:t>
      </w:r>
      <w:r>
        <w:t xml:space="preserve"> (AEDAF, «50 años de evolución impositiva»)</w:t>
      </w:r>
    </w:p>
    <w:p>
      <w:r>
        <w:t>[17.00-206.1 a 206.3]</w:t>
      </w:r>
    </w:p>
    <w:p>
      <w:pPr>
        <w:pStyle w:val="Heading3"/>
      </w:pPr>
      <w:r>
        <w:t>Artículo 158.2 · INCUMPLE</w:t>
      </w:r>
    </w:p>
    <w:p>
      <w:r>
        <w:rPr>
          <w:b/>
        </w:rPr>
        <w:t>La norma.</w:t>
      </w:r>
      <w:r>
        <w:t xml:space="preserve"> «Con el fin de corregir desequilibrios económicos interterritoriales y hacer efectivo el principio de solidaridad, se constituirá un Fondo de Compensación con destino a gastos de inversión, cuyos recursos serán distribuidos por las Cortes Generales entre las Comunidades Autónomas y provincias, en su caso.»</w:t>
      </w:r>
    </w:p>
    <w:p>
      <w:r>
        <w:rPr>
          <w:b/>
        </w:rPr>
        <w:t>El hecho.</w:t>
      </w:r>
      <w:r>
        <w:t xml:space="preserve"> El Fondo de Compensación Interterritorial ha sufrido un declive marcado y sostenido desde los años 90 hasta un mínimo histórico actual -la caída concreta del 0,2% al 0,02% del PIB y la cifra de 16 € por habitante no se han podido confirmar contra una fuente primaria única, aunque la tendencia general de caída aguda sí está bien documentada en la literatura especializada (descenso marcado 1991-1996, estancamiento 1996-2002, recuperación 2002-2009 y recorte abrupto posterior)-, frente a una brecha de más de 10.000 € por persona entre regiones. Su dotación está atada al 30% de la inversión pública estatal, comprimida a su vez por la prioridad de pago de la deuda del art. 135.3 CE.</w:t>
      </w:r>
      <w:r>
        <w:t xml:space="preserve"> (Comité de Inversiones Públicas del Ministerio de Hacienda; Ley 29/1990)</w:t>
      </w:r>
    </w:p>
    <w:p>
      <w:r>
        <w:t>[17.00-207.1 a 207.3]</w:t>
      </w:r>
    </w:p>
    <w:p>
      <w:r>
        <w:rPr>
          <w:b/>
        </w:rPr>
        <w:t>La mejor defensa del Estado.</w:t>
      </w:r>
      <w:r>
        <w:t xml:space="preserve"> El Estado autonómico ha descentralizado el poder, 14 de sus 22 artículos se cumplen y la solidaridad territorial se garantiza con el Fondo de Compensación Interterritorial.</w:t>
      </w:r>
    </w:p>
    <w:p>
      <w:r>
        <w:rPr>
          <w:i/>
        </w:rPr>
        <w:t>Los contrapuntos de la obra:</w:t>
      </w:r>
      <w:r>
        <w:t xml:space="preserve"> 1) El sistema de financiación autonómica debía revisarse en 2014 y lleva doce años caducado (art. 138.2). 2) El Fondo de Compensación Interterritorial está en su mínimo histórico (art. 158.2). 3) Los mismos derechos no se aplican igual en todo el territorio (art. 139.1), y los ayuntamientos con superávit no pueden gastarlo (art. 142).</w:t>
      </w:r>
    </w:p>
    <w:p>
      <w:r>
        <w:t>[17.00-239.1, 240.1 a 240.3]</w:t>
      </w:r>
    </w:p>
    <w:p>
      <w:pPr>
        <w:pStyle w:val="Heading2"/>
      </w:pPr>
      <w:r>
        <w:t>A.10 Título IX. El Tribunal Constitucional</w:t>
      </w:r>
    </w:p>
    <w:p>
      <w:pPr>
        <w:pBdr>
          <w:left w:val="single" w:sz="24" w:space="6" w:color="E2DED6"/>
        </w:pBdr>
        <w:shd w:val="clear" w:color="auto" w:fill="F1EEE8"/>
        <w:spacing w:before="80" w:after="160"/>
        <w:ind w:left="142" w:right="142"/>
      </w:pPr>
      <w:r>
        <w:rPr>
          <w:b/>
        </w:rPr>
        <w:t>La idea: el Tribunal Constitucional funciona y anula leyes: es el título que menos incumple, 1 de 7 artículos, con casi todos los amparos inadmitidos (98,33 % en 2018).</w:t>
      </w:r>
    </w:p>
    <w:p>
      <w:r>
        <w:t>7 artículos auditados; 1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159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163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165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159 · INCUMPLE</w:t>
      </w:r>
    </w:p>
    <w:p>
      <w:r>
        <w:rPr>
          <w:b/>
        </w:rPr>
        <w:t>La norma.</w:t>
      </w:r>
      <w:r>
        <w:t xml:space="preserve"> «El Tribunal Constitucional se compone de 12 miembros… Los miembros del Tribunal Constitucional serán designados por un período de nueve años y se renovarán por terceras partes cada tres.»</w:t>
      </w:r>
    </w:p>
    <w:p>
      <w:r>
        <w:rPr>
          <w:b/>
        </w:rPr>
        <w:t>El hecho.</w:t>
      </w:r>
      <w:r>
        <w:t xml:space="preserve"> Cuatro de los doce magistrados los propone el Senado</w:t>
      </w:r>
      <w:r>
        <w:t xml:space="preserve"> (Constitución, art. 159.1)</w:t>
      </w:r>
      <w:r>
        <w:t>. Tres de ellos fueron nombrados por los Reales Decretos 260, 262 y 263/2017, de 10 de marzo de 2017, y el cargo dura nueve años</w:t>
      </w:r>
      <w:r>
        <w:t xml:space="preserve"> (Constitución, art. 159.3; Ley Orgánica 2/1979, art. 16.3)</w:t>
      </w:r>
      <w:r>
        <w:t>: el suyo se cumplió el 10 de marzo de 2026. El cuarto fue nombrado por el Real Decreto 757/2024, de 29 de julio, para cubrir una vacante, y la ley lo nombra «por el tiempo que a éste restase»</w:t>
      </w:r>
      <w:r>
        <w:t xml:space="preserve"> (Ley Orgánica 2/1979, art. 16.5; BOE, Real Decreto 757/2024 (BOE-A-2024-15661))</w:t>
      </w:r>
      <w:r>
        <w:br/>
      </w:r>
      <w:r>
        <w:rPr>
          <w:b/>
        </w:rPr>
        <w:t>leída en su fuente · Ley Orgánica 2/1979, art. 16.5; BOE, Real Decreto 757/2024 (BOE-A-2024-15661)</w:t>
      </w:r>
      <w:r>
        <w:br/>
      </w:r>
      <w:r>
        <w:rPr>
          <w:b/>
        </w:rPr>
        <w:t>Archivo leído:</w:t>
      </w:r>
      <w:r>
        <w:t xml:space="preserve"> lotc_lo2_1979.html (c5\lotc_lo2_1979.html) · contraste del archivo de pasajes: ✔</w:t>
      </w:r>
      <w:r>
        <w:br/>
      </w:r>
      <w:r>
        <w:rPr>
          <w:b/>
        </w:rPr>
        <w:t>Lugar:</w:t>
      </w:r>
      <w:r>
        <w:t xml:space="preserve"> Ley Orgánica 2/1979, art. 16.5; BOE, Real Decreto 757/2024 (BOE-A-2024-15661)</w:t>
      </w:r>
      <w:r>
        <w:br/>
      </w:r>
      <w:r>
        <w:rPr>
          <w:b/>
        </w:rPr>
        <w:t>Tal como está en la fuente:</w:t>
      </w:r>
      <w:r>
        <w:t xml:space="preserve"> por el tiempo que a éste restase</w:t>
      </w:r>
      <w:r>
        <w:t>; el decreto no dice qué vacante cubre. A 21 de septiembre de 2026, los cuatro seguían en la lista de magistrados del Tribunal, porque la ley les deja continuar «hasta que hayan tomado posesión quienes hubieren de sucederles»</w:t>
      </w:r>
      <w:r>
        <w:t xml:space="preserve"> (Ley Orgánica 2/1979, art. 17.2; Tribunal Constitucional, fichas de los magistrados, leídas el 7-X-2026 con la información a 21-IX-2026)</w:t>
      </w:r>
      <w:r>
        <w:br/>
      </w:r>
      <w:r>
        <w:rPr>
          <w:b/>
        </w:rPr>
        <w:t>leída en su fuente · Ley Orgánica 2/1979, art. 17.2; Tribunal Constitucional, fichas de los magistrados, leídas</w:t>
      </w:r>
      <w:r>
        <w:br/>
      </w:r>
      <w:r>
        <w:rPr>
          <w:b/>
        </w:rPr>
        <w:t>Archivo leído:</w:t>
      </w:r>
      <w:r>
        <w:t xml:space="preserve"> lotc_lo2_1979.html (c5\lotc_lo2_1979.html) · contraste del archivo de pasajes: ✔</w:t>
      </w:r>
      <w:r>
        <w:br/>
      </w:r>
      <w:r>
        <w:rPr>
          <w:b/>
        </w:rPr>
        <w:t>Lugar:</w:t>
      </w:r>
      <w:r>
        <w:t xml:space="preserve"> Ley Orgánica 2/1979, art. 17.2; Tribunal Constitucional, fichas de los magistrados, leídas el 7-X-2026 con la información a 21-IX-2026</w:t>
      </w:r>
      <w:r>
        <w:br/>
      </w:r>
      <w:r>
        <w:rPr>
          <w:b/>
        </w:rPr>
        <w:t>Tal como está en la fuente:</w:t>
      </w:r>
      <w:r>
        <w:t xml:space="preserve"> hasta que hayan tomado posesión quienes hubieren de sucederles</w:t>
      </w:r>
      <w:r>
        <w:t>.</w:t>
      </w:r>
    </w:p>
    <w:p>
      <w:r>
        <w:rPr>
          <w:b/>
        </w:rPr>
        <w:t>El precedente de 2022.</w:t>
      </w:r>
      <w:r>
        <w:t xml:space="preserve"> El 19 de diciembre de 2022, el Pleno del propio Tribunal suspendió cautelarmente, en un recurso de amparo de trece diputados, la tramitación parlamentaria de unos preceptos que modificaban la Ley Orgánica del Poder Judicial y la del Tribunal Constitucional, introducidos por las enmiendas 61 y 62 de una proposición de ley orgánica (Auto 177/2022). Según uno de los votos particulares, esas enmiendas cambiaban el sistema de designación de magistrados que prevé el art. 159.3 de la Constitución. Dos votos particulares calificaron la decisión de «inédita» y de interferencia «sin precedentes»: son palabras de esos votos, no del Tribunal.</w:t>
      </w:r>
      <w:r>
        <w:t xml:space="preserve"> (Tribunal Constitucional, Auto 177/2022, de 19-XII-2022, amparo 8263-2022 (BOE núm. 17, de 20-I-2023, BOE-A-2023-1773))</w:t>
      </w:r>
    </w:p>
    <w:p>
      <w:r>
        <w:t>[17.00-209.1, 210.1 y 210.2]</w:t>
      </w:r>
    </w:p>
    <w:p>
      <w:pPr>
        <w:pStyle w:val="Heading3"/>
      </w:pPr>
      <w:r>
        <w:t>Artículo 160 · CUMPLE</w:t>
      </w:r>
    </w:p>
    <w:p>
      <w:r>
        <w:rPr>
          <w:b/>
        </w:rPr>
        <w:t>La norma.</w:t>
      </w:r>
      <w:r>
        <w:t xml:space="preserve"> «El Presidente del Tribunal Constitucional será nombrado entre sus miembros por el Rey, a propuesta del mismo Tribunal en pleno y por un período de tres años.»</w:t>
      </w:r>
    </w:p>
    <w:p>
      <w:r>
        <w:rPr>
          <w:b/>
        </w:rPr>
        <w:t>El hecho.</w:t>
      </w:r>
      <w:r>
        <w:t xml:space="preserve"> El hecho que sostiene este estado va a flecos: no se ha leído en su fuente.</w:t>
      </w:r>
    </w:p>
    <w:p>
      <w:r>
        <w:t>[17.00-211.1]</w:t>
      </w:r>
    </w:p>
    <w:p>
      <w:pPr>
        <w:pStyle w:val="Heading3"/>
      </w:pPr>
      <w:r>
        <w:t>Artículo 161.2 · CUMPLE</w:t>
      </w:r>
    </w:p>
    <w:p>
      <w:r>
        <w:rPr>
          <w:b/>
        </w:rPr>
        <w:t>La norma.</w:t>
      </w:r>
      <w:r>
        <w:t xml:space="preserve"> «El Gobierno podrá impugnar ante el Tribunal Constitucional las disposiciones y resoluciones adoptadas por los órganos de las Comunidades Autónomas. La impugnación producirá la suspensión de la disposición.»</w:t>
      </w:r>
    </w:p>
    <w:p>
      <w:r>
        <w:rPr>
          <w:b/>
        </w:rPr>
        <w:t>El hecho.</w:t>
      </w:r>
      <w:r>
        <w:t xml:space="preserve"> La sinopsis oficial del Congreso dice que la suspensión de las leyes no llega con la admisión del recurso, salvo las autonómicas, y que la impugnación del art. 161.2 va «con el privilegio, además, de la suspensión automática».</w:t>
      </w:r>
      <w:r>
        <w:t xml:space="preserve"> (Congreso, sinopsis oficial del art. 161 CE)</w:t>
      </w:r>
    </w:p>
    <w:p>
      <w:r>
        <w:t>[17.00-212.1 y 212.2]</w:t>
      </w:r>
    </w:p>
    <w:p>
      <w:pPr>
        <w:pStyle w:val="Heading3"/>
      </w:pPr>
      <w:r>
        <w:t>Artículo 162 · CUMPLE</w:t>
      </w:r>
    </w:p>
    <w:p>
      <w:r>
        <w:rPr>
          <w:b/>
        </w:rPr>
        <w:t>La norma.</w:t>
      </w:r>
      <w:r>
        <w:t xml:space="preserve"> «Están legitimados: a) Para interponer el recurso de inconstitucionalidad, el Presidente del Gobierno, el Defensor del Pueblo, 50 Diputados, 50 Senadores, los órganos colegiados ejecutivos de las Comunidades Autónomas y, en su caso, las Asambleas de las mismas.»</w:t>
      </w:r>
    </w:p>
    <w:p>
      <w:r>
        <w:rPr>
          <w:b/>
        </w:rPr>
        <w:t>El hecho.</w:t>
      </w:r>
      <w:r>
        <w:t xml:space="preserve"> En 2020, el 75% de los recursos de inconstitucionalidad los plantearon parlamentarios (18 de 24, según la Memoria del Tribunal Constitucional de 2020). El Tribunal exige que la decisión de impugnar no se adopte «en términos genéricos, habilitando a delegados, apoderados o mandatarios para interponer o no la acción de inconstitucionalidad, según su propio criterio, contra las leyes que en el futuro se vayan promulgando» (doctrina de las SSTC 42/1985 y 150/1990, recogida en el ATC 155/2022).</w:t>
      </w:r>
      <w:r>
        <w:t xml:space="preserve"> (Memoria del Tribunal Constitucional, 2020; STC 42/1985, de 15-III; STC 150/1990, de 4-X; ATC 155/2022 (HJ 29152; cita leída en el original, las dos sentencias solo a través de él). El ATC 874/1985, citado antes en la obra, trata de otra cuestión (retirada de la firma de un diputado) y se retira como fuente)</w:t>
      </w:r>
    </w:p>
    <w:p>
      <w:r>
        <w:rPr>
          <w:b/>
        </w:rPr>
        <w:t>Frenado por.</w:t>
      </w:r>
      <w:r>
        <w:t xml:space="preserve"> STC 42/1985 y STC 150/1990 (recogidas en el ATC 155/2022) — Tribunal Constitucional (Pleno), 15-III-1985 y 4-X-1990. Doctrina sobre la decisión de impugnar de los parlamentarios legitimados. Prohíbe la habilitación genérica para recurrir leyes futuras según el criterio del apoderado.</w:t>
      </w:r>
    </w:p>
    <w:p>
      <w:r>
        <w:t>[17.00-213.1 a 213.4]</w:t>
      </w:r>
    </w:p>
    <w:p>
      <w:pPr>
        <w:pStyle w:val="Heading3"/>
      </w:pPr>
      <w:r>
        <w:t>Artículo 163 · CUMPLE</w:t>
      </w:r>
    </w:p>
    <w:p>
      <w:r>
        <w:rPr>
          <w:b/>
        </w:rPr>
        <w:t>La norma.</w:t>
      </w:r>
      <w:r>
        <w:t xml:space="preserve"> «Cuando un órgano judicial considere… que una norma con rango de ley… pueda ser contraria a la Constitución, planteará la cuestión ante el Tribunal Constitucional.»</w:t>
      </w:r>
    </w:p>
    <w:p>
      <w:r>
        <w:rPr>
          <w:b/>
        </w:rPr>
        <w:t>El hecho.</w:t>
      </w:r>
      <w:r>
        <w:t xml:space="preserve"> En 2024 se plantearon 37 cuestiones de inconstitucionalidad, pero el Pleno solo dictó 9 sentencias sobre ellas ese año, mientras el 99,24% de los 9.871 asuntos ingresados en el Tribunal son recursos de amparo, de los que solo 153 se admitieron a trámite.</w:t>
      </w:r>
      <w:r>
        <w:t xml:space="preserve"> (Memoria del Tribunal Constitucional, 2024)</w:t>
      </w:r>
    </w:p>
    <w:p>
      <w:r>
        <w:t>[17.00-214.1 a 214.3]</w:t>
      </w:r>
    </w:p>
    <w:p>
      <w:pPr>
        <w:pStyle w:val="Heading3"/>
      </w:pPr>
      <w:r>
        <w:t>Artículo 164 · CUMPLE</w:t>
      </w:r>
    </w:p>
    <w:p>
      <w:r>
        <w:rPr>
          <w:b/>
        </w:rPr>
        <w:t>La norma.</w:t>
      </w:r>
      <w:r>
        <w:t xml:space="preserve"> «Las sentencias del Tribunal Constitucional se publicarán en el «Boletín Oficial del Estado»[…] Las [que] declaren la inconstitucionalidad… tienen plenos efectos frente a todos.»</w:t>
      </w:r>
    </w:p>
    <w:p>
      <w:r>
        <w:rPr>
          <w:b/>
        </w:rPr>
        <w:t>El hecho.</w:t>
      </w:r>
      <w:r>
        <w:t xml:space="preserve"> Tras la STC 259/2015, de 2 de diciembre (impugnación de disposiciones autonómicas 6330-2015, que anuló una resolución del Parlamento de Cataluña), el Tribunal Constitucional estimó incidentes de ejecución promovidos por el Gobierno de la Nación contra nuevas resoluciones y acuerdos del Parlamento (AATC 141/2016, de 19 de julio; 170/2016, de 6 de octubre; 24/2017, de 14 de febrero; y 123/2017, de 19 de septiembre). La LO 15/2015, que reforzó los medios de ejecución de las resoluciones del Tribunal, fue impugnada por el Gobierno Vasco (rec. 229-2016) y por la Generalitat de Cataluña (rec. 7466-2015), y ambos recursos fueron desestimados (STC 185/2016, de 3 de noviembre, y STC 215/2016, de 15 de diciembre); el argumento del «recurso encubierto a la vía prevista en el art. 155 CE» es el de la parte recurrente (STC 185/2016), no una calificación del Tribunal.</w:t>
      </w:r>
      <w:r>
        <w:t xml:space="preserve"> (AATC 141/2016, 170/2016, 24/2017 (BOE-A-2017-3258) y 123/2017 (BOE-A-2017-10826); STC 185/2016 (BOE-A-2016-11818); STC 215/2016 (BOE-A-2017-650))</w:t>
      </w:r>
    </w:p>
    <w:p>
      <w:r>
        <w:rPr>
          <w:b/>
        </w:rPr>
        <w:t>Frenado por.</w:t>
      </w:r>
      <w:r>
        <w:t xml:space="preserve"> AATC 141/2016, 170/2016, 24/2017 y 123/2017 — Tribunal Constitucional (Pleno), 19-VII-2016, 6-X-2016, 14-II-2017 y 19-IX-2017. Incidentes de ejecución de la STC 259/2015 en la impugnación de disposiciones autonómicas 6330-2015 (Gobierno de la Nación). Estimación de los incidentes contra resoluciones y acuerdos del Parlamento de Cataluña.</w:t>
      </w:r>
    </w:p>
    <w:p>
      <w:r>
        <w:t>[17.00-215.1 a 215.4]</w:t>
      </w:r>
    </w:p>
    <w:p>
      <w:pPr>
        <w:pStyle w:val="Heading3"/>
      </w:pPr>
      <w:r>
        <w:t>Artículo 165 · CUMPLE</w:t>
      </w:r>
    </w:p>
    <w:p>
      <w:r>
        <w:rPr>
          <w:b/>
        </w:rPr>
        <w:t>La norma.</w:t>
      </w:r>
      <w:r>
        <w:t xml:space="preserve"> «Una ley orgánica regulará el funcionamiento del Tribunal Constitucional, el estatuto de sus miembros, el procedimiento ante el mismo.»</w:t>
      </w:r>
    </w:p>
    <w:p>
      <w:r>
        <w:rPr>
          <w:b/>
        </w:rPr>
        <w:t>El hecho.</w:t>
      </w:r>
      <w:r>
        <w:t xml:space="preserve"> La facultad del CGPJ de proponer dos magistrados del TC fue retirada por la LO 4/2021 y devuelta por la LO 8/2022 — quitada y devuelta en dieciséis meses, ambas veces por proposición de ley con tramitación de urgencia. Un voto particular de un magistrado del propio TC (STC 153/2024) las calificó de «reformas coyunturales» que excluyen «tanto los informes previos como un auténtico debate».</w:t>
      </w:r>
      <w:r>
        <w:t xml:space="preserve"> (LO 4/2021; LO 8/2022; STC 128/2023; STC 139/2024; voto particular en la STC 153/2024)</w:t>
      </w:r>
    </w:p>
    <w:p>
      <w:r>
        <w:t>[17.00-216.1 a 216.3]</w:t>
      </w:r>
    </w:p>
    <w:p>
      <w:r>
        <w:rPr>
          <w:b/>
        </w:rPr>
        <w:t>La mejor defensa del Estado.</w:t>
      </w:r>
      <w:r>
        <w:t xml:space="preserve"> El Tribunal Constitucional funciona: seis de sus siete artículos se cumplen, y sus sentencias han anulado leyes y decretos.</w:t>
      </w:r>
    </w:p>
    <w:p>
      <w:r>
        <w:rPr>
          <w:i/>
        </w:rPr>
        <w:t>Los contrapuntos de la obra:</w:t>
      </w:r>
      <w:r>
        <w:t xml:space="preserve"> 1) Tres de los cuatro magistrados que propone el Senado cumplieron los nueve años de mandato el 10-III-2026 y siguen en el cargo (art. 159). 2) En 2025 admitió 59 de 9.089 recursos de amparo, y las providencias de inadmisión solo «especificarán el requisito incumplido» (Ley Orgánica del Tribunal Constitucional, art. 50.3; </w:t>
      </w:r>
      <w:r>
        <w:t>7.2</w:t>
      </w:r>
      <w:r>
        <w:t>, n.º 3). 3) Cuando anula una norma tributaria, lo cobrado y firme no se devuelve (art. 31.1).</w:t>
      </w:r>
    </w:p>
    <w:p>
      <w:r>
        <w:t>[17.00-241.1, 242.1 a 242.3]</w:t>
      </w:r>
    </w:p>
    <w:p>
      <w:pPr>
        <w:pStyle w:val="Heading2"/>
      </w:pPr>
      <w:r>
        <w:t>A.11 Título X. La reforma constitucional</w:t>
      </w:r>
    </w:p>
    <w:p>
      <w:pPr>
        <w:pBdr>
          <w:left w:val="single" w:sz="24" w:space="6" w:color="E2DED6"/>
        </w:pBdr>
        <w:shd w:val="clear" w:color="auto" w:fill="F1EEE8"/>
        <w:spacing w:before="80" w:after="160"/>
        <w:ind w:left="142" w:right="142"/>
      </w:pPr>
      <w:r>
        <w:rPr>
          <w:b/>
        </w:rPr>
        <w:t>La idea: la Constitución es reformable y se ha reformado cuatro veces por la vía del art. 167; 1 de 4 artículos incumple, y la revisión total del art. 168 es la puerta que la propia Constitución dejó abierta (</w:t>
      </w:r>
      <w:r>
        <w:rPr>
          <w:b/>
        </w:rPr>
        <w:t>5.2</w:t>
      </w:r>
      <w:r>
        <w:rPr>
          <w:b/>
        </w:rPr>
        <w:t>).</w:t>
      </w:r>
    </w:p>
    <w:p>
      <w:r>
        <w:t>4 artículos auditados; 1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166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166 · CUMPLE</w:t>
      </w:r>
    </w:p>
    <w:p>
      <w:r>
        <w:rPr>
          <w:b/>
        </w:rPr>
        <w:t>La norma.</w:t>
      </w:r>
      <w:r>
        <w:t xml:space="preserve"> «La iniciativa de reforma constitucional se ejercerá en los términos previstos en los apartados 1 y 2 del artículo 87.»</w:t>
      </w:r>
    </w:p>
    <w:p>
      <w:r>
        <w:rPr>
          <w:b/>
        </w:rPr>
        <w:t>El hecho.</w:t>
      </w:r>
      <w:r>
        <w:t xml:space="preserve"> 28 iniciativas de reforma registradas desde 1978, solo 4 prosperadas. De las 5 iniciativas presentadas por comunidades autónomas desde 1978, ninguna ha prosperado. La iniciativa popular de reforma fue excluida por 27 votos contra 1 en el debate constituyente de 1978.</w:t>
      </w:r>
      <w:r>
        <w:t xml:space="preserve"> (Registro del Congreso de los Diputados; Revista de Derecho Político (UNED), n.º 121 (2024))</w:t>
      </w:r>
    </w:p>
    <w:p>
      <w:r>
        <w:t>[17.00-218.1 a 218.3]</w:t>
      </w:r>
    </w:p>
    <w:p>
      <w:pPr>
        <w:pStyle w:val="Heading3"/>
      </w:pPr>
      <w:r>
        <w:t>Artículo 167 · CUMPLE</w:t>
      </w:r>
    </w:p>
    <w:p>
      <w:r>
        <w:rPr>
          <w:b/>
        </w:rPr>
        <w:t>La norma.</w:t>
      </w:r>
      <w:r>
        <w:t xml:space="preserve"> «Los proyectos de reforma constitucional deberán ser aprobados por una mayoría de tres quintos de cada una de las Cámaras.»</w:t>
      </w:r>
    </w:p>
    <w:p>
      <w:r>
        <w:rPr>
          <w:b/>
        </w:rPr>
        <w:t>El hecho.</w:t>
      </w:r>
      <w:r>
        <w:t xml:space="preserve"> Las cuatro reformas efectivas de la Constitución (1992, 2011, 2024 y 2026) se tramitaron todas por esta vía ordinaria, sin necesidad de comisión paritaria ni del mecanismo de desbloqueo, y sin que nunca se solicitara el referéndum facultativo. La de 1992, presentada el 7-VII y publicada en el BOE el 28-VIII (52 días, cuenta de la obra), se aprobó en lectura única en el Congreso y por el procedimiento ordinario en el Senado.</w:t>
      </w:r>
      <w:r>
        <w:t xml:space="preserve"> (Congreso, sinopsis oficial del art. 167 CE; BOE-A-1992-20403; BOE-A-2011-15210; BOE-A-2024-3099; BOE-A-2026-10881 (reforma del art. 69.3 CE, de 19 de mayo de 2026))</w:t>
      </w:r>
    </w:p>
    <w:p>
      <w:r>
        <w:t>[17.00-219.1 a 219.3]</w:t>
      </w:r>
    </w:p>
    <w:p>
      <w:pPr>
        <w:pStyle w:val="Heading3"/>
      </w:pPr>
      <w:r>
        <w:t>Artículo 168 · INCUMPLE</w:t>
      </w:r>
    </w:p>
    <w:p>
      <w:r>
        <w:rPr>
          <w:b/>
        </w:rPr>
        <w:t>La norma.</w:t>
      </w:r>
      <w:r>
        <w:t xml:space="preserve"> «Cuando se propusiere la revisión total de la Constitución o una parcial que afecte al Título Preliminar… [Capítulo II, Sección 1ª del Título I] o al Título II, se procederá a la aprobación del principio por mayoría de dos tercios de cada Cámara, y a la disolución inmediata de las Cortes.»</w:t>
      </w:r>
    </w:p>
    <w:p>
      <w:r>
        <w:rPr>
          <w:b/>
        </w:rPr>
        <w:t>El hecho.</w:t>
      </w:r>
      <w:r>
        <w:t xml:space="preserve"> La sinopsis oficial del Congreso dice del procedimiento agravado: «lejos de criticar tal procedimiento, debería verse como una garantía, máxime teniendo en cuenta que nuestra Constitución no cuenta con cláusulas de intangibilidad». Las tres reformas que recoge (1992, 2011 y 2024) se hicieron por el art. 167; el comentario del art. 167 no registra ninguna por el art. 168.</w:t>
      </w:r>
      <w:r>
        <w:t xml:space="preserve"> (Congreso, sinopsis oficial de los arts. 167 y 168 CE)</w:t>
      </w:r>
    </w:p>
    <w:p>
      <w:r>
        <w:t>[17.00-220.1 y 220.2]</w:t>
      </w:r>
    </w:p>
    <w:p>
      <w:pPr>
        <w:pStyle w:val="Heading3"/>
      </w:pPr>
      <w:r>
        <w:t>Artículo 169 · CUMPLE</w:t>
      </w:r>
    </w:p>
    <w:p>
      <w:r>
        <w:rPr>
          <w:b/>
        </w:rPr>
        <w:t>La norma.</w:t>
      </w:r>
      <w:r>
        <w:t xml:space="preserve"> «No podrá iniciarse la reforma constitucional en tiempo de guerra o de vigencia de alguno de los estados previstos en el artículo 116.»</w:t>
      </w:r>
    </w:p>
    <w:p>
      <w:r>
        <w:rPr>
          <w:b/>
        </w:rPr>
        <w:t>El hecho.</w:t>
      </w:r>
      <w:r>
        <w:t xml:space="preserve"> La sinopsis oficial del Congreso dice que «el límite sólo cabe en la iniciativa, no en la tramitación». Las tres reformas que recoge (1992, 2011 y 2024) se hicieron por el art. 167.</w:t>
      </w:r>
      <w:r>
        <w:t xml:space="preserve"> (Congreso, sinopsis oficial de los arts. 167 y 169 CE)</w:t>
      </w:r>
    </w:p>
    <w:p>
      <w:r>
        <w:t>[17.00-221.1 y 221.2]</w:t>
      </w:r>
    </w:p>
    <w:p>
      <w:r>
        <w:rPr>
          <w:b/>
        </w:rPr>
        <w:t>La mejor defensa del Estado.</w:t>
      </w:r>
      <w:r>
        <w:t xml:space="preserve"> La Constitución es reformable y se ha reformado cuatro veces —el art. 13.2 en 1992, el art. 135 en 2011, el art. 49 en 2024, de contenido social, y el art. 69.3 en 2026—: el procedimiento funciona.</w:t>
      </w:r>
    </w:p>
    <w:p>
      <w:r>
        <w:rPr>
          <w:i/>
        </w:rPr>
        <w:t>Los contrapuntos de la obra:</w:t>
      </w:r>
      <w:r>
        <w:t xml:space="preserve"> 1) Las cuatro reformas se hicieron por la vía del art. 167, sin referéndum; la de 2011, para dar prioridad absoluta al pago de la deuda (art. 135; </w:t>
      </w:r>
      <w:r>
        <w:t>7.2</w:t>
      </w:r>
      <w:r>
        <w:t>, n.º 4).</w:t>
      </w:r>
    </w:p>
    <w:p>
      <w:r>
        <w:t>[17.00-243.1, 244.1]</w:t>
      </w:r>
    </w:p>
    <w:p>
      <w:pPr>
        <w:pStyle w:val="Heading2"/>
      </w:pPr>
      <w:r>
        <w:t>A.12 La lectura de conjunto</w:t>
      </w:r>
    </w:p>
    <w:p>
      <w:pPr>
        <w:pBdr>
          <w:left w:val="single" w:sz="24" w:space="6" w:color="E2DED6"/>
        </w:pBdr>
        <w:shd w:val="clear" w:color="auto" w:fill="F1EEE8"/>
        <w:spacing w:before="80" w:after="160"/>
        <w:ind w:left="142" w:right="142"/>
      </w:pPr>
      <w:r>
        <w:rPr>
          <w:b/>
        </w:rPr>
        <w:t>La idea: ninguno de los 169 artículos prueba por sí solo más de lo que dice; juntos, dibujan una asimetría que se declara aparte, como lectura y no como dato.</w:t>
      </w:r>
    </w:p>
    <w:p>
      <w:r>
        <w:t xml:space="preserve">Hay que decirlo con la misma honestidad que exige cada ficha: el sistema también se corrige a sí mismo, y no una vez. El Tribunal Constitucional avaló en 2012 la ley que amplió el matrimonio, en vez de recortarlo. La cobertura del desempleo alcanzó en noviembre de 2025 la cifra más alta de su serie para ese mes. El Tribunal Supremo condenó a un Fiscal General del Estado en ejercicio, la primera vez en la historia democrática. El Tribunal de Justicia de la UE forzó, con una sentencia de Gran Sala, que España empiece a corregir su modelo de temporalidad en el empleo público. Ninguno de estos hechos es adorno: son la prueba de que no hay aquí una maquinaria diseñada para fallar siempre. </w:t>
      </w:r>
      <w:r>
        <w:t>[17.00-245.2]</w:t>
      </w:r>
    </w:p>
    <w:p>
      <w:r>
        <w:rPr>
          <w:b/>
        </w:rPr>
        <w:t>Lectura del autor:</w:t>
      </w:r>
      <w:r>
        <w:t xml:space="preserve"> el patrón que dibujan los 169 juntos no lo explica ninguno por separado. Cuando el conflicto es entre poderes del Estado —Gobierno contra Congreso, Senado contra Cortes, una comunidad autónoma contra el Estado—, el sistema litiga, se arbitra y casi siempre se resuelve con rapidez y con datos. Cuando el conflicto es entre el Estado y el ciudadano —una lista de espera, una petición, una reclamación de transparencia, una vivienda, una pensión adecuada, una tasa de temporalidad, un fondo de solidaridad territorial—, el mecanismo de corrección existe en el papel, pero tarda años, se admite una vez de cada ciento cincuenta (el amparo, </w:t>
      </w:r>
      <w:r>
        <w:t>7.2</w:t>
      </w:r>
      <w:r>
        <w:t xml:space="preserve">, n.º 3), o directamente no se usa. No es que el Estado español desprecie al ciudadano: es que tiene, medido artículo por artículo, mucha más capacidad instalada para resolver sus propios conflictos internos de poder que para atender las obligaciones que la Constitución le fija hacia fuera, hacia quien no tiene ni Senado ni Tribunal Constitucional al que acudir en su nombre. Es la asimetría que mide 7.4. </w:t>
      </w:r>
      <w:r>
        <w:t>[17.00-245.3]</w:t>
      </w:r>
    </w:p>
    <w:p>
      <w:pPr>
        <w:pStyle w:val="Heading2"/>
      </w:pPr>
      <w:r>
        <w:t>Límite honesto de la prueba</w:t>
      </w:r>
    </w:p>
    <w:p>
      <w:pPr>
        <w:pStyle w:val="ListBullet"/>
      </w:pPr>
      <w:r>
        <w:t>Cada ficha es un hecho con su fuente y un estado. La obra no atribuye intención a ningún artículo, y el estado depende de la vara que fija 7.1: lo que no se cumple, incumple, y un recurso desestimado cuenta como cumplimiento limpio.</w:t>
      </w:r>
    </w:p>
    <w:p>
      <w:pPr>
        <w:pStyle w:val="ListBullet"/>
      </w:pPr>
      <w:r>
        <w:t>Las cifras, las citas, las fechas y las referencias de cada ficha se comprobaron contra su fuente. Lo que no se pudo leer en su fuente no entra y está en la lista de flecos, con la excepción que dice el último punto. Los hechos sin cifra ni cita no se comprobaron uno por uno: la lectura final de la obra los repasa.</w:t>
      </w:r>
    </w:p>
    <w:p>
      <w:pPr>
        <w:pStyle w:val="ListBullet"/>
      </w:pPr>
      <w:r>
        <w:t>Siete artículos quedan pendientes: el 7, porque el único hecho leído (el informe n.º 1.055 del Tribunal de Cuentas) no muestra que se incumpla; el 27 depende de una denuncia ante el Tribunal de Cuentas todavía sin resolver; el 46, de una cifra que cambia con cada alta o baja (la Lista Roja de Hispania Nostra); el 56, de una disputa doctrinal abierta sobre el alcance de la inviolabilidad del Rey; el 110, porque el conflicto de agosto de 2026 sobre las comparecencias en el Senado seguía abierto; el 111, porque no hay datos públicos de los plazos con que contesta el Gobierno que se puedan auditar en bloque (solo cifras de terceros); y el 150.2, de una proposición de ley todavía sin aprobar.</w:t>
      </w:r>
    </w:p>
    <w:p>
      <w:pPr>
        <w:pStyle w:val="ListBullet"/>
      </w:pPr>
      <w:r>
        <w:t>El número exacto de tratados de doble nacionalidad (art. 11) no se obtuvo tras varios intentos, y se dice así en lugar de forzar una cifra.</w:t>
      </w:r>
    </w:p>
    <w:p>
      <w:pPr>
        <w:pStyle w:val="ListBullet"/>
      </w:pPr>
      <w:r>
        <w:t>Algunas fichas descansan en una fuente secundaria (nivel B), marcada en la ficha. La prensa no vale como fuente y no entra.</w:t>
      </w:r>
    </w:p>
    <w:p>
      <w:pPr>
        <w:pStyle w:val="ListBullet"/>
      </w:pPr>
      <w:r>
        <w:t>La auditoría es una foto del 6 de octubre de 2026: una sentencia o una ley posteriores no están.</w:t>
      </w:r>
    </w:p>
    <w:p>
      <w:pPr>
        <w:pStyle w:val="ListBullet"/>
      </w:pPr>
      <w:r>
        <w:t>En 6 fichas (arts. 7, 27, 46, 110, 150.2 y 160), el hecho que sostiene el estado no se pudo leer en su fuente y va a la lista de flecos: la ficha lleva su norma y su estado, que es el de la auditoría original, y lo dice. Si la lectura final de los flecos lo comprueba, el hecho vuelve; si no, el estado se revisa.</w:t>
      </w:r>
    </w:p>
    <w:p>
      <w:pPr>
        <w:pStyle w:val="ListBullet"/>
      </w:pPr>
      <w:r>
        <w:t>Los arts. 111 y 136 se leyeron en su fuente el 8-oct. El 136 sigue INCUMPLE: las Cortes instaron al Tribunal de Cuentas a cumplir en su integridad el art. 136.2 (BOE de 6-I-2023), y la revisión entre pares de 2015 no halló hechos concretos de influencia política, y se dice en la ficha. El 111 pasa a PENDIENTE: los hechos leídos no muestran que el Gobierno eluda las preguntas, y faltan datos públicos que se puedan auditar en bloque.</w:t>
      </w:r>
    </w:p>
    <w:p>
      <w:pPr>
        <w:pStyle w:val="ListBullet"/>
      </w:pPr>
      <w:r>
        <w:t>De las tres fichas con declaración formal externa que conservaban su hecho «pendiente de leer en su fuente» (arts. 45, 117.1 y 159), las tres se leyeron en su fuente en la investigación final de flecos del 7-oct. Las de los arts. 45 y 117.1 conservan la declaración. La del art. 159 la pierde: ni los mandatos cumplidos ni el Auto 177/2022 son una sentencia del Tribunal Constitucional, una condena del TEDH o del TJUE ni la calificación expresa de un organismo (</w:t>
      </w:r>
      <w:r>
        <w:t>7.1</w:t>
      </w:r>
      <w:r>
        <w:t>). Sigue incumpliendo, y el recuento baja de 24 a 23.</w:t>
      </w:r>
    </w:p>
    <w:p>
      <w:pPr>
        <w:pStyle w:val="Heading2"/>
      </w:pPr>
      <w:r>
        <w:t>La defensa del Estado</w:t>
      </w:r>
    </w:p>
    <w:p>
      <w:r>
        <w:t>Este anexo es de consulta y lleva su propia defensa: cada título (</w:t>
      </w:r>
      <w:r>
        <w:t>A.1</w:t>
      </w:r>
      <w:r>
        <w:t xml:space="preserve"> a </w:t>
      </w:r>
      <w:r>
        <w:t>A.11</w:t>
      </w:r>
      <w:r>
        <w:t>) cierra con la mejor defensa que podría dar el Estado, en su propia voz, y con los contrapuntos de la obra, que conceden lo que es cierto y responden con los hechos de las fichas y de los capítulos.</w:t>
      </w:r>
    </w:p>
    <w:p>
      <w:pPr>
        <w:pStyle w:val="Heading2"/>
      </w:pPr>
      <w:r>
        <w:t>Dónde se oye la defensa del Estado</w:t>
      </w:r>
    </w:p>
    <w:p>
      <w:r>
        <w:t>En cada título, al final de su apartado. Y en el juicio (</w:t>
      </w:r>
      <w:r>
        <w:t>capítulo 11</w:t>
      </w:r>
      <w:r>
        <w:t>), cargo por cargo, con la última palabra de cada uno.</w:t>
      </w:r>
    </w:p>
    <w:p>
      <w:pPr>
        <w:pStyle w:val="Heading2"/>
      </w:pPr>
      <w:r>
        <w:t>Para recordar</w:t>
      </w:r>
    </w:p>
    <w:p>
      <w:pPr>
        <w:pStyle w:val="ListBullet"/>
      </w:pPr>
      <w:r>
        <w:t>La auditoría parte la pregunta del contrato social en 169 preguntas comprobables, una por artículo, cada una con su norma, su hecho y su fuente.</w:t>
      </w:r>
    </w:p>
    <w:p>
      <w:pPr>
        <w:pStyle w:val="ListBullet"/>
      </w:pPr>
      <w:r>
        <w:t>De los 169 artículos, 93 se cumplen, 69 no y 7 quedan pendientes; en 23 de los incumplidos ya hay una declaración formal externa.</w:t>
      </w:r>
    </w:p>
    <w:p>
      <w:pPr>
        <w:pStyle w:val="ListBullet"/>
      </w:pPr>
      <w:r>
        <w:t>El Título I, el de los derechos, incumple en 25 de sus 46 artículos; el del Tribunal Constitucional, en 1 de 7.</w:t>
      </w:r>
    </w:p>
    <w:p>
      <w:pPr>
        <w:pStyle w:val="ListBullet"/>
      </w:pPr>
      <w:r>
        <w:t>El incumplimiento recae en el 62,1 % de los artículos que afectan al ciudadano y en el 27,2 % de los que organizan el poder (</w:t>
      </w:r>
      <w:r>
        <w:t>7.4</w:t>
      </w:r>
      <w:r>
        <w:t>).</w:t>
      </w:r>
    </w:p>
    <w:p>
      <w:pPr>
        <w:pStyle w:val="ListBullet"/>
      </w:pPr>
      <w:r>
        <w:t>El sistema se corrige a sí mismo a veces, y ninguna ficha prueba por sí sola más de lo que dice.</w:t>
      </w:r>
    </w:p>
    <w:p>
      <w:pPr>
        <w:pStyle w:val="ListBullet"/>
      </w:pPr>
      <w:r>
        <w:t>Lo que no se pudo leer en su fuente no entra, y se dice.</w:t>
      </w:r>
    </w:p>
    <w:p>
      <w:r>
        <w:br w:type="page"/>
      </w:r>
    </w:p>
    <w:p>
      <w:pPr>
        <w:pStyle w:val="Heading1"/>
      </w:pPr>
      <w:r>
        <w:t>Anexo B. La carga fiscal en detalle</w:t>
      </w:r>
    </w:p>
    <w:p>
      <w:pPr>
        <w:spacing w:after="200"/>
      </w:pPr>
      <w:r>
        <w:rPr>
          <w:rFonts w:ascii="Segoe UI" w:hAnsi="Segoe UI" w:eastAsia="Segoe UI" w:cs="Segoe UI"/>
          <w:color w:val="6B665E"/>
          <w:sz w:val="17"/>
        </w:rPr>
        <w:t>Primera versión: 7 de octubre de 2026 · Última revisión: 10 de octubre de 2026 · Citas leídas en su fuente: 5</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ESTADO: APROBADO por Kiko el 7-oct-2026 («si»; conversación del aviso PASO 3.4, ya en Sonnet 5.5); sus marcas, en 04 CAPITULOS/marcas/marcas del anexo B.txt. Paso 3. Sale de la pieza 21.00 (§2 bis, §3 bis, §5, §7 a §10 y §13; archivo congelado). Plan aprobado por Kiko («si a las dos»): estructura B.0 a B.6; las horquillas del tiempo de los trámites sin la gestoría (de 2.763 a 4.778 €), con la gestoría nombrada sin cifra y su cifra a flecos; y B.5 con las comisiones bancarias «con lo que hay»: los documentos del Banco Santander son de 2021 a 2025 y el único dato de 2026 es la media de ASUFIN; la experiencia de Kiko (20 € al mes por una cuenta personal, Santander One; 30 € al mes por la de su actividad, Santander One Empresas), como experiencia del autor, sin fecha de verificación, con su permiso y con el NOMBRE DEL BANCO y los ENLACES de cada documento (Kiko, 7-oct: «el nombre del banco lo debes poner, y de dónde sacas el dato, el enlace»). No es anexo de consulta: sin defensa propia; la defensa del Estado se oye en el cargo 25 (la carga) y en el 4 (el ahorro). Escrito en tres niveles y con remisiones enlazables. Leído hoy en su original (en local): - INE, índice general de precios de consumo, base 2025 (c9a, tabla 24077): agosto de 2026, 104,638 frente a 100,345 en agosto de 2025: +4,28 % (cálculo); la tasa más alta desde febrero de 2023 (6,0 %: todas las intermedias, por debajo del 4,3); media de los doce meses hasta agosto de 2026, 3,14 %; media de 2025, 2,67 %; de 2024, 2,77 %; diciembre de 2025, 2,92 %. Todo cálculo de la obra con el índice. - AIReF, informe sobre los presupuestos iniciales de 2026, 15-4-2026 (c8b): convenios, 3,56 % en 2025 y 2,9 % en marzo de 2026; «se espera que en el conjunto de 2026 los salarios reales disminuyan de manera moderada»: remuneración por asalariado del 3 %, «algo por debajo de la inflación (3,2 %)». - INE, Encuesta de Presupuestos Familiares 2025 (c9e, tabla 73779): agua y otros servicios de la vivienda, 952,47 €; electricidad, gas y otros combustibles, 1.254,63 €; servicios financieros, 16,96 € (gasto total medio por hogar). La nota de prensa da 35.101 € por hogar y 14.066 por persona: unas 2,5 personas por hogar (cálculo). - Ley 38/1992, de Impuestos Especiales (c10): art. 99.1, electricidad, «el 5,11269632 por ciento»; art. 70, tipos del impuesto de matriculación por epígrafes de emisiones de CO2. - Texto refundido de la Ley Reguladora de las Haciendas Locales (c9e): art. 72.1 (IBI, 0,4 % y 1,10 % en urbanos) y art. 95.1 (cuota de turismos de 12,62 a 112,00 €) y 95.4 (coeficiente que no podrá ser superior a 2). - Ley General de la Seguridad Social (c5): art. 136.2.ñ) y o) (altos cargos que no sean funcionarios, y miembros de las corporaciones locales con dedicación, en el Régimen General) y art. 264.1 (personas protegidas por desempleo: los funcionarios de carrera no figuran). - Instituto Juan de Mariana, Impuestómetro 2026 (c8b): la lista de las categorías, la tasa de basuras fuera de su cifra y los 705 € municipales (IBI, IVTM, ICIO, plusvalía municipal e IAE). Estudio privado. - Banco Santander (lote nuevo 10 FUENTES LEIDAS/b_santander, bajado hoy con permiso de Kiko): cuatro documentos de información precontractual (2021, 2022 y los dos de particulares, con metadatos de 2025), la página de autónomos leída hoy y una nota de prensa de 2024; ver B.5. Hallado al escribir (erratas ya en el 07, salvo la primera, que va con él; la edición lleva la versión de la fuente): - 21.00-10.2: la pieza dice que la tasa de basuras «ya está contada» en las capas, con el Impuestómetro como apoyo. El Impuestómetro dice lo contrario: la nueva tasa de basuras, «que ronda los 200 euros por hogar en determinados municipios», no entra en su cifra «a la espera de estudios que concreten su impacto»; los 705 € municipales son IBI, IVTM, ICIO, plusvalía municipal e IAE. Coincide con 21.00-3.24. Va la versión de la fuente. - 21.00-4.4: el 15,6 % de autónomos es el 15,7 % de 21.844.414 afiliados. - 21.00-4.5: el Boletín de enero de 2025 da 3.033.304 personas (no 3.037.432), con sus porcentajes y sus cifras de carrera, laboral y otro personal. - 21.00-4.10 y 4.11: con el 31,50 % de la Orden de cotización (no el 31,4 % del modelo), 46,9, 48,9, 51,1, 53,2 y 27,5; de ahí lo que queda a la base máxima, 46,8. - 21.00-5.1: 2.531,22 € es el coste salarial del cuarto trimestre de 2025 (con la paga extra), no la media del año (2.376,55 €, +3,2 %); 27.447 € no está en el INE (ETCL de 2024, 27.622,20 €, +3,85 %). - 21.00-5.4 y 5.5: el depósito a plazo era del 1,77 % en marzo de 2026, no del 1,82 %; con él, los 10.000 € dejan 9,60 € y no 14,73 € frente a la media de ASUFIN. - 21.00-8.2: el art. 34.1 del Estatuto no da horas al año; las 1.826 de jornada son un cálculo de la obra. No entra todavía, y queda en 05 FLECOS para leerlo en su fuente (Kiko: «nunca fuera»): - 21.00-4.7: el efecto de los altos cargos sobre la media, «unos 11 euros» (cálculo anterior sin sumandos). - 21.00-4.15: que los funcionarios de carrera tampoco coticen por el Fondo de Garantía Salarial ni por formación (supuesto del cuadro, no verificado): la Orden PJC/297/2026 no dice nada de esas dos cotizaciones para ellos. - 21.00-5.5: que el agregado de depósitos de los hogares esté concentrado en las rentas altas. - 21.00-10.2 y 10.10: el 42 al 50 % de impuestos de la gasolina (Repsol y RACE), los tipos de IVA de la luz, la gasolina y el agua (los del alquiler, la alimentación y la hostelería se leyeron el 7-oct en la Ley 37/1992 y están en B.4); la comparación con las facturas de suministros. - 21.00-8.5 a 8.7 y 10.5: la gestoría de 700 a 1.500 euros al año (comparadores, no oficial). Y la tarifa vigente en 2026 del Banco Santander, que consta en el registro del Banco de España (su portal no se pudo leer desde fuera de un navegador). Conceptos que usa, ya anclados: la carga, las cinco capas, los tres perfiles y los costes indirectos (8.4); la pérdida de valor de la moneda (8.1 a 8.3); el sistema de reparto (5.1, n.º 1); el juicio y sus cargos (11). Lo que no se repite: la cifra oficial de presión fiscal, el asalariado medio con sus cinco capas y las dos bases, la cuota del autónomo y sus tipos, los costes indirectos y las 226 horas de ATA (8.4); lo que cuestan las nóminas públicas, las pensiones y los cargos políticos (anexo C).</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w:t>
      </w:r>
      <w:r>
        <w:t>8.4</w:t>
      </w:r>
      <w:r>
        <w:t>) explica la carga: lo que se lleva el Estado del coste del trabajo de una persona, en cinco capas, para el asalariado, el autónomo y el que trabaja con una sociedad. Este anexo guarda el detalle: el peso de cada colectivo, la carga de cada perfil, qué impuestos están dentro de las capas, qué queda y el valor del tiempo de los trámites.</w:t>
      </w:r>
    </w:p>
    <w:p>
      <w:pPr>
        <w:pStyle w:val="ListBullet"/>
      </w:pPr>
      <w:r>
        <w:t>La carga de cada perfil es un cálculo de la obra con las reglas del BOE de 2026 y con supuestos que se dicen; sirve para el orden de magnitud, no para un caso individual.</w:t>
      </w:r>
    </w:p>
    <w:p>
      <w:pPr>
        <w:pStyle w:val="ListBullet"/>
      </w:pPr>
      <w:r>
        <w:t xml:space="preserve">Mide lo que se paga, no lo que se recibe; lo que se recibe está en </w:t>
      </w:r>
      <w:r>
        <w:t>8.4</w:t>
      </w:r>
      <w:r>
        <w:t>.</w:t>
      </w:r>
    </w:p>
    <w:p>
      <w:pPr>
        <w:pStyle w:val="ListBullet"/>
      </w:pPr>
      <w:r>
        <w:t>Es la parte monótona de la investigación, apartada para quien quiera contrastar las cifras.</w:t>
      </w:r>
    </w:p>
    <w:p>
      <w:pPr>
        <w:pStyle w:val="Heading2"/>
      </w:pPr>
      <w:r>
        <w:t>B.0 Qué es este anexo y cómo se lee</w:t>
      </w:r>
    </w:p>
    <w:p>
      <w:pPr>
        <w:pBdr>
          <w:left w:val="single" w:sz="24" w:space="6" w:color="E2DED6"/>
        </w:pBdr>
        <w:shd w:val="clear" w:color="auto" w:fill="F1EEE8"/>
        <w:spacing w:before="80" w:after="160"/>
        <w:ind w:left="142" w:right="142"/>
      </w:pPr>
      <w:r>
        <w:rPr>
          <w:b/>
        </w:rPr>
        <w:t>La idea: la cifra del asalariado medio no es la de todos; el mismo valor generado se reparte de otra manera según quién cobre y quién pague.</w:t>
      </w:r>
    </w:p>
    <w:p>
      <w:r>
        <w:t xml:space="preserve">La cifra de </w:t>
      </w:r>
      <w:r>
        <w:t>8.4</w:t>
      </w:r>
      <w:r>
        <w:t xml:space="preserve"> es la de un asalariado privado medio. Otros trabajadores cotizan y tributan por reglas distintas, y pesan de forma distinta en el empleo. Este anexo pone cada perfil con la misma base, el coste laboral (o el rendimiento antes de cotizar, en el autónomo), las mismas cinco capas y, en cada línea, lo que queda. Los pesos son datos con fuente; las cargas de cada perfil son un cálculo de la obra, con los supuestos que se indican. </w:t>
      </w:r>
      <w:r>
        <w:t>[21.00-4.1]</w:t>
      </w:r>
    </w:p>
    <w:p>
      <w:pPr>
        <w:pStyle w:val="Heading2"/>
      </w:pPr>
      <w:r>
        <w:t>B.1 El peso de cada colectivo</w:t>
      </w:r>
    </w:p>
    <w:p>
      <w:pPr>
        <w:pBdr>
          <w:left w:val="single" w:sz="24" w:space="6" w:color="E2DED6"/>
        </w:pBdr>
        <w:shd w:val="clear" w:color="auto" w:fill="F1EEE8"/>
        <w:spacing w:before="80" w:after="160"/>
        <w:ind w:left="142" w:right="142"/>
      </w:pPr>
      <w:r>
        <w:rPr>
          <w:b/>
        </w:rPr>
        <w:t>La idea: son datos oficiales, cada uno con su fuente y su fecha; no son de la misma fecha ni de la misma base, así que no se suman entre sí.</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Colectivo</w:t>
            </w:r>
          </w:p>
        </w:tc>
        <w:tc>
          <w:tcPr>
            <w:tcW w:type="dxa" w:w="3061"/>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3061"/>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3061"/>
          </w:tcPr>
          <w:p>
            <w:pPr>
              <w:spacing w:after="20" w:line="264" w:lineRule="auto"/>
            </w:pPr>
            <w:r/>
            <w:r>
              <w:rPr>
                <w:rFonts w:ascii="Segoe UI" w:hAnsi="Segoe UI" w:eastAsia="Segoe UI" w:cs="Segoe UI"/>
                <w:color w:val="1F1D1A"/>
                <w:sz w:val="18"/>
              </w:rPr>
              <w:t>Empleo, segundo trimestre de 2026</w:t>
            </w:r>
          </w:p>
        </w:tc>
        <w:tc>
          <w:tcPr>
            <w:tcW w:type="dxa" w:w="3061"/>
          </w:tcPr>
          <w:p>
            <w:pPr>
              <w:spacing w:after="20" w:line="264" w:lineRule="auto"/>
            </w:pPr>
            <w:r/>
            <w:r>
              <w:rPr>
                <w:rFonts w:ascii="Segoe UI" w:hAnsi="Segoe UI" w:eastAsia="Segoe UI" w:cs="Segoe UI"/>
                <w:color w:val="1F1D1A"/>
                <w:sz w:val="18"/>
              </w:rPr>
              <w:t>22.779.000 ocupados: 19.132.100 en el sector privado (84,0 %, autónomos incluidos) y 3.646.900 en el público (16,0 %, empresas públicas incluidas)</w:t>
            </w:r>
          </w:p>
        </w:tc>
        <w:tc>
          <w:tcPr>
            <w:tcW w:type="dxa" w:w="3061"/>
          </w:tcPr>
          <w:p>
            <w:pPr>
              <w:spacing w:after="20" w:line="264" w:lineRule="auto"/>
            </w:pPr>
            <w:r/>
            <w:r>
              <w:rPr>
                <w:rFonts w:ascii="Segoe UI" w:hAnsi="Segoe UI" w:eastAsia="Segoe UI" w:cs="Segoe UI"/>
                <w:color w:val="1F1D1A"/>
                <w:sz w:val="18"/>
              </w:rPr>
              <w:t xml:space="preserve">INE, Encuesta de Población Activa </w:t>
            </w:r>
            <w:r>
              <w:rPr>
                <w:rFonts w:ascii="Segoe UI" w:hAnsi="Segoe UI" w:eastAsia="Segoe UI" w:cs="Segoe UI"/>
                <w:color w:val="1F1D1A"/>
                <w:sz w:val="18"/>
              </w:rPr>
              <w:t>[21.00-4.2; 21.00-4.3]</w:t>
            </w:r>
          </w:p>
        </w:tc>
      </w:tr>
      <w:tr>
        <w:tc>
          <w:tcPr>
            <w:tcW w:type="dxa" w:w="3061"/>
          </w:tcPr>
          <w:p>
            <w:pPr>
              <w:spacing w:after="20" w:line="264" w:lineRule="auto"/>
            </w:pPr>
            <w:r/>
            <w:r>
              <w:rPr>
                <w:rFonts w:ascii="Segoe UI" w:hAnsi="Segoe UI" w:eastAsia="Segoe UI" w:cs="Segoe UI"/>
                <w:color w:val="1F1D1A"/>
                <w:sz w:val="18"/>
              </w:rPr>
              <w:t>Autónomos, diciembre de 2025</w:t>
            </w:r>
          </w:p>
        </w:tc>
        <w:tc>
          <w:tcPr>
            <w:tcW w:type="dxa" w:w="3061"/>
          </w:tcPr>
          <w:p>
            <w:pPr>
              <w:spacing w:after="20" w:line="264" w:lineRule="auto"/>
            </w:pPr>
            <w:r/>
            <w:r>
              <w:rPr>
                <w:rFonts w:ascii="Segoe UI" w:hAnsi="Segoe UI" w:eastAsia="Segoe UI" w:cs="Segoe UI"/>
                <w:color w:val="1F1D1A"/>
                <w:sz w:val="18"/>
              </w:rPr>
              <w:t>3.425.767 trabajadores por cuenta propia, el 15,7 % de los 21.844.414 afiliados (cálculo de la obra)</w:t>
            </w:r>
          </w:p>
        </w:tc>
        <w:tc>
          <w:tcPr>
            <w:tcW w:type="dxa" w:w="3061"/>
          </w:tcPr>
          <w:p>
            <w:pPr>
              <w:spacing w:after="20" w:line="264" w:lineRule="auto"/>
            </w:pPr>
            <w:r/>
            <w:r>
              <w:rPr>
                <w:rFonts w:ascii="Segoe UI" w:hAnsi="Segoe UI" w:eastAsia="Segoe UI" w:cs="Segoe UI"/>
                <w:color w:val="1F1D1A"/>
                <w:sz w:val="18"/>
              </w:rPr>
              <w:t>Ministerio de Inclusión, Seguridad Social y Migraciones [21.00-4.4, con la errata del 07: 15,7 %]. No hay dato oficial verificado de cuántos son societarios.</w:t>
            </w:r>
          </w:p>
        </w:tc>
      </w:tr>
      <w:tr>
        <w:tc>
          <w:tcPr>
            <w:tcW w:type="dxa" w:w="3061"/>
          </w:tcPr>
          <w:p>
            <w:pPr>
              <w:spacing w:after="20" w:line="264" w:lineRule="auto"/>
            </w:pPr>
            <w:r/>
            <w:r>
              <w:rPr>
                <w:rFonts w:ascii="Segoe UI" w:hAnsi="Segoe UI" w:eastAsia="Segoe UI" w:cs="Segoe UI"/>
                <w:color w:val="1F1D1A"/>
                <w:sz w:val="18"/>
              </w:rPr>
              <w:t>Personal de las administraciones, enero de 2025</w:t>
            </w:r>
          </w:p>
        </w:tc>
        <w:tc>
          <w:tcPr>
            <w:tcW w:type="dxa" w:w="3061"/>
          </w:tcPr>
          <w:p>
            <w:pPr>
              <w:spacing w:after="20" w:line="264" w:lineRule="auto"/>
            </w:pPr>
            <w:r/>
            <w:r>
              <w:rPr>
                <w:rFonts w:ascii="Segoe UI" w:hAnsi="Segoe UI" w:eastAsia="Segoe UI" w:cs="Segoe UI"/>
                <w:color w:val="1F1D1A"/>
                <w:sz w:val="18"/>
              </w:rPr>
              <w:t>3.033.304 personas: Estado, 540.404 (17,82 %); comunidades autónomas, 1.905.576 (62,82 %); Administración local, 587.324 (19,36 %). Funcionarios de carrera, 1.628.560 (53,7 %); personal laboral, 604.482 (19,9 %); otro personal, entre ellos los interinos, 800.262 (26,4 %)</w:t>
            </w:r>
          </w:p>
        </w:tc>
        <w:tc>
          <w:tcPr>
            <w:tcW w:type="dxa" w:w="3061"/>
          </w:tcPr>
          <w:p>
            <w:pPr>
              <w:spacing w:after="20" w:line="264" w:lineRule="auto"/>
            </w:pPr>
            <w:r/>
            <w:r>
              <w:rPr>
                <w:rFonts w:ascii="Segoe UI" w:hAnsi="Segoe UI" w:eastAsia="Segoe UI" w:cs="Segoe UI"/>
                <w:color w:val="1F1D1A"/>
                <w:sz w:val="18"/>
              </w:rPr>
              <w:t>Registro Central de Personal, Boletín Estadístico [21.00-4.5, con la errata del 07]. La cifra de enero de 2026 está en C.2.</w:t>
            </w:r>
          </w:p>
        </w:tc>
      </w:tr>
      <w:tr>
        <w:tc>
          <w:tcPr>
            <w:tcW w:type="dxa" w:w="3061"/>
          </w:tcPr>
          <w:p>
            <w:pPr>
              <w:spacing w:after="20" w:line="264" w:lineRule="auto"/>
            </w:pPr>
            <w:r/>
            <w:r>
              <w:rPr>
                <w:rFonts w:ascii="Segoe UI" w:hAnsi="Segoe UI" w:eastAsia="Segoe UI" w:cs="Segoe UI"/>
                <w:color w:val="1F1D1A"/>
                <w:sz w:val="18"/>
              </w:rPr>
              <w:t>Asalariados por tipo de pagador, 2024</w:t>
            </w:r>
          </w:p>
        </w:tc>
        <w:tc>
          <w:tcPr>
            <w:tcW w:type="dxa" w:w="3061"/>
          </w:tcPr>
          <w:p>
            <w:pPr>
              <w:spacing w:after="20" w:line="264" w:lineRule="auto"/>
            </w:pPr>
            <w:r/>
            <w:r>
              <w:rPr>
                <w:rFonts w:ascii="Segoe UI" w:hAnsi="Segoe UI" w:eastAsia="Segoe UI" w:cs="Segoe UI"/>
                <w:color w:val="1F1D1A"/>
                <w:sz w:val="18"/>
              </w:rPr>
              <w:t>20.637.992: las administraciones pagan a 3.583.502 (17,4 %); las empresas societarias, a 14.612.547 (70,8 %); las de personas físicas, a 1.803.349 (8,7 %); las instituciones sin fines de lucro, a 638.594 (3,1 %)</w:t>
            </w:r>
          </w:p>
        </w:tc>
        <w:tc>
          <w:tcPr>
            <w:tcW w:type="dxa" w:w="3061"/>
          </w:tcPr>
          <w:p>
            <w:pPr>
              <w:spacing w:after="20" w:line="264" w:lineRule="auto"/>
            </w:pPr>
            <w:r/>
            <w:r>
              <w:rPr>
                <w:rFonts w:ascii="Segoe UI" w:hAnsi="Segoe UI" w:eastAsia="Segoe UI" w:cs="Segoe UI"/>
                <w:color w:val="1F1D1A"/>
                <w:sz w:val="18"/>
              </w:rPr>
              <w:t xml:space="preserve">Agencia Tributaria, Modelo 190 </w:t>
            </w:r>
            <w:r>
              <w:rPr>
                <w:rFonts w:ascii="Segoe UI" w:hAnsi="Segoe UI" w:eastAsia="Segoe UI" w:cs="Segoe UI"/>
                <w:color w:val="1F1D1A"/>
                <w:sz w:val="18"/>
              </w:rPr>
              <w:t>[21.00-4.6]</w:t>
            </w:r>
          </w:p>
        </w:tc>
      </w:tr>
    </w:tbl>
    <w:p>
      <w:pPr>
        <w:spacing w:after="80"/>
      </w:pPr>
    </w:p>
    <w:p>
      <w:pPr>
        <w:pStyle w:val="Heading2"/>
      </w:pPr>
      <w:r>
        <w:t>B.2 ¿Suben los funcionarios el salario medio?</w:t>
      </w:r>
    </w:p>
    <w:p>
      <w:pPr>
        <w:pBdr>
          <w:left w:val="single" w:sz="24" w:space="6" w:color="E2DED6"/>
        </w:pBdr>
        <w:shd w:val="clear" w:color="auto" w:fill="F1EEE8"/>
        <w:spacing w:before="80" w:after="160"/>
        <w:ind w:left="142" w:right="142"/>
      </w:pPr>
      <w:r>
        <w:rPr>
          <w:b/>
        </w:rPr>
        <w:t>La idea: en bruto y sin ajustar, sí; pero esos datos no dicen por qué, ni si es justo.</w:t>
      </w:r>
    </w:p>
    <w:p>
      <w:r>
        <w:t xml:space="preserve">Según la Agencia Tributaria (2024), la retribución media anual que pagan las administraciones es de 34.482 euros, frente a 22.962 en el resto de pagadores: un 50,2 % más. Las administraciones son el 17,4 % de los asalariados y perciben el 24,0 % de todas las retribuciones, y elevan la media del total en unos 2.000 euros, un 8,7 % sobre la media del resto (24.962 euros, frente a 22.962). La Agencia no publica un «salario medio»: son retribuciones entre asalariados (cálculo de la obra). </w:t>
      </w:r>
      <w:r>
        <w:t>[21.00-4.7]</w:t>
      </w:r>
    </w:p>
    <w:p>
      <w:r>
        <w:t xml:space="preserve">Lo que estos datos no dicen: por qué. No controlan la jornada, los meses trabajados, la antigüedad, la cualificación ni la ocupación, y los contratos temporales o a tiempo parcial, más frecuentes en el sector privado, bajan su media anual sin que haya menos salario por hora. Tampoco dicen si es justo: eso es una valoración. Y «administraciones públicas» incluye a funcionarios de carrera, personal laboral, docentes, sanitarios, policía y militares, no solo a los primeros. </w:t>
      </w:r>
      <w:r>
        <w:t>[21.00-4.7]</w:t>
      </w:r>
    </w:p>
    <w:p>
      <w:r>
        <w:t>Los altos cargos que no son funcionarios cotizan en el Régimen General</w:t>
      </w:r>
      <w:r>
        <w:t xml:space="preserve"> (Ley General de la Seguridad Social, art. 136.2.ñ)</w:t>
      </w:r>
      <w:r>
        <w:t xml:space="preserve">; cuántos son y qué cobran está en C.1. </w:t>
      </w:r>
      <w:r>
        <w:t>[21.00-4.7]</w:t>
      </w:r>
    </w:p>
    <w:p>
      <w:pPr>
        <w:pStyle w:val="Heading2"/>
      </w:pPr>
      <w:r>
        <w:t>B.3 La carga de cada perfil</w:t>
      </w:r>
    </w:p>
    <w:p>
      <w:pPr>
        <w:pBdr>
          <w:left w:val="single" w:sz="24" w:space="6" w:color="E2DED6"/>
        </w:pBdr>
        <w:shd w:val="clear" w:color="auto" w:fill="F1EEE8"/>
        <w:spacing w:before="80" w:after="160"/>
        <w:ind w:left="142" w:right="142"/>
      </w:pPr>
      <w:r>
        <w:rPr>
          <w:b/>
        </w:rPr>
        <w:t>La idea: con el mismo valor generado, lo que se lleva el Estado va del 41 % al 54 % según el perfil; entre el asalariado y el funcionario, la diferencia está casi toda en la cotización social.</w:t>
      </w:r>
    </w:p>
    <w:p>
      <w:r>
        <w:t xml:space="preserve">El mismo valor generado: 39.481 euros en el asalariado y en el autónomo, y 34.482 —la media de las administraciones— en los funcionarios y en su comparación privada. Las cinco capas son las de </w:t>
      </w:r>
      <w:r>
        <w:t>8.4</w:t>
      </w:r>
      <w:r>
        <w:t>, acumuladas, en porcentaje del coste laboral; la última columna es lo que queda. La capa 1 del primer perfil es la del estudio privado, el 40,9 %; la cifra oficial de la OCDE para ese mismo asalariado es el 41,4 % (</w:t>
      </w:r>
      <w:r>
        <w:t>8.4</w:t>
      </w:r>
      <w:r>
        <w:t xml:space="preserve">). </w:t>
      </w:r>
      <w:r>
        <w:t>[21.00-4.8; 21.00-9.6]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312"/>
        <w:gridCol w:w="1312"/>
        <w:gridCol w:w="1312"/>
        <w:gridCol w:w="1312"/>
        <w:gridCol w:w="1312"/>
        <w:gridCol w:w="1312"/>
        <w:gridCol w:w="1312"/>
      </w:tblGrid>
      <w:tr>
        <w:tc>
          <w:tcPr>
            <w:tcW w:type="dxa" w:w="1312"/>
            <w:shd w:val="clear" w:color="auto" w:fill="F1EEE8"/>
          </w:tcPr>
          <w:p>
            <w:pPr>
              <w:spacing w:after="20" w:line="264" w:lineRule="auto"/>
            </w:pPr>
            <w:r>
              <w:rPr>
                <w:b/>
              </w:rPr>
            </w:r>
            <w:r>
              <w:rPr>
                <w:rFonts w:ascii="Segoe UI" w:hAnsi="Segoe UI" w:eastAsia="Segoe UI" w:cs="Segoe UI"/>
                <w:b/>
                <w:color w:val="1F1D1A"/>
                <w:sz w:val="18"/>
              </w:rPr>
              <w:t>Perfil</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1</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2</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3</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4</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5</w:t>
            </w:r>
          </w:p>
        </w:tc>
        <w:tc>
          <w:tcPr>
            <w:tcW w:type="dxa" w:w="1312"/>
            <w:shd w:val="clear" w:color="auto" w:fill="F1EEE8"/>
          </w:tcPr>
          <w:p>
            <w:pPr>
              <w:spacing w:after="20" w:line="264" w:lineRule="auto"/>
            </w:pPr>
            <w:r>
              <w:rPr>
                <w:b/>
              </w:rPr>
            </w:r>
            <w:r>
              <w:rPr>
                <w:rFonts w:ascii="Segoe UI" w:hAnsi="Segoe UI" w:eastAsia="Segoe UI" w:cs="Segoe UI"/>
                <w:b/>
                <w:color w:val="1F1D1A"/>
                <w:sz w:val="18"/>
              </w:rPr>
              <w:t>Queda</w:t>
            </w:r>
          </w:p>
        </w:tc>
      </w:tr>
      <w:tr>
        <w:tc>
          <w:tcPr>
            <w:tcW w:type="dxa" w:w="1312"/>
          </w:tcPr>
          <w:p>
            <w:pPr>
              <w:spacing w:after="20" w:line="264" w:lineRule="auto"/>
            </w:pPr>
            <w:r/>
            <w:r>
              <w:rPr>
                <w:rFonts w:ascii="Segoe UI" w:hAnsi="Segoe UI" w:eastAsia="Segoe UI" w:cs="Segoe UI"/>
                <w:color w:val="1F1D1A"/>
                <w:sz w:val="18"/>
              </w:rPr>
              <w:t>Asalariado privado medio (Molinari y EY)</w:t>
            </w:r>
          </w:p>
        </w:tc>
        <w:tc>
          <w:tcPr>
            <w:tcW w:type="dxa" w:w="1312"/>
          </w:tcPr>
          <w:p>
            <w:pPr>
              <w:spacing w:after="20" w:line="264" w:lineRule="auto"/>
            </w:pPr>
            <w:r/>
            <w:r>
              <w:rPr>
                <w:rFonts w:ascii="Segoe UI" w:hAnsi="Segoe UI" w:eastAsia="Segoe UI" w:cs="Segoe UI"/>
                <w:color w:val="1F1D1A"/>
                <w:sz w:val="18"/>
              </w:rPr>
              <w:t>40,9</w:t>
            </w:r>
          </w:p>
        </w:tc>
        <w:tc>
          <w:tcPr>
            <w:tcW w:type="dxa" w:w="1312"/>
          </w:tcPr>
          <w:p>
            <w:pPr>
              <w:spacing w:after="20" w:line="264" w:lineRule="auto"/>
            </w:pPr>
            <w:r/>
            <w:r>
              <w:rPr>
                <w:rFonts w:ascii="Segoe UI" w:hAnsi="Segoe UI" w:eastAsia="Segoe UI" w:cs="Segoe UI"/>
                <w:color w:val="1F1D1A"/>
                <w:sz w:val="18"/>
              </w:rPr>
              <w:t>45,0</w:t>
            </w:r>
          </w:p>
        </w:tc>
        <w:tc>
          <w:tcPr>
            <w:tcW w:type="dxa" w:w="1312"/>
          </w:tcPr>
          <w:p>
            <w:pPr>
              <w:spacing w:after="20" w:line="264" w:lineRule="auto"/>
            </w:pPr>
            <w:r/>
            <w:r>
              <w:rPr>
                <w:rFonts w:ascii="Segoe UI" w:hAnsi="Segoe UI" w:eastAsia="Segoe UI" w:cs="Segoe UI"/>
                <w:color w:val="1F1D1A"/>
                <w:sz w:val="18"/>
              </w:rPr>
              <w:t>48,4</w:t>
            </w:r>
          </w:p>
        </w:tc>
        <w:tc>
          <w:tcPr>
            <w:tcW w:type="dxa" w:w="1312"/>
          </w:tcPr>
          <w:p>
            <w:pPr>
              <w:spacing w:after="20" w:line="264" w:lineRule="auto"/>
            </w:pPr>
            <w:r/>
            <w:r>
              <w:rPr>
                <w:rFonts w:ascii="Segoe UI" w:hAnsi="Segoe UI" w:eastAsia="Segoe UI" w:cs="Segoe UI"/>
                <w:color w:val="1F1D1A"/>
                <w:sz w:val="18"/>
              </w:rPr>
              <w:t>50,7</w:t>
            </w:r>
          </w:p>
        </w:tc>
        <w:tc>
          <w:tcPr>
            <w:tcW w:type="dxa" w:w="1312"/>
          </w:tcPr>
          <w:p>
            <w:pPr>
              <w:spacing w:after="20" w:line="264" w:lineRule="auto"/>
            </w:pPr>
            <w:r/>
            <w:r>
              <w:rPr>
                <w:rFonts w:ascii="Segoe UI" w:hAnsi="Segoe UI" w:eastAsia="Segoe UI" w:cs="Segoe UI"/>
                <w:color w:val="1F1D1A"/>
                <w:sz w:val="18"/>
              </w:rPr>
              <w:t>53,6</w:t>
            </w:r>
          </w:p>
        </w:tc>
        <w:tc>
          <w:tcPr>
            <w:tcW w:type="dxa" w:w="1312"/>
          </w:tcPr>
          <w:p>
            <w:pPr>
              <w:spacing w:after="20" w:line="264" w:lineRule="auto"/>
            </w:pPr>
            <w:r/>
            <w:r>
              <w:rPr>
                <w:rFonts w:ascii="Segoe UI" w:hAnsi="Segoe UI" w:eastAsia="Segoe UI" w:cs="Segoe UI"/>
                <w:color w:val="1F1D1A"/>
                <w:sz w:val="18"/>
              </w:rPr>
              <w:t>46,4</w:t>
            </w:r>
          </w:p>
        </w:tc>
      </w:tr>
      <w:tr>
        <w:tc>
          <w:tcPr>
            <w:tcW w:type="dxa" w:w="1312"/>
          </w:tcPr>
          <w:p>
            <w:pPr>
              <w:spacing w:after="20" w:line="264" w:lineRule="auto"/>
            </w:pPr>
            <w:r/>
            <w:r>
              <w:rPr>
                <w:rFonts w:ascii="Segoe UI" w:hAnsi="Segoe UI" w:eastAsia="Segoe UI" w:cs="Segoe UI"/>
                <w:color w:val="1F1D1A"/>
                <w:sz w:val="18"/>
              </w:rPr>
              <w:t>Autónomo sin sociedad, base mínima de su tramo</w:t>
            </w:r>
          </w:p>
        </w:tc>
        <w:tc>
          <w:tcPr>
            <w:tcW w:type="dxa" w:w="1312"/>
          </w:tcPr>
          <w:p>
            <w:pPr>
              <w:spacing w:after="20" w:line="264" w:lineRule="auto"/>
            </w:pPr>
            <w:r/>
            <w:r>
              <w:rPr>
                <w:rFonts w:ascii="Segoe UI" w:hAnsi="Segoe UI" w:eastAsia="Segoe UI" w:cs="Segoe UI"/>
                <w:color w:val="1F1D1A"/>
                <w:sz w:val="18"/>
              </w:rPr>
              <w:t>31,0</w:t>
            </w:r>
          </w:p>
        </w:tc>
        <w:tc>
          <w:tcPr>
            <w:tcW w:type="dxa" w:w="1312"/>
          </w:tcPr>
          <w:p>
            <w:pPr>
              <w:spacing w:after="20" w:line="264" w:lineRule="auto"/>
            </w:pPr>
            <w:r/>
            <w:r>
              <w:rPr>
                <w:rFonts w:ascii="Segoe UI" w:hAnsi="Segoe UI" w:eastAsia="Segoe UI" w:cs="Segoe UI"/>
                <w:color w:val="1F1D1A"/>
                <w:sz w:val="18"/>
              </w:rPr>
              <w:t>35,7</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42,0</w:t>
            </w:r>
          </w:p>
        </w:tc>
        <w:tc>
          <w:tcPr>
            <w:tcW w:type="dxa" w:w="1312"/>
          </w:tcPr>
          <w:p>
            <w:pPr>
              <w:spacing w:after="20" w:line="264" w:lineRule="auto"/>
            </w:pPr>
            <w:r/>
            <w:r>
              <w:rPr>
                <w:rFonts w:ascii="Segoe UI" w:hAnsi="Segoe UI" w:eastAsia="Segoe UI" w:cs="Segoe UI"/>
                <w:color w:val="1F1D1A"/>
                <w:sz w:val="18"/>
              </w:rPr>
              <w:t>58,0</w:t>
            </w:r>
          </w:p>
        </w:tc>
      </w:tr>
      <w:tr>
        <w:tc>
          <w:tcPr>
            <w:tcW w:type="dxa" w:w="1312"/>
          </w:tcPr>
          <w:p>
            <w:pPr>
              <w:spacing w:after="20" w:line="264" w:lineRule="auto"/>
            </w:pPr>
            <w:r/>
            <w:r>
              <w:rPr>
                <w:rFonts w:ascii="Segoe UI" w:hAnsi="Segoe UI" w:eastAsia="Segoe UI" w:cs="Segoe UI"/>
                <w:color w:val="1F1D1A"/>
                <w:sz w:val="18"/>
              </w:rPr>
              <w:t>Autónomo sin sociedad, base igual al bruto del asalariado</w:t>
            </w:r>
          </w:p>
        </w:tc>
        <w:tc>
          <w:tcPr>
            <w:tcW w:type="dxa" w:w="1312"/>
          </w:tcPr>
          <w:p>
            <w:pPr>
              <w:spacing w:after="20" w:line="264" w:lineRule="auto"/>
            </w:pPr>
            <w:r/>
            <w:r>
              <w:rPr>
                <w:rFonts w:ascii="Segoe UI" w:hAnsi="Segoe UI" w:eastAsia="Segoe UI" w:cs="Segoe UI"/>
                <w:color w:val="1F1D1A"/>
                <w:sz w:val="18"/>
              </w:rPr>
              <w:t>38,4</w:t>
            </w:r>
          </w:p>
        </w:tc>
        <w:tc>
          <w:tcPr>
            <w:tcW w:type="dxa" w:w="1312"/>
          </w:tcPr>
          <w:p>
            <w:pPr>
              <w:spacing w:after="20" w:line="264" w:lineRule="auto"/>
            </w:pPr>
            <w:r/>
            <w:r>
              <w:rPr>
                <w:rFonts w:ascii="Segoe UI" w:hAnsi="Segoe UI" w:eastAsia="Segoe UI" w:cs="Segoe UI"/>
                <w:color w:val="1F1D1A"/>
                <w:sz w:val="18"/>
              </w:rPr>
              <w:t>42,6</w:t>
            </w:r>
          </w:p>
        </w:tc>
        <w:tc>
          <w:tcPr>
            <w:tcW w:type="dxa" w:w="1312"/>
          </w:tcPr>
          <w:p>
            <w:pPr>
              <w:spacing w:after="20" w:line="264" w:lineRule="auto"/>
            </w:pPr>
            <w:r/>
            <w:r>
              <w:rPr>
                <w:rFonts w:ascii="Segoe UI" w:hAnsi="Segoe UI" w:eastAsia="Segoe UI" w:cs="Segoe UI"/>
                <w:color w:val="1F1D1A"/>
                <w:sz w:val="18"/>
              </w:rPr>
              <w:t>46,0</w:t>
            </w:r>
          </w:p>
        </w:tc>
        <w:tc>
          <w:tcPr>
            <w:tcW w:type="dxa" w:w="1312"/>
          </w:tcPr>
          <w:p>
            <w:pPr>
              <w:spacing w:after="20" w:line="264" w:lineRule="auto"/>
            </w:pPr>
            <w:r/>
            <w:r>
              <w:rPr>
                <w:rFonts w:ascii="Segoe UI" w:hAnsi="Segoe UI" w:eastAsia="Segoe UI" w:cs="Segoe UI"/>
                <w:color w:val="1F1D1A"/>
                <w:sz w:val="18"/>
              </w:rPr>
              <w:t>46,0</w:t>
            </w:r>
          </w:p>
        </w:tc>
        <w:tc>
          <w:tcPr>
            <w:tcW w:type="dxa" w:w="1312"/>
          </w:tcPr>
          <w:p>
            <w:pPr>
              <w:spacing w:after="20" w:line="264" w:lineRule="auto"/>
            </w:pPr>
            <w:r/>
            <w:r>
              <w:rPr>
                <w:rFonts w:ascii="Segoe UI" w:hAnsi="Segoe UI" w:eastAsia="Segoe UI" w:cs="Segoe UI"/>
                <w:color w:val="1F1D1A"/>
                <w:sz w:val="18"/>
              </w:rPr>
              <w:t>48,9</w:t>
            </w:r>
          </w:p>
        </w:tc>
        <w:tc>
          <w:tcPr>
            <w:tcW w:type="dxa" w:w="1312"/>
          </w:tcPr>
          <w:p>
            <w:pPr>
              <w:spacing w:after="20" w:line="264" w:lineRule="auto"/>
            </w:pPr>
            <w:r/>
            <w:r>
              <w:rPr>
                <w:rFonts w:ascii="Segoe UI" w:hAnsi="Segoe UI" w:eastAsia="Segoe UI" w:cs="Segoe UI"/>
                <w:color w:val="1F1D1A"/>
                <w:sz w:val="18"/>
              </w:rPr>
              <w:t>51,1</w:t>
            </w:r>
          </w:p>
        </w:tc>
      </w:tr>
      <w:tr>
        <w:tc>
          <w:tcPr>
            <w:tcW w:type="dxa" w:w="1312"/>
          </w:tcPr>
          <w:p>
            <w:pPr>
              <w:spacing w:after="20" w:line="264" w:lineRule="auto"/>
            </w:pPr>
            <w:r/>
            <w:r>
              <w:rPr>
                <w:rFonts w:ascii="Segoe UI" w:hAnsi="Segoe UI" w:eastAsia="Segoe UI" w:cs="Segoe UI"/>
                <w:color w:val="1F1D1A"/>
                <w:sz w:val="18"/>
              </w:rPr>
              <w:t>Autónomo sin sociedad, base máxima</w:t>
            </w:r>
          </w:p>
        </w:tc>
        <w:tc>
          <w:tcPr>
            <w:tcW w:type="dxa" w:w="1312"/>
          </w:tcPr>
          <w:p>
            <w:pPr>
              <w:spacing w:after="20" w:line="264" w:lineRule="auto"/>
            </w:pPr>
            <w:r/>
            <w:r>
              <w:rPr>
                <w:rFonts w:ascii="Segoe UI" w:hAnsi="Segoe UI" w:eastAsia="Segoe UI" w:cs="Segoe UI"/>
                <w:color w:val="1F1D1A"/>
                <w:sz w:val="18"/>
              </w:rPr>
              <w:t>43,0</w:t>
            </w:r>
          </w:p>
        </w:tc>
        <w:tc>
          <w:tcPr>
            <w:tcW w:type="dxa" w:w="1312"/>
          </w:tcPr>
          <w:p>
            <w:pPr>
              <w:spacing w:after="20" w:line="264" w:lineRule="auto"/>
            </w:pPr>
            <w:r/>
            <w:r>
              <w:rPr>
                <w:rFonts w:ascii="Segoe UI" w:hAnsi="Segoe UI" w:eastAsia="Segoe UI" w:cs="Segoe UI"/>
                <w:color w:val="1F1D1A"/>
                <w:sz w:val="18"/>
              </w:rPr>
              <w:t>46,9</w:t>
            </w:r>
          </w:p>
        </w:tc>
        <w:tc>
          <w:tcPr>
            <w:tcW w:type="dxa" w:w="1312"/>
          </w:tcPr>
          <w:p>
            <w:pPr>
              <w:spacing w:after="20" w:line="264" w:lineRule="auto"/>
            </w:pPr>
            <w:r/>
            <w:r>
              <w:rPr>
                <w:rFonts w:ascii="Segoe UI" w:hAnsi="Segoe UI" w:eastAsia="Segoe UI" w:cs="Segoe UI"/>
                <w:color w:val="1F1D1A"/>
                <w:sz w:val="18"/>
              </w:rPr>
              <w:t>50,3</w:t>
            </w:r>
          </w:p>
        </w:tc>
        <w:tc>
          <w:tcPr>
            <w:tcW w:type="dxa" w:w="1312"/>
          </w:tcPr>
          <w:p>
            <w:pPr>
              <w:spacing w:after="20" w:line="264" w:lineRule="auto"/>
            </w:pPr>
            <w:r/>
            <w:r>
              <w:rPr>
                <w:rFonts w:ascii="Segoe UI" w:hAnsi="Segoe UI" w:eastAsia="Segoe UI" w:cs="Segoe UI"/>
                <w:color w:val="1F1D1A"/>
                <w:sz w:val="18"/>
              </w:rPr>
              <w:t>50,3</w:t>
            </w:r>
          </w:p>
        </w:tc>
        <w:tc>
          <w:tcPr>
            <w:tcW w:type="dxa" w:w="1312"/>
          </w:tcPr>
          <w:p>
            <w:pPr>
              <w:spacing w:after="20" w:line="264" w:lineRule="auto"/>
            </w:pPr>
            <w:r/>
            <w:r>
              <w:rPr>
                <w:rFonts w:ascii="Segoe UI" w:hAnsi="Segoe UI" w:eastAsia="Segoe UI" w:cs="Segoe UI"/>
                <w:color w:val="1F1D1A"/>
                <w:sz w:val="18"/>
              </w:rPr>
              <w:t>53,2</w:t>
            </w:r>
          </w:p>
        </w:tc>
        <w:tc>
          <w:tcPr>
            <w:tcW w:type="dxa" w:w="1312"/>
          </w:tcPr>
          <w:p>
            <w:pPr>
              <w:spacing w:after="20" w:line="264" w:lineRule="auto"/>
            </w:pPr>
            <w:r/>
            <w:r>
              <w:rPr>
                <w:rFonts w:ascii="Segoe UI" w:hAnsi="Segoe UI" w:eastAsia="Segoe UI" w:cs="Segoe UI"/>
                <w:color w:val="1F1D1A"/>
                <w:sz w:val="18"/>
              </w:rPr>
              <w:t>46,8</w:t>
            </w:r>
          </w:p>
        </w:tc>
      </w:tr>
      <w:tr>
        <w:tc>
          <w:tcPr>
            <w:tcW w:type="dxa" w:w="1312"/>
          </w:tcPr>
          <w:p>
            <w:pPr>
              <w:spacing w:after="20" w:line="264" w:lineRule="auto"/>
            </w:pPr>
            <w:r/>
            <w:r>
              <w:rPr>
                <w:rFonts w:ascii="Segoe UI" w:hAnsi="Segoe UI" w:eastAsia="Segoe UI" w:cs="Segoe UI"/>
                <w:color w:val="1F1D1A"/>
                <w:sz w:val="18"/>
              </w:rPr>
              <w:t>Autónomo con sociedad, todo como retribución</w:t>
            </w:r>
          </w:p>
        </w:tc>
        <w:tc>
          <w:tcPr>
            <w:tcW w:type="dxa" w:w="1312"/>
          </w:tcPr>
          <w:p>
            <w:pPr>
              <w:spacing w:after="20" w:line="264" w:lineRule="auto"/>
            </w:pPr>
            <w:r/>
            <w:r>
              <w:rPr>
                <w:rFonts w:ascii="Segoe UI" w:hAnsi="Segoe UI" w:eastAsia="Segoe UI" w:cs="Segoe UI"/>
                <w:color w:val="1F1D1A"/>
                <w:sz w:val="18"/>
              </w:rPr>
              <w:t>31,3</w:t>
            </w:r>
          </w:p>
        </w:tc>
        <w:tc>
          <w:tcPr>
            <w:tcW w:type="dxa" w:w="1312"/>
          </w:tcPr>
          <w:p>
            <w:pPr>
              <w:spacing w:after="20" w:line="264" w:lineRule="auto"/>
            </w:pPr>
            <w:r/>
            <w:r>
              <w:rPr>
                <w:rFonts w:ascii="Segoe UI" w:hAnsi="Segoe UI" w:eastAsia="Segoe UI" w:cs="Segoe UI"/>
                <w:color w:val="1F1D1A"/>
                <w:sz w:val="18"/>
              </w:rPr>
              <w:t>36,0</w:t>
            </w:r>
          </w:p>
        </w:tc>
        <w:tc>
          <w:tcPr>
            <w:tcW w:type="dxa" w:w="1312"/>
          </w:tcPr>
          <w:p>
            <w:pPr>
              <w:spacing w:after="20" w:line="264" w:lineRule="auto"/>
            </w:pPr>
            <w:r/>
            <w:r>
              <w:rPr>
                <w:rFonts w:ascii="Segoe UI" w:hAnsi="Segoe UI" w:eastAsia="Segoe UI" w:cs="Segoe UI"/>
                <w:color w:val="1F1D1A"/>
                <w:sz w:val="18"/>
              </w:rPr>
              <w:t>39,4</w:t>
            </w:r>
          </w:p>
        </w:tc>
        <w:tc>
          <w:tcPr>
            <w:tcW w:type="dxa" w:w="1312"/>
          </w:tcPr>
          <w:p>
            <w:pPr>
              <w:spacing w:after="20" w:line="264" w:lineRule="auto"/>
            </w:pPr>
            <w:r/>
            <w:r>
              <w:rPr>
                <w:rFonts w:ascii="Segoe UI" w:hAnsi="Segoe UI" w:eastAsia="Segoe UI" w:cs="Segoe UI"/>
                <w:color w:val="1F1D1A"/>
                <w:sz w:val="18"/>
              </w:rPr>
              <w:t>39,4</w:t>
            </w:r>
          </w:p>
        </w:tc>
        <w:tc>
          <w:tcPr>
            <w:tcW w:type="dxa" w:w="1312"/>
          </w:tcPr>
          <w:p>
            <w:pPr>
              <w:spacing w:after="20" w:line="264" w:lineRule="auto"/>
            </w:pPr>
            <w:r/>
            <w:r>
              <w:rPr>
                <w:rFonts w:ascii="Segoe UI" w:hAnsi="Segoe UI" w:eastAsia="Segoe UI" w:cs="Segoe UI"/>
                <w:color w:val="1F1D1A"/>
                <w:sz w:val="18"/>
              </w:rPr>
              <w:t>42,2</w:t>
            </w:r>
          </w:p>
        </w:tc>
        <w:tc>
          <w:tcPr>
            <w:tcW w:type="dxa" w:w="1312"/>
          </w:tcPr>
          <w:p>
            <w:pPr>
              <w:spacing w:after="20" w:line="264" w:lineRule="auto"/>
            </w:pPr>
            <w:r/>
            <w:r>
              <w:rPr>
                <w:rFonts w:ascii="Segoe UI" w:hAnsi="Segoe UI" w:eastAsia="Segoe UI" w:cs="Segoe UI"/>
                <w:color w:val="1F1D1A"/>
                <w:sz w:val="18"/>
              </w:rPr>
              <w:t>57,8</w:t>
            </w:r>
          </w:p>
        </w:tc>
      </w:tr>
      <w:tr>
        <w:tc>
          <w:tcPr>
            <w:tcW w:type="dxa" w:w="1312"/>
          </w:tcPr>
          <w:p>
            <w:pPr>
              <w:spacing w:after="20" w:line="264" w:lineRule="auto"/>
            </w:pPr>
            <w:r/>
            <w:r>
              <w:rPr>
                <w:rFonts w:ascii="Segoe UI" w:hAnsi="Segoe UI" w:eastAsia="Segoe UI" w:cs="Segoe UI"/>
                <w:color w:val="1F1D1A"/>
                <w:sz w:val="18"/>
              </w:rPr>
              <w:t>Autónomo con sociedad, retribución de 30.237 € y el resto en dividendos</w:t>
            </w:r>
          </w:p>
        </w:tc>
        <w:tc>
          <w:tcPr>
            <w:tcW w:type="dxa" w:w="1312"/>
          </w:tcPr>
          <w:p>
            <w:pPr>
              <w:spacing w:after="20" w:line="264" w:lineRule="auto"/>
            </w:pPr>
            <w:r/>
            <w:r>
              <w:rPr>
                <w:rFonts w:ascii="Segoe UI" w:hAnsi="Segoe UI" w:eastAsia="Segoe UI" w:cs="Segoe UI"/>
                <w:color w:val="1F1D1A"/>
                <w:sz w:val="18"/>
              </w:rPr>
              <w:t>27,5</w:t>
            </w:r>
          </w:p>
        </w:tc>
        <w:tc>
          <w:tcPr>
            <w:tcW w:type="dxa" w:w="1312"/>
          </w:tcPr>
          <w:p>
            <w:pPr>
              <w:spacing w:after="20" w:line="264" w:lineRule="auto"/>
            </w:pPr>
            <w:r/>
            <w:r>
              <w:rPr>
                <w:rFonts w:ascii="Segoe UI" w:hAnsi="Segoe UI" w:eastAsia="Segoe UI" w:cs="Segoe UI"/>
                <w:color w:val="1F1D1A"/>
                <w:sz w:val="18"/>
              </w:rPr>
              <w:t>32,1</w:t>
            </w:r>
          </w:p>
        </w:tc>
        <w:tc>
          <w:tcPr>
            <w:tcW w:type="dxa" w:w="1312"/>
          </w:tcPr>
          <w:p>
            <w:pPr>
              <w:spacing w:after="20" w:line="264" w:lineRule="auto"/>
            </w:pPr>
            <w:r/>
            <w:r>
              <w:rPr>
                <w:rFonts w:ascii="Segoe UI" w:hAnsi="Segoe UI" w:eastAsia="Segoe UI" w:cs="Segoe UI"/>
                <w:color w:val="1F1D1A"/>
                <w:sz w:val="18"/>
              </w:rPr>
              <w:t>35,5</w:t>
            </w:r>
          </w:p>
        </w:tc>
        <w:tc>
          <w:tcPr>
            <w:tcW w:type="dxa" w:w="1312"/>
          </w:tcPr>
          <w:p>
            <w:pPr>
              <w:spacing w:after="20" w:line="264" w:lineRule="auto"/>
            </w:pPr>
            <w:r/>
            <w:r>
              <w:rPr>
                <w:rFonts w:ascii="Segoe UI" w:hAnsi="Segoe UI" w:eastAsia="Segoe UI" w:cs="Segoe UI"/>
                <w:color w:val="1F1D1A"/>
                <w:sz w:val="18"/>
              </w:rPr>
              <w:t>40,0</w:t>
            </w:r>
          </w:p>
        </w:tc>
        <w:tc>
          <w:tcPr>
            <w:tcW w:type="dxa" w:w="1312"/>
          </w:tcPr>
          <w:p>
            <w:pPr>
              <w:spacing w:after="20" w:line="264" w:lineRule="auto"/>
            </w:pPr>
            <w:r/>
            <w:r>
              <w:rPr>
                <w:rFonts w:ascii="Segoe UI" w:hAnsi="Segoe UI" w:eastAsia="Segoe UI" w:cs="Segoe UI"/>
                <w:color w:val="1F1D1A"/>
                <w:sz w:val="18"/>
              </w:rPr>
              <w:t>42,8</w:t>
            </w:r>
          </w:p>
        </w:tc>
        <w:tc>
          <w:tcPr>
            <w:tcW w:type="dxa" w:w="1312"/>
          </w:tcPr>
          <w:p>
            <w:pPr>
              <w:spacing w:after="20" w:line="264" w:lineRule="auto"/>
            </w:pPr>
            <w:r/>
            <w:r>
              <w:rPr>
                <w:rFonts w:ascii="Segoe UI" w:hAnsi="Segoe UI" w:eastAsia="Segoe UI" w:cs="Segoe UI"/>
                <w:color w:val="1F1D1A"/>
                <w:sz w:val="18"/>
              </w:rPr>
              <w:t>57,2</w:t>
            </w:r>
          </w:p>
        </w:tc>
      </w:tr>
      <w:tr>
        <w:tc>
          <w:tcPr>
            <w:tcW w:type="dxa" w:w="1312"/>
          </w:tcPr>
          <w:p>
            <w:pPr>
              <w:spacing w:after="20" w:line="264" w:lineRule="auto"/>
            </w:pPr>
            <w:r/>
            <w:r>
              <w:rPr>
                <w:rFonts w:ascii="Segoe UI" w:hAnsi="Segoe UI" w:eastAsia="Segoe UI" w:cs="Segoe UI"/>
                <w:color w:val="1F1D1A"/>
                <w:sz w:val="18"/>
              </w:rPr>
              <w:t>Autónomo con sociedad, retribución de 14.000 € y el resto en dividendos</w:t>
            </w:r>
          </w:p>
        </w:tc>
        <w:tc>
          <w:tcPr>
            <w:tcW w:type="dxa" w:w="1312"/>
          </w:tcPr>
          <w:p>
            <w:pPr>
              <w:spacing w:after="20" w:line="264" w:lineRule="auto"/>
            </w:pPr>
            <w:r/>
            <w:r>
              <w:rPr>
                <w:rFonts w:ascii="Segoe UI" w:hAnsi="Segoe UI" w:eastAsia="Segoe UI" w:cs="Segoe UI"/>
                <w:color w:val="1F1D1A"/>
                <w:sz w:val="18"/>
              </w:rPr>
              <w:t>24,9</w:t>
            </w:r>
          </w:p>
        </w:tc>
        <w:tc>
          <w:tcPr>
            <w:tcW w:type="dxa" w:w="1312"/>
          </w:tcPr>
          <w:p>
            <w:pPr>
              <w:spacing w:after="20" w:line="264" w:lineRule="auto"/>
            </w:pPr>
            <w:r/>
            <w:r>
              <w:rPr>
                <w:rFonts w:ascii="Segoe UI" w:hAnsi="Segoe UI" w:eastAsia="Segoe UI" w:cs="Segoe UI"/>
                <w:color w:val="1F1D1A"/>
                <w:sz w:val="18"/>
              </w:rPr>
              <w:t>29,2</w:t>
            </w:r>
          </w:p>
        </w:tc>
        <w:tc>
          <w:tcPr>
            <w:tcW w:type="dxa" w:w="1312"/>
          </w:tcPr>
          <w:p>
            <w:pPr>
              <w:spacing w:after="20" w:line="264" w:lineRule="auto"/>
            </w:pPr>
            <w:r/>
            <w:r>
              <w:rPr>
                <w:rFonts w:ascii="Segoe UI" w:hAnsi="Segoe UI" w:eastAsia="Segoe UI" w:cs="Segoe UI"/>
                <w:color w:val="1F1D1A"/>
                <w:sz w:val="18"/>
              </w:rPr>
              <w:t>32,6</w:t>
            </w:r>
          </w:p>
        </w:tc>
        <w:tc>
          <w:tcPr>
            <w:tcW w:type="dxa" w:w="1312"/>
          </w:tcPr>
          <w:p>
            <w:pPr>
              <w:spacing w:after="20" w:line="264" w:lineRule="auto"/>
            </w:pPr>
            <w:r/>
            <w:r>
              <w:rPr>
                <w:rFonts w:ascii="Segoe UI" w:hAnsi="Segoe UI" w:eastAsia="Segoe UI" w:cs="Segoe UI"/>
                <w:color w:val="1F1D1A"/>
                <w:sz w:val="18"/>
              </w:rPr>
              <w:t>44,9</w:t>
            </w:r>
          </w:p>
        </w:tc>
        <w:tc>
          <w:tcPr>
            <w:tcW w:type="dxa" w:w="1312"/>
          </w:tcPr>
          <w:p>
            <w:pPr>
              <w:spacing w:after="20" w:line="264" w:lineRule="auto"/>
            </w:pPr>
            <w:r/>
            <w:r>
              <w:rPr>
                <w:rFonts w:ascii="Segoe UI" w:hAnsi="Segoe UI" w:eastAsia="Segoe UI" w:cs="Segoe UI"/>
                <w:color w:val="1F1D1A"/>
                <w:sz w:val="18"/>
              </w:rPr>
              <w:t>47,7</w:t>
            </w:r>
          </w:p>
        </w:tc>
        <w:tc>
          <w:tcPr>
            <w:tcW w:type="dxa" w:w="1312"/>
          </w:tcPr>
          <w:p>
            <w:pPr>
              <w:spacing w:after="20" w:line="264" w:lineRule="auto"/>
            </w:pPr>
            <w:r/>
            <w:r>
              <w:rPr>
                <w:rFonts w:ascii="Segoe UI" w:hAnsi="Segoe UI" w:eastAsia="Segoe UI" w:cs="Segoe UI"/>
                <w:color w:val="1F1D1A"/>
                <w:sz w:val="18"/>
              </w:rPr>
              <w:t>52,3</w:t>
            </w:r>
          </w:p>
        </w:tc>
      </w:tr>
      <w:tr>
        <w:tc>
          <w:tcPr>
            <w:tcW w:type="dxa" w:w="1312"/>
          </w:tcPr>
          <w:p>
            <w:pPr>
              <w:spacing w:after="20" w:line="264" w:lineRule="auto"/>
            </w:pPr>
            <w:r/>
            <w:r>
              <w:rPr>
                <w:rFonts w:ascii="Segoe UI" w:hAnsi="Segoe UI" w:eastAsia="Segoe UI" w:cs="Segoe UI"/>
                <w:color w:val="1F1D1A"/>
                <w:sz w:val="18"/>
              </w:rPr>
              <w:t>Asalariado privado con el mismo bruto que la media de las administraciones (34.482 €; coste laboral de 45.023 €)</w:t>
            </w:r>
          </w:p>
        </w:tc>
        <w:tc>
          <w:tcPr>
            <w:tcW w:type="dxa" w:w="1312"/>
          </w:tcPr>
          <w:p>
            <w:pPr>
              <w:spacing w:after="20" w:line="264" w:lineRule="auto"/>
            </w:pPr>
            <w:r/>
            <w:r>
              <w:rPr>
                <w:rFonts w:ascii="Segoe UI" w:hAnsi="Segoe UI" w:eastAsia="Segoe UI" w:cs="Segoe UI"/>
                <w:color w:val="1F1D1A"/>
                <w:sz w:val="18"/>
              </w:rPr>
              <w:t>42,1</w:t>
            </w:r>
          </w:p>
        </w:tc>
        <w:tc>
          <w:tcPr>
            <w:tcW w:type="dxa" w:w="1312"/>
          </w:tcPr>
          <w:p>
            <w:pPr>
              <w:spacing w:after="20" w:line="264" w:lineRule="auto"/>
            </w:pPr>
            <w:r/>
            <w:r>
              <w:rPr>
                <w:rFonts w:ascii="Segoe UI" w:hAnsi="Segoe UI" w:eastAsia="Segoe UI" w:cs="Segoe UI"/>
                <w:color w:val="1F1D1A"/>
                <w:sz w:val="18"/>
              </w:rPr>
              <w:t>46,1</w:t>
            </w:r>
          </w:p>
        </w:tc>
        <w:tc>
          <w:tcPr>
            <w:tcW w:type="dxa" w:w="1312"/>
          </w:tcPr>
          <w:p>
            <w:pPr>
              <w:spacing w:after="20" w:line="264" w:lineRule="auto"/>
            </w:pPr>
            <w:r/>
            <w:r>
              <w:rPr>
                <w:rFonts w:ascii="Segoe UI" w:hAnsi="Segoe UI" w:eastAsia="Segoe UI" w:cs="Segoe UI"/>
                <w:color w:val="1F1D1A"/>
                <w:sz w:val="18"/>
              </w:rPr>
              <w:t>49,1</w:t>
            </w:r>
          </w:p>
        </w:tc>
        <w:tc>
          <w:tcPr>
            <w:tcW w:type="dxa" w:w="1312"/>
          </w:tcPr>
          <w:p>
            <w:pPr>
              <w:spacing w:after="20" w:line="264" w:lineRule="auto"/>
            </w:pPr>
            <w:r/>
            <w:r>
              <w:rPr>
                <w:rFonts w:ascii="Segoe UI" w:hAnsi="Segoe UI" w:eastAsia="Segoe UI" w:cs="Segoe UI"/>
                <w:color w:val="1F1D1A"/>
                <w:sz w:val="18"/>
              </w:rPr>
              <w:t>51,1</w:t>
            </w:r>
          </w:p>
        </w:tc>
        <w:tc>
          <w:tcPr>
            <w:tcW w:type="dxa" w:w="1312"/>
          </w:tcPr>
          <w:p>
            <w:pPr>
              <w:spacing w:after="20" w:line="264" w:lineRule="auto"/>
            </w:pPr>
            <w:r/>
            <w:r>
              <w:rPr>
                <w:rFonts w:ascii="Segoe UI" w:hAnsi="Segoe UI" w:eastAsia="Segoe UI" w:cs="Segoe UI"/>
                <w:color w:val="1F1D1A"/>
                <w:sz w:val="18"/>
              </w:rPr>
              <w:t>53,6</w:t>
            </w:r>
          </w:p>
        </w:tc>
        <w:tc>
          <w:tcPr>
            <w:tcW w:type="dxa" w:w="1312"/>
          </w:tcPr>
          <w:p>
            <w:pPr>
              <w:spacing w:after="20" w:line="264" w:lineRule="auto"/>
            </w:pPr>
            <w:r/>
            <w:r>
              <w:rPr>
                <w:rFonts w:ascii="Segoe UI" w:hAnsi="Segoe UI" w:eastAsia="Segoe UI" w:cs="Segoe UI"/>
                <w:color w:val="1F1D1A"/>
                <w:sz w:val="18"/>
              </w:rPr>
              <w:t>46,4</w:t>
            </w:r>
          </w:p>
        </w:tc>
      </w:tr>
      <w:tr>
        <w:tc>
          <w:tcPr>
            <w:tcW w:type="dxa" w:w="1312"/>
          </w:tcPr>
          <w:p>
            <w:pPr>
              <w:spacing w:after="20" w:line="264" w:lineRule="auto"/>
            </w:pPr>
            <w:r/>
            <w:r>
              <w:rPr>
                <w:rFonts w:ascii="Segoe UI" w:hAnsi="Segoe UI" w:eastAsia="Segoe UI" w:cs="Segoe UI"/>
                <w:color w:val="1F1D1A"/>
                <w:sz w:val="18"/>
              </w:rPr>
              <w:t>Funcionario de carrera del Régimen General, con ingreso desde 2011 (coste laboral de 43.447 €)</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43,3</w:t>
            </w:r>
          </w:p>
        </w:tc>
        <w:tc>
          <w:tcPr>
            <w:tcW w:type="dxa" w:w="1312"/>
          </w:tcPr>
          <w:p>
            <w:pPr>
              <w:spacing w:after="20" w:line="264" w:lineRule="auto"/>
            </w:pPr>
            <w:r/>
            <w:r>
              <w:rPr>
                <w:rFonts w:ascii="Segoe UI" w:hAnsi="Segoe UI" w:eastAsia="Segoe UI" w:cs="Segoe UI"/>
                <w:color w:val="1F1D1A"/>
                <w:sz w:val="18"/>
              </w:rPr>
              <w:t>46,4</w:t>
            </w:r>
          </w:p>
        </w:tc>
        <w:tc>
          <w:tcPr>
            <w:tcW w:type="dxa" w:w="1312"/>
          </w:tcPr>
          <w:p>
            <w:pPr>
              <w:spacing w:after="20" w:line="264" w:lineRule="auto"/>
            </w:pPr>
            <w:r/>
            <w:r>
              <w:rPr>
                <w:rFonts w:ascii="Segoe UI" w:hAnsi="Segoe UI" w:eastAsia="Segoe UI" w:cs="Segoe UI"/>
                <w:color w:val="1F1D1A"/>
                <w:sz w:val="18"/>
              </w:rPr>
              <w:t>48,5</w:t>
            </w:r>
          </w:p>
        </w:tc>
        <w:tc>
          <w:tcPr>
            <w:tcW w:type="dxa" w:w="1312"/>
          </w:tcPr>
          <w:p>
            <w:pPr>
              <w:spacing w:after="20" w:line="264" w:lineRule="auto"/>
            </w:pPr>
            <w:r/>
            <w:r>
              <w:rPr>
                <w:rFonts w:ascii="Segoe UI" w:hAnsi="Segoe UI" w:eastAsia="Segoe UI" w:cs="Segoe UI"/>
                <w:color w:val="1F1D1A"/>
                <w:sz w:val="18"/>
              </w:rPr>
              <w:t>51,1</w:t>
            </w:r>
          </w:p>
        </w:tc>
        <w:tc>
          <w:tcPr>
            <w:tcW w:type="dxa" w:w="1312"/>
          </w:tcPr>
          <w:p>
            <w:pPr>
              <w:spacing w:after="20" w:line="264" w:lineRule="auto"/>
            </w:pPr>
            <w:r/>
            <w:r>
              <w:rPr>
                <w:rFonts w:ascii="Segoe UI" w:hAnsi="Segoe UI" w:eastAsia="Segoe UI" w:cs="Segoe UI"/>
                <w:color w:val="1F1D1A"/>
                <w:sz w:val="18"/>
              </w:rPr>
              <w:t>48,9</w:t>
            </w:r>
          </w:p>
        </w:tc>
      </w:tr>
      <w:tr>
        <w:tc>
          <w:tcPr>
            <w:tcW w:type="dxa" w:w="1312"/>
          </w:tcPr>
          <w:p>
            <w:pPr>
              <w:spacing w:after="20" w:line="264" w:lineRule="auto"/>
            </w:pPr>
            <w:r/>
            <w:r>
              <w:rPr>
                <w:rFonts w:ascii="Segoe UI" w:hAnsi="Segoe UI" w:eastAsia="Segoe UI" w:cs="Segoe UI"/>
                <w:color w:val="1F1D1A"/>
                <w:sz w:val="18"/>
              </w:rPr>
              <w:t>Funcionario de Clases Pasivas, con ingreso hasta 2010 (coste para el Estado de 35.864 €)</w:t>
            </w:r>
          </w:p>
        </w:tc>
        <w:tc>
          <w:tcPr>
            <w:tcW w:type="dxa" w:w="1312"/>
          </w:tcPr>
          <w:p>
            <w:pPr>
              <w:spacing w:after="20" w:line="264" w:lineRule="auto"/>
            </w:pPr>
            <w:r/>
            <w:r>
              <w:rPr>
                <w:rFonts w:ascii="Segoe UI" w:hAnsi="Segoe UI" w:eastAsia="Segoe UI" w:cs="Segoe UI"/>
                <w:color w:val="1F1D1A"/>
                <w:sz w:val="18"/>
              </w:rPr>
              <w:t>26,6</w:t>
            </w:r>
          </w:p>
        </w:tc>
        <w:tc>
          <w:tcPr>
            <w:tcW w:type="dxa" w:w="1312"/>
          </w:tcPr>
          <w:p>
            <w:pPr>
              <w:spacing w:after="20" w:line="264" w:lineRule="auto"/>
            </w:pPr>
            <w:r/>
            <w:r>
              <w:rPr>
                <w:rFonts w:ascii="Segoe UI" w:hAnsi="Segoe UI" w:eastAsia="Segoe UI" w:cs="Segoe UI"/>
                <w:color w:val="1F1D1A"/>
                <w:sz w:val="18"/>
              </w:rPr>
              <w:t>31,6</w:t>
            </w:r>
          </w:p>
        </w:tc>
        <w:tc>
          <w:tcPr>
            <w:tcW w:type="dxa" w:w="1312"/>
          </w:tcPr>
          <w:p>
            <w:pPr>
              <w:spacing w:after="20" w:line="264" w:lineRule="auto"/>
            </w:pPr>
            <w:r/>
            <w:r>
              <w:rPr>
                <w:rFonts w:ascii="Segoe UI" w:hAnsi="Segoe UI" w:eastAsia="Segoe UI" w:cs="Segoe UI"/>
                <w:color w:val="1F1D1A"/>
                <w:sz w:val="18"/>
              </w:rPr>
              <w:t>35,4</w:t>
            </w:r>
          </w:p>
        </w:tc>
        <w:tc>
          <w:tcPr>
            <w:tcW w:type="dxa" w:w="1312"/>
          </w:tcPr>
          <w:p>
            <w:pPr>
              <w:spacing w:after="20" w:line="264" w:lineRule="auto"/>
            </w:pPr>
            <w:r/>
            <w:r>
              <w:rPr>
                <w:rFonts w:ascii="Segoe UI" w:hAnsi="Segoe UI" w:eastAsia="Segoe UI" w:cs="Segoe UI"/>
                <w:color w:val="1F1D1A"/>
                <w:sz w:val="18"/>
              </w:rPr>
              <w:t>38,0</w:t>
            </w:r>
          </w:p>
        </w:tc>
        <w:tc>
          <w:tcPr>
            <w:tcW w:type="dxa" w:w="1312"/>
          </w:tcPr>
          <w:p>
            <w:pPr>
              <w:spacing w:after="20" w:line="264" w:lineRule="auto"/>
            </w:pPr>
            <w:r/>
            <w:r>
              <w:rPr>
                <w:rFonts w:ascii="Segoe UI" w:hAnsi="Segoe UI" w:eastAsia="Segoe UI" w:cs="Segoe UI"/>
                <w:color w:val="1F1D1A"/>
                <w:sz w:val="18"/>
              </w:rPr>
              <w:t>41,1</w:t>
            </w:r>
          </w:p>
        </w:tc>
        <w:tc>
          <w:tcPr>
            <w:tcW w:type="dxa" w:w="1312"/>
          </w:tcPr>
          <w:p>
            <w:pPr>
              <w:spacing w:after="20" w:line="264" w:lineRule="auto"/>
            </w:pPr>
            <w:r/>
            <w:r>
              <w:rPr>
                <w:rFonts w:ascii="Segoe UI" w:hAnsi="Segoe UI" w:eastAsia="Segoe UI" w:cs="Segoe UI"/>
                <w:color w:val="1F1D1A"/>
                <w:sz w:val="18"/>
              </w:rPr>
              <w:t>58,9</w:t>
            </w:r>
          </w:p>
        </w:tc>
      </w:tr>
    </w:tbl>
    <w:p>
      <w:pPr>
        <w:spacing w:after="80"/>
      </w:pPr>
    </w:p>
    <w:p>
      <w:r>
        <w:t>[21.00-4.9; 21.00-4.10; 21.00-4.11; 21.00-4.12; 21.00-4.13; 21.00-4.14; 21.00-9.7; 21.00-9.8; 21.00-9.9, con las erratas del 07: 46,9, 48,9, 51,1, 53,2 y 27,5]</w:t>
      </w:r>
    </w:p>
    <w:p>
      <w:r>
        <w:t>Notas al cuadro:</w:t>
      </w:r>
    </w:p>
    <w:p>
      <w:pPr>
        <w:pStyle w:val="ListBullet"/>
      </w:pPr>
      <w:r>
        <w:rPr>
          <w:i/>
        </w:rPr>
        <w:t>Autónomo sin sociedad.</w:t>
      </w:r>
      <w:r>
        <w:t xml:space="preserve"> Con la base mínima paga menos hoy, pero su pensión se calculará sobre una base menor, y el cuadro no mide esa diferencia. El cálculo usa el tipo de 31,50 % de la Orden de cotización de 2026 (</w:t>
      </w:r>
      <w:r>
        <w:t>8.4</w:t>
      </w:r>
      <w:r>
        <w:t xml:space="preserve">). </w:t>
      </w:r>
      <w:r>
        <w:t>[21.00-4.10]</w:t>
      </w:r>
    </w:p>
    <w:p>
      <w:pPr>
        <w:pStyle w:val="ListBullet"/>
      </w:pPr>
      <w:r>
        <w:rPr>
          <w:i/>
        </w:rPr>
        <w:t>Autónomo con sociedad.</w:t>
      </w:r>
      <w:r>
        <w:t xml:space="preserve"> La capa 4 es el Impuesto de Sociedades real de la sociedad, no una hipótesis; por eso no es comparable capa a capa con los demás perfiles. </w:t>
      </w:r>
      <w:r>
        <w:t>[21.00-4.11]</w:t>
      </w:r>
    </w:p>
    <w:p>
      <w:pPr>
        <w:pStyle w:val="ListBullet"/>
      </w:pPr>
      <w:r>
        <w:rPr>
          <w:i/>
        </w:rPr>
        <w:t>Por cada 100 euros de salario bruto,</w:t>
      </w:r>
      <w:r>
        <w:t xml:space="preserve"> el asalariado con el bruto medio de las administraciones cuesta a su empresa 130,6; el funcionario de carrera del Régimen General, 126,0; y el de Clases Pasivas, al Estado, 104,0. </w:t>
      </w:r>
      <w:r>
        <w:t>[21.00-4.12; 21.00-4.13; 21.00-4.14; 21.00-9.7; 21.00-9.8; 21.00-9.9]</w:t>
      </w:r>
    </w:p>
    <w:p>
      <w:r>
        <w:rPr>
          <w:b/>
        </w:rPr>
        <w:t>Cómo leer la diferencia con el funcionario.</w:t>
      </w:r>
      <w:r>
        <w:t xml:space="preserve"> Con el mismo bruto, el IRPF, el IVA y las demás capas son las mismas: solo cambia la cotización social. Entre las personas protegidas por desempleo no figuran los funcionarios de carrera</w:t>
      </w:r>
      <w:r>
        <w:t xml:space="preserve"> (Ley General de la Seguridad Social, art. 264.1; lectura de la obra del texto)</w:t>
      </w:r>
      <w:r>
        <w:t>. La Orden PJC/297/2026 es coherente con ello: los reservistas voluntarios cotizan por desempleo «salvo cuando sean funcionarios de carrera»</w:t>
      </w:r>
      <w:r>
        <w:t xml:space="preserve"> (Orden PJC/297/2026, art. 33.2.a), 10.º)</w:t>
      </w:r>
      <w:r>
        <w:br/>
      </w:r>
      <w:r>
        <w:rPr>
          <w:b/>
        </w:rPr>
        <w:t>leída en su fuente · Orden PJC/297/2026, art. 33.2.a), 10.º</w:t>
      </w:r>
      <w:r>
        <w:br/>
      </w:r>
      <w:r>
        <w:rPr>
          <w:b/>
        </w:rPr>
        <w:t>Archivo leído:</w:t>
      </w:r>
      <w:r>
        <w:t xml:space="preserve"> 8.4_03_Orden_PJC_297_2026_BOE-A-2026-7296.txt (ya estaba) (c8b\8.4_03_Orden_PJC_297_2026_BOE-A-2026-7296.pdf) · contraste del archivo de pasajes: ✔</w:t>
      </w:r>
      <w:r>
        <w:br/>
      </w:r>
      <w:r>
        <w:rPr>
          <w:b/>
        </w:rPr>
        <w:t>Dirección:</w:t>
      </w:r>
      <w:r>
        <w:t xml:space="preserve"> </w:t>
      </w:r>
      <w:r>
        <w:t>https://www.boe.es/buscar/act.php?id=BOE-A-2026-7296</w:t>
      </w:r>
      <w:r>
        <w:br/>
      </w:r>
      <w:r>
        <w:rPr>
          <w:b/>
        </w:rPr>
        <w:t>Tal como está en la fuente:</w:t>
      </w:r>
      <w:r>
        <w:t xml:space="preserve"> Los reservistas voluntarios, salvo cuando sean funcionarios de carrera</w:t>
      </w:r>
      <w:r>
        <w:t>. Eso explica unos 2,5 puntos de diferencia sobre el coste (51,1 % frente a 53,6 %), y es una diferencia de cobertura —el funcionario de carrera no tiene protección por desempleo—, no de «pagar menos impuestos». El funcionario de Clases Pasivas aparece con una carga mucho menor porque el Estado no paga cotización de empleador por su pensión: esa pensión sale del Presupuesto (</w:t>
      </w:r>
      <w:r>
        <w:t>C.5</w:t>
      </w:r>
      <w:r>
        <w:t xml:space="preserve">). El cuadro mide lo que el funcionario y su empleador aportan, no lo que costará pagar su pensión ni si lo aportado alcanza. </w:t>
      </w:r>
      <w:r>
        <w:t>[21.00-4.15; 21.00-9.10]</w:t>
      </w:r>
    </w:p>
    <w:p>
      <w:r>
        <w:rPr>
          <w:b/>
        </w:rPr>
        <w:t>Lo que el cuadro no mide.</w:t>
      </w:r>
      <w:r>
        <w:t xml:space="preserve"> No mide lo recibido —pensión, sanidad, estabilidad, protección por desempleo—; el bruto de los funcionarios es la media de todas las administraciones, no la de una categoría; los tipos de 2026 de la mutualidad y de los derechos pasivos no están verificados, y se usan los de la Ley 31/2022; la escala autonómica del IRPF se supone igual a la estatal y no se aplican deducciones; y los pagos a gestores, abogados, arquitectos e ingenieros siguen fuera de las capas, porque no son impuestos (</w:t>
      </w:r>
      <w:r>
        <w:t>8.4</w:t>
      </w:r>
      <w:r>
        <w:t xml:space="preserve">). </w:t>
      </w:r>
      <w:r>
        <w:t>[21.00-4.16]</w:t>
      </w:r>
    </w:p>
    <w:p>
      <w:r>
        <w:t xml:space="preserve">Lo que cuestan las nóminas públicas, las pensiones de cada régimen, la jubilación y el despido de cada colectivo y los cargos políticos está en el </w:t>
      </w:r>
      <w:r>
        <w:t>anexo C</w:t>
      </w:r>
      <w:r>
        <w:t xml:space="preserve">, y su lectura de conjunto, en </w:t>
      </w:r>
      <w:r>
        <w:t>8.6</w:t>
      </w:r>
      <w:r>
        <w:t xml:space="preserve">. </w:t>
      </w:r>
      <w:r>
        <w:t>[21.00-4.17; 21.00-4.18]</w:t>
      </w:r>
    </w:p>
    <w:p>
      <w:pPr>
        <w:pStyle w:val="Heading2"/>
      </w:pPr>
      <w:r>
        <w:t>B.4 Qué está dentro de las capas, y qué no</w:t>
      </w:r>
    </w:p>
    <w:p>
      <w:pPr>
        <w:pBdr>
          <w:left w:val="single" w:sz="24" w:space="6" w:color="E2DED6"/>
        </w:pBdr>
        <w:shd w:val="clear" w:color="auto" w:fill="F1EEE8"/>
        <w:spacing w:before="80" w:after="160"/>
        <w:ind w:left="142" w:right="142"/>
      </w:pPr>
      <w:r>
        <w:rPr>
          <w:b/>
        </w:rPr>
        <w:t>La idea: antes de sumar nada hay que saber qué impuestos están ya contados; sumar una factura entera con su impuesto sería contar dos veces lo mismo.</w:t>
      </w:r>
    </w:p>
    <w:p>
      <w:r>
        <w:rPr>
          <w:b/>
        </w:rPr>
        <w:t>Lo que contiene cada capa.</w:t>
      </w:r>
      <w:r>
        <w:t xml:space="preserve"> El Impuestómetro del Instituto Juan de Mariana, un estudio privado, parte de «la incidencia de las principales figuras recaudatorias» —las cotizaciones sociales, el IRPF y el IVA— y les suma después, como capas sucesivas, los tributos municipales (el IBI entre ellos) y los impuestos especiales</w:t>
      </w:r>
      <w:r>
        <w:t xml:space="preserve"> (Instituto Juan de Mariana, Impuestómetro 2026, Anexo 1)</w:t>
      </w:r>
      <w:r>
        <w:t xml:space="preserve">. Los 705 euros municipales son el IBI, el impuesto de vehículos (IVTM), el de construcciones (ICIO), la plusvalía municipal y el de actividades económicas (IAE); y los 649 de impuestos especiales, 470 de hidrocarburos y 179 de otros, salen de la Encuesta de Presupuestos Familiares del INE. Por eso las facturas completas de esos consumos, con su impuesto ya incluido, no se suman a las capas. </w:t>
      </w:r>
      <w:r>
        <w:t>[21.00-10.1; 21.00-10.2]</w:t>
      </w:r>
    </w:p>
    <w:p>
      <w:r>
        <w:t>Con la electricidad pasa lo mismo: el impuesto especial es del 5,11269632 % sobre la base</w:t>
      </w:r>
      <w:r>
        <w:t xml:space="preserve"> (Ley 38/1992, art. 99.1)</w:t>
      </w:r>
      <w:r>
        <w:t xml:space="preserve">, y está dentro de los impuestos especiales de la capa 3. Cuánto pesa el de los hidrocarburos en el precio de la gasolina y qué tipos de IVA llevan la luz, la gasolina y el agua no se han leído en su fuente: no entran todavía. </w:t>
      </w:r>
      <w:r>
        <w:t>[21.00-10.2]</w:t>
      </w:r>
    </w:p>
    <w:p>
      <w:r>
        <w:rPr>
          <w:b/>
        </w:rPr>
        <w:t>El IVA de la vida cotidiana.</w:t>
      </w:r>
      <w:r>
        <w:t xml:space="preserve"> No está solo el de la luz y el agua: es la parte principal de la capa del IVA. La recaudación de IVA sobre el consumo de los hogares fue de 61.289 millones de euros en 2022</w:t>
      </w:r>
      <w:r>
        <w:t xml:space="preserve"> (Fedea)</w:t>
      </w:r>
      <w:r>
        <w:t>. Añadirlo aparte, encima de las capas, sería duplicar. Los tipos: el 21 % el general (art. 90); el 10 % la hostelería y los alimentos no básicos y el 4 % el pan, las harinas y la leche (art. 91); y están exentos los alquileres de viviendas «destinados exclusivamente a viviendas» (art. 20.Uno.23.º b)</w:t>
      </w:r>
      <w:r>
        <w:t xml:space="preserve"> (Ley 37/1992, del IVA)</w:t>
      </w:r>
      <w:r>
        <w:br/>
      </w:r>
      <w:r>
        <w:rPr>
          <w:b/>
        </w:rPr>
        <w:t>leída en su fuente · Ley 37/1992, del IVA</w:t>
      </w:r>
      <w:r>
        <w:br/>
      </w:r>
      <w:r>
        <w:rPr>
          <w:b/>
        </w:rPr>
        <w:t>Archivo leído:</w:t>
      </w:r>
      <w:r>
        <w:t xml:space="preserve"> 8.5_17d_Ley_37-1992_IVA_texto_original_BOE-A-1992-28740.html (c8c\8.5_17d_Ley_37-1992_IVA_texto_original_BOE-A-1992-28740.html) · contraste del archivo de pasajes: ✔</w:t>
      </w:r>
      <w:r>
        <w:br/>
      </w:r>
      <w:r>
        <w:rPr>
          <w:b/>
        </w:rPr>
        <w:t>Lugar:</w:t>
      </w:r>
      <w:r>
        <w:t xml:space="preserve"> Ley 37/1992, del IVA</w:t>
      </w:r>
      <w:r>
        <w:br/>
      </w:r>
      <w:r>
        <w:rPr>
          <w:b/>
        </w:rPr>
        <w:t>Tal como está en la fuente:</w:t>
      </w:r>
      <w:r>
        <w:t xml:space="preserve"> destinados exclusivamente a viviendas</w:t>
      </w:r>
      <w:r>
        <w:br/>
      </w:r>
      <w:r>
        <w:rPr>
          <w:b/>
        </w:rPr>
        <w:t>Traducción guardada:</w:t>
      </w:r>
      <w:r>
        <w:t xml:space="preserve"> art. 20.Uno.23.º b</w:t>
      </w:r>
      <w:r>
        <w:t xml:space="preserve">. </w:t>
      </w:r>
      <w:r>
        <w:t>[21.00-10.10]</w:t>
      </w:r>
    </w:p>
    <w:p>
      <w:r>
        <w:rPr>
          <w:b/>
        </w:rPr>
        <w:t>Un contraste, no una medición.</w:t>
      </w:r>
      <w:r>
        <w:t xml:space="preserve"> Con las cuentas nacionales de 2024, el IVA recaudado equivale al 11,6 % del consumo de los hogares y las instituciones sin fines de lucro (102.495 entre 883.785 millones), y los demás impuestos sobre productos, al 5,3 % (46.949 millones)</w:t>
      </w:r>
      <w:r>
        <w:t xml:space="preserve"> (Eurostat, cuentas nacionales)</w:t>
      </w:r>
      <w:r>
        <w:t xml:space="preserve">. Aplicados al gasto de un asalariado medio, esas capas serían mayores y el total llegaría a entre el 56,7 y el 57,9 %. Es un techo y no sustituye a la cifra de </w:t>
      </w:r>
      <w:r>
        <w:t>8.4</w:t>
      </w:r>
      <w:r>
        <w:t>. El cálculo parte de los 23.324 euros que al asalariado del Impuestómetro le quedan tras cotizaciones e IRPF, antes del IVA</w:t>
      </w:r>
      <w:r>
        <w:t xml:space="preserve"> (Instituto Juan de Mariana, Impuestómetro 2026, con datos del Institut économique Molinari)</w:t>
      </w:r>
      <w:r>
        <w:t xml:space="preserve">, y supone, por decisión de la obra, que gasta entre el 88 y el 100 % (de 20.525 a 23.324 euros): ese reparto es un supuesto, no un dato. </w:t>
      </w:r>
      <w:r>
        <w:t>[21.00-3.9]</w:t>
      </w:r>
    </w:p>
    <w:p>
      <w:r>
        <w:rPr>
          <w:b/>
        </w:rPr>
        <w:t>Lo que no está en las capas.</w:t>
      </w:r>
      <w:r>
        <w:t xml:space="preserve"> La nueva tasa de basuras, que ronda los 200 euros por hogar en determinados municipios, según el propio Impuestómetro, que no la suma a la espera de estudios</w:t>
      </w:r>
      <w:r>
        <w:t xml:space="preserve"> (Instituto Juan de Mariana, Impuestómetro 2026)</w:t>
      </w:r>
      <w:r>
        <w:t>; las tasas de ITV y de tráfico; el impuesto de matriculación</w:t>
      </w:r>
      <w:r>
        <w:t xml:space="preserve"> (Ley 38/1992, art. 70, con tipos por epígrafes de emisiones de CO2)</w:t>
      </w:r>
      <w:r>
        <w:t xml:space="preserve">; el impuesto sobre las primas de seguros; el efecto de no deflactar el IRPF, que el informe cuenta como subida encubierta pero no cuantifica en euros; y las tasas y aranceles de notarios y registros. </w:t>
      </w:r>
      <w:r>
        <w:t>[21.00-3.24; 21.00-10.2, con la errata del 07: la tasa de basuras no está contada]</w:t>
      </w:r>
    </w:p>
    <w:p>
      <w:r>
        <w:rPr>
          <w:b/>
        </w:rPr>
        <w:t>Los tributos de la vida diaria, con lo que consta.</w:t>
      </w:r>
      <w:r>
        <w:t xml:space="preserve"> El IBI tiene un tipo mínimo del 0,4 % y máximo del 1,10 % del valor catastral en los inmuebles urbanos</w:t>
      </w:r>
      <w:r>
        <w:t xml:space="preserve"> (Texto refundido de la Ley Reguladora de las Haciendas Locales, art. 72.1)</w:t>
      </w:r>
      <w:r>
        <w:t>. El impuesto sobre vehículos de tracción mecánica tiene una cuota base por caballos fiscales —en turismos, de 12,62 a 112,00 euros— que los ayuntamientos pueden subir con un coeficiente no superior a 2</w:t>
      </w:r>
      <w:r>
        <w:t xml:space="preserve"> (art. 95.1 y 95.4)</w:t>
      </w:r>
      <w:r>
        <w:t xml:space="preserve">; ambos están dentro de los tributos municipales. Del permiso de circulación, las tasas de tráfico, la ITV (cuyas tarifas fijan las comunidades autónomas) y el seguro obligatorio no se han verificado los importes, y no están en las capas: se citan como existentes, sin cifra. </w:t>
      </w:r>
      <w:r>
        <w:t>[21.00-10.3]</w:t>
      </w:r>
    </w:p>
    <w:p>
      <w:r>
        <w:rPr>
          <w:b/>
        </w:rPr>
        <w:t>Los gastos fijos de un hogar medio,</w:t>
      </w:r>
      <w:r>
        <w:t xml:space="preserve"> según la Encuesta de Presupuestos Familiares de 2025 (con impuestos incluidos, por lo que no se suman a las capas): 952 euros al año en agua y otros servicios de la vivienda, 1.255 en electricidad, gas y otros combustibles y 17 en servicios financieros</w:t>
      </w:r>
      <w:r>
        <w:t xml:space="preserve"> (INE, EPF 2025)</w:t>
      </w:r>
      <w:r>
        <w:t xml:space="preserve">. Son medias por hogar, de unas 2,5 personas, no por trabajador (cálculo de la obra con la nota del INE). </w:t>
      </w:r>
      <w:r>
        <w:t>[21.00-10.4]</w:t>
      </w:r>
    </w:p>
    <w:p>
      <w:r>
        <w:rPr>
          <w:b/>
        </w:rPr>
        <w:t>La Seguridad Social y la gestoría.</w:t>
      </w:r>
      <w:r>
        <w:t xml:space="preserve"> Las cotizaciones sociales —la parte del trabajador, el 6,50 %, y la del empresario, el 30,65 %, ya desglosadas en </w:t>
      </w:r>
      <w:r>
        <w:t>8.4</w:t>
      </w:r>
      <w:r>
        <w:t>— están dentro de las capas, así que restarlas otra vez aquí sería duplicar. La gestoría no es un impuesto y no está en ninguna cifra fiscal, pero es un coste característico de quien tiene actividad económica propia (</w:t>
      </w:r>
      <w:r>
        <w:t>8.4</w:t>
      </w:r>
      <w:r>
        <w:t xml:space="preserve">): quien sea autónomo debe tenerla en cuenta aparte. Cuánto cuesta no se ha leído en una fuente oficial: no entra todavía. </w:t>
      </w:r>
      <w:r>
        <w:t>[21.00-10.5]</w:t>
      </w:r>
    </w:p>
    <w:p>
      <w:r>
        <w:t xml:space="preserve">Fuentes: Instituto Juan de Mariana, Impuestómetro (metodología y categorías); Ley 38/1992, arts. 70 y 99; Texto refundido de la Ley Reguladora de las Haciendas Locales, arts. 72 y 95; INE, Encuesta de Presupuestos Familiares 2025; Eurostat, cuentas nacionales; Fedea, brecha del IVA en los hogares españoles. </w:t>
      </w:r>
      <w:r>
        <w:t>[21.00-10.11]</w:t>
      </w:r>
    </w:p>
    <w:p>
      <w:pPr>
        <w:pStyle w:val="Heading2"/>
      </w:pPr>
      <w:r>
        <w:t>B.5 Lo que queda, y lo que se pierde</w:t>
      </w:r>
    </w:p>
    <w:p>
      <w:pPr>
        <w:pBdr>
          <w:left w:val="single" w:sz="24" w:space="6" w:color="E2DED6"/>
        </w:pBdr>
        <w:shd w:val="clear" w:color="auto" w:fill="F1EEE8"/>
        <w:spacing w:before="80" w:after="160"/>
        <w:ind w:left="142" w:right="142"/>
      </w:pPr>
      <w:r>
        <w:rPr>
          <w:b/>
        </w:rPr>
        <w:t>La idea: tras las cinco capas le queda al asalariado medio el 46,4 % de lo que cuesta a su empresa; y lo que conserva se desvaloriza, y se le cobra por guardarlo.</w:t>
      </w:r>
    </w:p>
    <w:p>
      <w:r>
        <w:rPr>
          <w:b/>
        </w:rPr>
        <w:t>Lo que queda, con las dos bases.</w:t>
      </w:r>
      <w:r>
        <w:t xml:space="preserve"> Como en </w:t>
      </w:r>
      <w:r>
        <w:t>8.4</w:t>
      </w:r>
      <w:r>
        <w:t xml:space="preserve">, nunca se compara con 100 lo que suma 130,6. </w:t>
      </w:r>
      <w:r>
        <w:t>[21.00-10.6; 21.00-10.8]</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Euros</w:t>
            </w:r>
          </w:p>
        </w:tc>
        <w:tc>
          <w:tcPr>
            <w:tcW w:type="dxa" w:w="2296"/>
            <w:shd w:val="clear" w:color="auto" w:fill="F1EEE8"/>
          </w:tcPr>
          <w:p>
            <w:pPr>
              <w:spacing w:after="20" w:line="264" w:lineRule="auto"/>
            </w:pPr>
            <w:r>
              <w:rPr>
                <w:b/>
              </w:rPr>
            </w:r>
            <w:r>
              <w:rPr>
                <w:rFonts w:ascii="Segoe UI" w:hAnsi="Segoe UI" w:eastAsia="Segoe UI" w:cs="Segoe UI"/>
                <w:b/>
                <w:color w:val="1F1D1A"/>
                <w:sz w:val="18"/>
              </w:rPr>
              <w:t>Sobre el coste laboral</w:t>
            </w:r>
          </w:p>
        </w:tc>
        <w:tc>
          <w:tcPr>
            <w:tcW w:type="dxa" w:w="2296"/>
            <w:shd w:val="clear" w:color="auto" w:fill="F1EEE8"/>
          </w:tcPr>
          <w:p>
            <w:pPr>
              <w:spacing w:after="20" w:line="264" w:lineRule="auto"/>
            </w:pPr>
            <w:r>
              <w:rPr>
                <w:b/>
              </w:rPr>
            </w:r>
            <w:r>
              <w:rPr>
                <w:rFonts w:ascii="Segoe UI" w:hAnsi="Segoe UI" w:eastAsia="Segoe UI" w:cs="Segoe UI"/>
                <w:b/>
                <w:color w:val="1F1D1A"/>
                <w:sz w:val="18"/>
              </w:rPr>
              <w:t>Por cada 100 € de salario bruto</w:t>
            </w:r>
          </w:p>
        </w:tc>
      </w:tr>
      <w:tr>
        <w:tc>
          <w:tcPr>
            <w:tcW w:type="dxa" w:w="2296"/>
          </w:tcPr>
          <w:p>
            <w:pPr>
              <w:spacing w:after="20" w:line="264" w:lineRule="auto"/>
            </w:pPr>
            <w:r/>
            <w:r>
              <w:rPr>
                <w:rFonts w:ascii="Segoe UI" w:hAnsi="Segoe UI" w:eastAsia="Segoe UI" w:cs="Segoe UI"/>
                <w:color w:val="1F1D1A"/>
                <w:sz w:val="18"/>
              </w:rPr>
              <w:t>Lo que paga la empresa</w:t>
            </w:r>
          </w:p>
        </w:tc>
        <w:tc>
          <w:tcPr>
            <w:tcW w:type="dxa" w:w="2296"/>
          </w:tcPr>
          <w:p>
            <w:pPr>
              <w:spacing w:after="20" w:line="264" w:lineRule="auto"/>
            </w:pPr>
            <w:r/>
            <w:r>
              <w:rPr>
                <w:rFonts w:ascii="Segoe UI" w:hAnsi="Segoe UI" w:eastAsia="Segoe UI" w:cs="Segoe UI"/>
                <w:color w:val="1F1D1A"/>
                <w:sz w:val="18"/>
              </w:rPr>
              <w:t>39.481</w:t>
            </w:r>
          </w:p>
        </w:tc>
        <w:tc>
          <w:tcPr>
            <w:tcW w:type="dxa" w:w="2296"/>
          </w:tcPr>
          <w:p>
            <w:pPr>
              <w:spacing w:after="20" w:line="264" w:lineRule="auto"/>
            </w:pPr>
            <w:r/>
            <w:r>
              <w:rPr>
                <w:rFonts w:ascii="Segoe UI" w:hAnsi="Segoe UI" w:eastAsia="Segoe UI" w:cs="Segoe UI"/>
                <w:color w:val="1F1D1A"/>
                <w:sz w:val="18"/>
              </w:rPr>
              <w:t>100</w:t>
            </w:r>
          </w:p>
        </w:tc>
        <w:tc>
          <w:tcPr>
            <w:tcW w:type="dxa" w:w="2296"/>
          </w:tcPr>
          <w:p>
            <w:pPr>
              <w:spacing w:after="20" w:line="264" w:lineRule="auto"/>
            </w:pPr>
            <w:r/>
            <w:r>
              <w:rPr>
                <w:rFonts w:ascii="Segoe UI" w:hAnsi="Segoe UI" w:eastAsia="Segoe UI" w:cs="Segoe UI"/>
                <w:color w:val="1F1D1A"/>
                <w:sz w:val="18"/>
              </w:rPr>
              <w:t>130,6</w:t>
            </w:r>
          </w:p>
        </w:tc>
      </w:tr>
      <w:tr>
        <w:tc>
          <w:tcPr>
            <w:tcW w:type="dxa" w:w="2296"/>
          </w:tcPr>
          <w:p>
            <w:pPr>
              <w:spacing w:after="20" w:line="264" w:lineRule="auto"/>
            </w:pPr>
            <w:r/>
            <w:r>
              <w:rPr>
                <w:rFonts w:ascii="Segoe UI" w:hAnsi="Segoe UI" w:eastAsia="Segoe UI" w:cs="Segoe UI"/>
                <w:color w:val="1F1D1A"/>
                <w:sz w:val="18"/>
              </w:rPr>
              <w:t>De ello, la carga de las capas 1 a 5</w:t>
            </w:r>
          </w:p>
        </w:tc>
        <w:tc>
          <w:tcPr>
            <w:tcW w:type="dxa" w:w="2296"/>
          </w:tcPr>
          <w:p>
            <w:pPr>
              <w:spacing w:after="20" w:line="264" w:lineRule="auto"/>
            </w:pPr>
            <w:r/>
            <w:r>
              <w:rPr>
                <w:rFonts w:ascii="Segoe UI" w:hAnsi="Segoe UI" w:eastAsia="Segoe UI" w:cs="Segoe UI"/>
                <w:color w:val="1F1D1A"/>
                <w:sz w:val="18"/>
              </w:rPr>
              <w:t>21.144</w:t>
            </w:r>
          </w:p>
        </w:tc>
        <w:tc>
          <w:tcPr>
            <w:tcW w:type="dxa" w:w="2296"/>
          </w:tcPr>
          <w:p>
            <w:pPr>
              <w:spacing w:after="20" w:line="264" w:lineRule="auto"/>
            </w:pPr>
            <w:r/>
            <w:r>
              <w:rPr>
                <w:rFonts w:ascii="Segoe UI" w:hAnsi="Segoe UI" w:eastAsia="Segoe UI" w:cs="Segoe UI"/>
                <w:color w:val="1F1D1A"/>
                <w:sz w:val="18"/>
              </w:rPr>
              <w:t>53,6</w:t>
            </w:r>
          </w:p>
        </w:tc>
        <w:tc>
          <w:tcPr>
            <w:tcW w:type="dxa" w:w="2296"/>
          </w:tcPr>
          <w:p>
            <w:pPr>
              <w:spacing w:after="20" w:line="264" w:lineRule="auto"/>
            </w:pPr>
            <w:r/>
            <w:r>
              <w:rPr>
                <w:rFonts w:ascii="Segoe UI" w:hAnsi="Segoe UI" w:eastAsia="Segoe UI" w:cs="Segoe UI"/>
                <w:color w:val="1F1D1A"/>
                <w:sz w:val="18"/>
              </w:rPr>
              <w:t>69,9</w:t>
            </w:r>
          </w:p>
        </w:tc>
      </w:tr>
      <w:tr>
        <w:tc>
          <w:tcPr>
            <w:tcW w:type="dxa" w:w="2296"/>
          </w:tcPr>
          <w:p>
            <w:pPr>
              <w:spacing w:after="20" w:line="264" w:lineRule="auto"/>
            </w:pPr>
            <w:r/>
            <w:r>
              <w:rPr>
                <w:rFonts w:ascii="Segoe UI" w:hAnsi="Segoe UI" w:eastAsia="Segoe UI" w:cs="Segoe UI"/>
                <w:color w:val="1F1D1A"/>
                <w:sz w:val="18"/>
              </w:rPr>
              <w:t>De ello, lo que queda al trabajador</w:t>
            </w:r>
          </w:p>
        </w:tc>
        <w:tc>
          <w:tcPr>
            <w:tcW w:type="dxa" w:w="2296"/>
          </w:tcPr>
          <w:p>
            <w:pPr>
              <w:spacing w:after="20" w:line="264" w:lineRule="auto"/>
            </w:pPr>
            <w:r/>
            <w:r>
              <w:rPr>
                <w:rFonts w:ascii="Segoe UI" w:hAnsi="Segoe UI" w:eastAsia="Segoe UI" w:cs="Segoe UI"/>
                <w:color w:val="1F1D1A"/>
                <w:sz w:val="18"/>
              </w:rPr>
              <w:t>18.337</w:t>
            </w:r>
          </w:p>
        </w:tc>
        <w:tc>
          <w:tcPr>
            <w:tcW w:type="dxa" w:w="2296"/>
          </w:tcPr>
          <w:p>
            <w:pPr>
              <w:spacing w:after="20" w:line="264" w:lineRule="auto"/>
            </w:pPr>
            <w:r/>
            <w:r>
              <w:rPr>
                <w:rFonts w:ascii="Segoe UI" w:hAnsi="Segoe UI" w:eastAsia="Segoe UI" w:cs="Segoe UI"/>
                <w:color w:val="1F1D1A"/>
                <w:sz w:val="18"/>
              </w:rPr>
              <w:t>46,4</w:t>
            </w:r>
          </w:p>
        </w:tc>
        <w:tc>
          <w:tcPr>
            <w:tcW w:type="dxa" w:w="2296"/>
          </w:tcPr>
          <w:p>
            <w:pPr>
              <w:spacing w:after="20" w:line="264" w:lineRule="auto"/>
            </w:pPr>
            <w:r/>
            <w:r>
              <w:rPr>
                <w:rFonts w:ascii="Segoe UI" w:hAnsi="Segoe UI" w:eastAsia="Segoe UI" w:cs="Segoe UI"/>
                <w:color w:val="1F1D1A"/>
                <w:sz w:val="18"/>
              </w:rPr>
              <w:t>60,6</w:t>
            </w:r>
          </w:p>
        </w:tc>
      </w:tr>
    </w:tbl>
    <w:p>
      <w:pPr>
        <w:spacing w:after="80"/>
      </w:pPr>
    </w:p>
    <w:p>
      <w:r>
        <w:t>Control: sobre el coste laboral, 53,6 y 46,4 suman 100; sobre el bruto de 30.237 euros suman 130,6 (130,5 con los decimales redondeados), porque el bruto no incluye la cotización de la empresa. Un autónomo sin sociedad conserva entre el 47 y el 58 %, según la base de cotización que elija; y uno con sociedad, entre el 52 y el 58 %, según cuánto cobre como retribución y cuánto como dividendos (</w:t>
      </w:r>
      <w:r>
        <w:t>B.3</w:t>
      </w:r>
      <w:r>
        <w:t xml:space="preserve">). Son euros nominales de 2025 y 2026. Los gastos fijos de vivienda y banco no se restan aquí: son costes de un hogar, no de un individuo, y mezclarían dos bases. </w:t>
      </w:r>
      <w:r>
        <w:t>[21.00-10.6; 21.00-10.7; 21.00-10.8]</w:t>
      </w:r>
    </w:p>
    <w:p>
      <w:r>
        <w:rPr>
          <w:b/>
        </w:rPr>
        <w:t>La pérdida de valor de la moneda, en línea aparte,</w:t>
      </w:r>
      <w:r>
        <w:t xml:space="preserve"> porque no es un impuesto y mezclarla con ellos rompería la regla de una sola base. Precios de consumo en España (índice armonizado, media anual, 2015 = 100): 115,95 en 2022, 119,89 en 2023, 123,33 en 2024 y 126,65 en 2025; variaciones del 8,3 %, 3,4 %, 2,9 % y 2,7 %</w:t>
      </w:r>
      <w:r>
        <w:t xml:space="preserve"> (Eurostat, índice armonizado de precios de consumo)</w:t>
      </w:r>
      <w:r>
        <w:t xml:space="preserve">. Entre 2000 y 2025 los precios se multiplicaron por 1,78. Si al asalariado medio le quedan 18.337 euros tras las cinco capas, un año como 2025 resta unos 493 euros de poder adquisitivo a ese dinero, si se conserva sin gastar (el 1,25 % del coste laboral); sumada en línea aparte, la carga más esa devaluación es de 21.637 euros, el 54,8 % del coste laboral (cálculo de la obra). Lo que esta suma no dice: la devaluación solo afecta al dinero que se guarda, no al que se gasta el mismo año; y no incluye la subida del precio de los activos por encima del IPC. </w:t>
      </w:r>
      <w:r>
        <w:t>[21.00-10.9]</w:t>
      </w:r>
    </w:p>
    <w:p>
      <w:r>
        <w:rPr>
          <w:b/>
        </w:rPr>
        <w:t>El salario, frente a los precios.</w:t>
      </w:r>
      <w:r>
        <w:t xml:space="preserve"> El coste salarial medio por trabajador subió un 3,85 % en 2024, hasta 27.622 euros al año, con una inflación media del 2,8 %; y un 3,2 % en 2025, hasta 28.519 euros al año (2.376,55 al mes), con una inflación media del 2,7 %: una ganancia real de unas cinco décimas</w:t>
      </w:r>
      <w:r>
        <w:t xml:space="preserve"> (INE, Encuesta Trimestral de Coste Laboral; índice de precios de consumo, cálculo de la obra)</w:t>
      </w:r>
      <w:r>
        <w:t xml:space="preserve">. </w:t>
      </w:r>
      <w:r>
        <w:t>[21.00-5.1, con las erratas del 07: 27.622 y 28.519 euros, no 27.447 ni 30.375; la subida del 3,6 % que se citaba es la del cuarto trimestre, 2.531,22 euros al mes con la paga extra]</w:t>
      </w:r>
    </w:p>
    <w:p>
      <w:r>
        <w:t>Esa ganancia no está garantizada en 2026. La inflación interanual de agosto de 2026 fue del 4,3 %, la más alta desde febrero de 2023; la media de los últimos doce meses es del 3,1 %</w:t>
      </w:r>
      <w:r>
        <w:t xml:space="preserve"> (INE, índice general, cálculo de la obra)</w:t>
      </w:r>
      <w:r>
        <w:t>. El INE atribuye la subida del grupo Transporte, hasta el 9,5 %, «principalmente, al incremento de los precios de los combustibles y lubricantes para vehículos personales»</w:t>
      </w:r>
      <w:r>
        <w:t xml:space="preserve"> (INE, nota de prensa del IPC de agosto de 2026)</w:t>
      </w:r>
      <w:r>
        <w:br/>
      </w:r>
      <w:r>
        <w:rPr>
          <w:b/>
        </w:rPr>
        <w:t>leída en su fuente · INE, nota de prensa del IPC de agosto de 2026</w:t>
      </w:r>
      <w:r>
        <w:br/>
      </w:r>
      <w:r>
        <w:rPr>
          <w:b/>
        </w:rPr>
        <w:t>Archivo leído:</w:t>
      </w:r>
      <w:r>
        <w:t xml:space="preserve"> 21.00-5.2_INE_nota_IPC_agosto_2026.html y .txt (flecos3\21.00-5.2_INE_nota_IPC_agosto_2026.html) · contraste del archivo de pasajes: ✔</w:t>
      </w:r>
      <w:r>
        <w:br/>
      </w:r>
      <w:r>
        <w:rPr>
          <w:b/>
        </w:rPr>
        <w:t>Dirección:</w:t>
      </w:r>
      <w:r>
        <w:t xml:space="preserve"> </w:t>
      </w:r>
      <w:r>
        <w:t>https://www.ine.es/dyngs/Prensa/IPC0826.htm</w:t>
      </w:r>
      <w:r>
        <w:br/>
      </w:r>
      <w:r>
        <w:rPr>
          <w:b/>
        </w:rPr>
        <w:t>Tal como está en la fuente:</w:t>
      </w:r>
      <w:r>
        <w:t xml:space="preserve"> Transporte, cuya variación anual subió más de tres puntos, hasta el 9,5%, la más alta desde agosto de 2022. Esta evolución fue debida, principalmente, al incremento de los precios de los combustibles y lubricantes para vehículos personales</w:t>
      </w:r>
      <w:r>
        <w:br/>
      </w:r>
      <w:r>
        <w:rPr>
          <w:b/>
        </w:rPr>
        <w:t>Traducción guardada:</w:t>
      </w:r>
      <w:r>
        <w:t xml:space="preserve"> nota de prensa de 15-IX-2026</w:t>
      </w:r>
      <w:r>
        <w:t>. Y con la Encuesta de Estructura Salarial y el índice armonizado de precios, el poder adquisitivo del salario medio cayó con claridad en 2022 (−3,91 %) y en 2021 quedó prácticamente igual (−0,09 %) (cálculo de la obra). La Autoridad Fiscal prevé que en 2026 los salarios reales «disminuyan de manera moderada»: una remuneración por asalariado del 3 %, «algo por debajo de la inflación (3,2 %)»</w:t>
      </w:r>
      <w:r>
        <w:t xml:space="preserve"> (AIReF, informe sobre los presupuestos iniciales de 2026, 15-4-2026)</w:t>
      </w:r>
      <w:r>
        <w:br/>
      </w:r>
      <w:r>
        <w:rPr>
          <w:b/>
        </w:rPr>
        <w:t>leída en su fuente · AIReF, informe sobre los presupuestos iniciales de 2026, 15-4-2026</w:t>
      </w:r>
      <w:r>
        <w:br/>
      </w:r>
      <w:r>
        <w:rPr>
          <w:b/>
        </w:rPr>
        <w:t>Archivo leído:</w:t>
      </w:r>
      <w:r>
        <w:t xml:space="preserve"> airef_informe_presupuestos_iniciales_2026.pdf (c5b\airef_informe_presupuestos_iniciales_2026.pdf) · contraste del archivo de pasajes: ✔</w:t>
      </w:r>
      <w:r>
        <w:br/>
      </w:r>
      <w:r>
        <w:rPr>
          <w:b/>
        </w:rPr>
        <w:t>Lugar:</w:t>
      </w:r>
      <w:r>
        <w:t xml:space="preserve"> AIReF, informe sobre los presupuestos iniciales de 2026, 15-4-2026</w:t>
      </w:r>
      <w:r>
        <w:br/>
      </w:r>
      <w:r>
        <w:rPr>
          <w:b/>
        </w:rPr>
        <w:t>Tal como está en la fuente:</w:t>
      </w:r>
      <w:r>
        <w:t xml:space="preserve"> algo por debajo de la inflación (3,2 %)</w:t>
      </w:r>
      <w:r>
        <w:t xml:space="preserve">. Lo que queda tras las capas es una fotografía nominal de un año concreto, y la inflación erosiona ese margen en cada año en que los precios suben más deprisa que el salario. </w:t>
      </w:r>
      <w:r>
        <w:t>[21.00-5.2]</w:t>
      </w:r>
    </w:p>
    <w:p>
      <w:r>
        <w:rPr>
          <w:b/>
        </w:rPr>
        <w:t>El ahorrador paga tres veces por el mismo dinero.</w:t>
      </w:r>
      <w:r>
        <w:t xml:space="preserve"> </w:t>
      </w:r>
      <w:r>
        <w:t>[21.00-5.4; 21.00-5.5]</w:t>
      </w:r>
    </w:p>
    <w:p>
      <w:pPr>
        <w:spacing w:after="60"/>
        <w:ind w:left="510" w:hanging="397"/>
      </w:pPr>
      <w:r>
        <w:rPr>
          <w:b w:val="0"/>
        </w:rPr>
        <w:t xml:space="preserve">1. </w:t>
      </w:r>
      <w:r>
        <w:rPr>
          <w:i/>
        </w:rPr>
        <w:t>El interés.</w:t>
      </w:r>
      <w:r>
        <w:t xml:space="preserve"> El Banco de España publica que el tipo medio de los depósitos a plazo de los hogares hasta un año fue del 1,77 % en marzo de 2026. Frente al 4,3 % de inflación de agosto, el rendimiento real es de unos −2,5 puntos al año; con la media de doce meses, el 3,1 %, de unos −1,3 puntos: quien ahorra en depósito pierde poder adquisitivo cada año, aunque cobre intereses nominales positivos</w:t>
      </w:r>
      <w:r>
        <w:t xml:space="preserve"> (Banco de España, tipos de depósitos a plazo de hogares; cálculo de la obra)</w:t>
      </w:r>
      <w:r>
        <w:t>. Con 10.000 euros, el interés bruto de un año es de 176,87, y el capital pierde de poder adquisitivo unos 430 con el 4,3 % o unos 310 con el 3,1 %; con 5.000, el interés es de 88,44.</w:t>
      </w:r>
    </w:p>
    <w:p>
      <w:pPr>
        <w:spacing w:after="60"/>
        <w:ind w:left="510" w:hanging="397"/>
      </w:pPr>
      <w:r>
        <w:rPr>
          <w:b w:val="0"/>
        </w:rPr>
        <w:t xml:space="preserve">2. </w:t>
      </w:r>
      <w:r>
        <w:rPr>
          <w:i/>
        </w:rPr>
        <w:t>La comisión por tener la cuenta.</w:t>
      </w:r>
      <w:r>
        <w:t xml:space="preserve"> La media de los principales bancos españoles para el mantenimiento de una cuenta corriente es de 167,27 euros al año en 2026, frente a 110 en 2021; cinco de las once entidades analizadas mantienen el techo de 240 euros al año, y solo una, Bankinter, tiene una cuenta gratuita, que no es en línea</w:t>
      </w:r>
      <w:r>
        <w:t xml:space="preserve"> (ASUFIN, Barómetro de Comisiones Bancarias, nota de 18-5-2026, https://www.asufin.com/escalada-precios-comisiones-bancarias/; asociación de usuarios, fuente privada)</w:t>
      </w:r>
      <w:r>
        <w:t>. La nota advierte de que la subida afecta, sobre todo, al consumidor que pierde las condiciones de bonificación. Es el único dato de 2026. Un ejemplo con un banco concreto, con documentos propios del banco de 2021 a 2025: la Cuenta Santander One, de particulares, tiene una comisión de mantenimiento de 20 euros al mes (240 al año), que se reduce a 10 con una condición (por ejemplo, una nómina de al menos 600 euros al mes) y a 0 con otras más exigentes; y la Cuenta Santander One Empresas, de autónomos y personas jurídicas, de 30 euros al mes (360 al año), que baja a 15 con ingresos o facturación de al menos 1.800 euros en tres meses</w:t>
      </w:r>
      <w:r>
        <w:t xml:space="preserve"> (Banco Santander, información precontractual de la Cuenta Santander One, de particulares, 28-7-2022, https://wcm.bancosantander.es/wce/documentos-cms/do-info-precontractual-santander-one.pdf; de la Cuenta Santander One Empresas (autónomos), 14-1-2021, https://wcm.bancosantander.es/wce/documentos-cms/do-cuenta-santander-one-autonomos-julio-2021.pdf; y de la Cuenta Santander, de particulares, con metadatos de 2025, https://wcm.bancosantander.es/wce/documentos-cms/do-info-precontractual-cuenta-santander.pdf)</w:t>
      </w:r>
      <w:r>
        <w:t>. Con la comisión de particulares, el interés de 10.000 euros no la cubre: quedan −63,13 euros con los 240, antes de contar la inflación; con la media de ASUFIN, +9,60. (La comparación no se hace con la cuenta de empresa, porque el 1,77 % es el tipo de los depósitos de los hogares.) Un contrapunto: la bonificación existe, y en junio de 2024 el banco anunció una cuenta para autónomos y empresas de hasta 2 millones de facturación, «sin comisión de mantenimiento y sin requisitos»</w:t>
      </w:r>
      <w:r>
        <w:t xml:space="preserve"> (Banco Santander, nota de prensa de 13-6-2024, https://www.santander.com/es/sala-de-comunicacion/notas-de-prensa/2024/06/santander-lanza-la-cuenta-negocios-sin-comisiones-para-autonomos-comercios-y-microempresas)</w:t>
      </w:r>
      <w:r>
        <w:br/>
      </w:r>
      <w:r>
        <w:rPr>
          <w:b/>
        </w:rPr>
        <w:t>leída en su fuente · Banco Santander, nota de prensa de 13-6-2024, https://www.santander.com/es/sala-de-comunic</w:t>
      </w:r>
      <w:r>
        <w:br/>
      </w:r>
      <w:r>
        <w:rPr>
          <w:b/>
        </w:rPr>
        <w:t>Archivo leído:</w:t>
      </w:r>
      <w:r>
        <w:t xml:space="preserve"> santander_nota_prensa_2024-06_cuenta_negocios.html (y .txt) (b_santander\santander_nota_prensa_2024-06_cuenta_negocios.html) · contraste del archivo de pasajes: ✔</w:t>
      </w:r>
      <w:r>
        <w:br/>
      </w:r>
      <w:r>
        <w:rPr>
          <w:b/>
        </w:rPr>
        <w:t>Tal como está en la fuente:</w:t>
      </w:r>
      <w:r>
        <w:t xml:space="preserve"> una cuenta sin comisión de mantenimiento y sin requisitos: ni ingresos, ni recibos, ni permanencia</w:t>
      </w:r>
      <w:r>
        <w:t>; su página de autónomos, leída el 7-10-2026, la ofrece sin comisión</w:t>
      </w:r>
      <w:r>
        <w:t xml:space="preserve"> (Banco Santander, https://www.bancosantander.es/empresas/autonomos/cuenta-online/)</w:t>
      </w:r>
      <w:r>
        <w:t>. Lo que cobra hoy el banco por cada cuenta consta en el registro de tarifas del Banco de España: no se ha podido leer, y queda para completarlo.</w:t>
      </w:r>
    </w:p>
    <w:p>
      <w:pPr>
        <w:spacing w:after="60"/>
        <w:ind w:left="510" w:hanging="397"/>
      </w:pPr>
      <w:r>
        <w:rPr>
          <w:b w:val="0"/>
        </w:rPr>
        <w:t xml:space="preserve">3. </w:t>
      </w:r>
      <w:r>
        <w:rPr>
          <w:i/>
        </w:rPr>
        <w:t>La inflación,</w:t>
      </w:r>
      <w:r>
        <w:t xml:space="preserve"> sobre el propio capital.</w:t>
      </w:r>
    </w:p>
    <w:p>
      <w:r>
        <w:t xml:space="preserve">Para ilustrarlo se usan dos importes redondos, no una media: sobre 5.000 euros, el interés de 88,44 no cubre ni la media de ASUFIN (167,27), y quedan −78,83. </w:t>
      </w:r>
      <w:r>
        <w:t>[21.00-5.5]</w:t>
      </w:r>
    </w:p>
    <w:p>
      <w:r>
        <w:t xml:space="preserve">Banco Santander, documentos leídos (en 10 FUENTES LEIDAS/b_santander), con su enlace: Cuenta Santander, particulares, https://wcm.bancosantander.es/wce/documentos-cms/do-info-precontractual-cuenta-santander.pdf (comisión de 20 euros al mes, sin intereses); su versión de microsite, https://microsite.bancosantander.es/files/Cuenta123/InfoPrecontractualCuentaOne.pdf; resumen de condiciones de Santander One, https://wcm.bancosantander.es/wce/documentos-cms/do-resumen-condiciones-one.pdf; Cuenta Santander One Empresas, personas jurídicas, 14-1-2021, https://portalnhb.bancosantander.es/san/wcm/connect/sanflix/71b1298b-082d-42ea-aef8-1537be638edb/Cuenta+Santander+One+Empresas+(personas+juri%CC%81dicas)_v1.pdf?MOD=AJPERES&amp;pdfmethod=get&amp;pdf=pdf (30 euros al mes); Cuenta Santander One, particulares, 28-7-2022 (20 euros al mes; 10 con ahorro de 5.000 a menos de 25.000 euros en fondos, planes o seguros, un préstamo, seguros de 120 euros de primas, o nómina de al menos 600 euros al mes o pensión de al menos 300; exención con 1.000 acciones del banco, 25.000 euros en ahorro o depósitos o un titular menor de 29 años, según la versión de 2025); Cuenta Santander One Empresas, 14-1-2021, autónomos y personas jurídicas (30 euros al mes). Lote: 10 FUENTES LEIDAS/b_santander. </w:t>
      </w:r>
      <w:r>
        <w:t>[21.00-5.6]</w:t>
      </w:r>
    </w:p>
    <w:p>
      <w:r>
        <w:rPr>
          <w:b/>
        </w:rPr>
        <w:t>Lectura del autor:</w:t>
      </w:r>
      <w:r>
        <w:t xml:space="preserve"> el autor ha llegado a pagar en el Banco Santander 20 euros al mes por una cuenta personal (Santander One) y 30 por la de su actividad (Santander One Empresas): son las cifras de los documentos del banco de arriba, pero ningún dato lo ha verificado en su fecha; es experiencia del autor, no una estadística. El banco presta el dinero que el ahorrador le confía, y al prestar crea dinero nuevo (</w:t>
      </w:r>
      <w:r>
        <w:t>5.1</w:t>
      </w:r>
      <w:r>
        <w:t xml:space="preserve">, n.º 10; </w:t>
      </w:r>
      <w:r>
        <w:t>8.2</w:t>
      </w:r>
      <w:r>
        <w:t>); aun así, cobra por guardarlo. Quien guarda pierde y quien debe o presta gana (</w:t>
      </w:r>
      <w:r>
        <w:t>8.3</w:t>
      </w:r>
      <w:r>
        <w:t xml:space="preserve">): el mecanismo no necesita suponer intención para ser injusto. </w:t>
      </w:r>
      <w:r>
        <w:t>[lectura propia, por indicación de Kiko, 7-oct]</w:t>
      </w:r>
    </w:p>
    <w:p>
      <w:pPr>
        <w:pStyle w:val="Heading2"/>
      </w:pPr>
      <w:r>
        <w:t>B.6 El valor del tiempo de los trámites</w:t>
      </w:r>
    </w:p>
    <w:p>
      <w:pPr>
        <w:pBdr>
          <w:left w:val="single" w:sz="24" w:space="6" w:color="E2DED6"/>
        </w:pBdr>
        <w:shd w:val="clear" w:color="auto" w:fill="F1EEE8"/>
        <w:spacing w:before="80" w:after="160"/>
        <w:ind w:left="142" w:right="142"/>
      </w:pPr>
      <w:r>
        <w:rPr>
          <w:b/>
        </w:rPr>
        <w:t>La idea: las horas que se dedican a la burocracia valen dinero, aunque nadie las pague como tal.</w:t>
      </w:r>
    </w:p>
    <w:p>
      <w:r>
        <w:t>Las 226 horas anuales de trámites de un autónomo, según una asociación del sector (</w:t>
      </w:r>
      <w:r>
        <w:t>8.4</w:t>
      </w:r>
      <w:r>
        <w:t xml:space="preserve">), se pueden valorar con dos referencias oficiales distintas, para no forzar una sola cifra: </w:t>
      </w:r>
      <w:r>
        <w:t>[21.00-8.1]</w:t>
      </w:r>
    </w:p>
    <w:p>
      <w:pPr>
        <w:pStyle w:val="ListBullet"/>
      </w:pPr>
      <w:r>
        <w:rPr>
          <w:i/>
        </w:rPr>
        <w:t>Con el salario mínimo de 2026,</w:t>
      </w:r>
      <w:r>
        <w:t xml:space="preserve"> 17.094 euros brutos al año</w:t>
      </w:r>
      <w:r>
        <w:t xml:space="preserve"> (Real Decreto 126/2026, de 18 de febrero)</w:t>
      </w:r>
      <w:r>
        <w:t xml:space="preserve">, y una jornada de referencia de 1.826 horas, el valor de la hora es de unos 9,36 euros: las 226 horas valen 2.115 euros al año. La jornada es un cálculo de la obra: el Estatuto de los Trabajadores (art. 34.1) no da horas al año, sino cuarenta semanales «de promedio en cómputo anual». </w:t>
      </w:r>
      <w:r>
        <w:t>[21.00-8.2, con la errata del 07]</w:t>
      </w:r>
    </w:p>
    <w:p>
      <w:pPr>
        <w:pStyle w:val="ListBullet"/>
      </w:pPr>
      <w:r>
        <w:rPr>
          <w:i/>
        </w:rPr>
        <w:t>Con el salario medio bruto,</w:t>
      </w:r>
      <w:r>
        <w:t xml:space="preserve"> 29.540,26 euros</w:t>
      </w:r>
      <w:r>
        <w:t xml:space="preserve"> (INE, Encuesta Anual de Estructura Salarial 2024)</w:t>
      </w:r>
      <w:r>
        <w:t xml:space="preserve">, la hora vale unos 16,18 euros y las 226 horas, unos 3.657 euros al año; coherente con la propia estimación de la asociación, de 15 euros la hora y 3.390 al año, que queda entre las dos. </w:t>
      </w:r>
      <w:r>
        <w:t>[21.00-8.3]</w:t>
      </w:r>
    </w:p>
    <w:p>
      <w:r>
        <w:t>A esa cantidad hay que sumar lo que le costaría a un empleador formalizar ese tiempo como trabajo real: la cotización empresarial a la Seguridad Social. En 2026, con contrato indefinido, es del 30,65 % sobre el salario bruto: 23,60 % de contingencias comunes, 0,75 % del mecanismo de equidad intergeneracional, 5,50 % de desempleo, 0,20 % del Fondo de Garantía Salarial y 0,60 % de formación profesional, todos a cargo de la empresa</w:t>
      </w:r>
      <w:r>
        <w:t xml:space="preserve"> (Orden PJC/297/2026, arts. 4 y 33)</w:t>
      </w:r>
      <w:r>
        <w:t xml:space="preserve">. No incluye la cotización por accidentes de trabajo y enfermedades profesionales, que depende de la actividad. </w:t>
      </w:r>
      <w:r>
        <w:t>[21.00-8.4]</w:t>
      </w:r>
    </w:p>
    <w:p>
      <w:r>
        <w:t xml:space="preserve">Sumando esa cotización a las dos referencias: </w:t>
      </w:r>
      <w:r>
        <w:t>[21.00-8.5; 21.00-8.6]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Valor de las 226 horas</w:t>
            </w:r>
          </w:p>
        </w:tc>
        <w:tc>
          <w:tcPr>
            <w:tcW w:type="dxa" w:w="2296"/>
            <w:shd w:val="clear" w:color="auto" w:fill="F1EEE8"/>
          </w:tcPr>
          <w:p>
            <w:pPr>
              <w:spacing w:after="20" w:line="264" w:lineRule="auto"/>
            </w:pPr>
            <w:r>
              <w:rPr>
                <w:b/>
              </w:rPr>
            </w:r>
            <w:r>
              <w:rPr>
                <w:rFonts w:ascii="Segoe UI" w:hAnsi="Segoe UI" w:eastAsia="Segoe UI" w:cs="Segoe UI"/>
                <w:b/>
                <w:color w:val="1F1D1A"/>
                <w:sz w:val="18"/>
              </w:rPr>
              <w:t>Cotización de empresa (30,65 %)</w:t>
            </w:r>
          </w:p>
        </w:tc>
        <w:tc>
          <w:tcPr>
            <w:tcW w:type="dxa" w:w="2296"/>
            <w:shd w:val="clear" w:color="auto" w:fill="F1EEE8"/>
          </w:tcPr>
          <w:p>
            <w:pPr>
              <w:spacing w:after="20" w:line="264" w:lineRule="auto"/>
            </w:pPr>
            <w:r>
              <w:rPr>
                <w:b/>
              </w:rPr>
            </w:r>
            <w:r>
              <w:rPr>
                <w:rFonts w:ascii="Segoe UI" w:hAnsi="Segoe UI" w:eastAsia="Segoe UI" w:cs="Segoe UI"/>
                <w:b/>
                <w:color w:val="1F1D1A"/>
                <w:sz w:val="18"/>
              </w:rPr>
              <w:t>Total al año</w:t>
            </w:r>
          </w:p>
        </w:tc>
      </w:tr>
      <w:tr>
        <w:tc>
          <w:tcPr>
            <w:tcW w:type="dxa" w:w="2296"/>
          </w:tcPr>
          <w:p>
            <w:pPr>
              <w:spacing w:after="20" w:line="264" w:lineRule="auto"/>
            </w:pPr>
            <w:r/>
            <w:r>
              <w:rPr>
                <w:rFonts w:ascii="Segoe UI" w:hAnsi="Segoe UI" w:eastAsia="Segoe UI" w:cs="Segoe UI"/>
                <w:color w:val="1F1D1A"/>
                <w:sz w:val="18"/>
              </w:rPr>
              <w:t>Con el salario mínimo</w:t>
            </w:r>
          </w:p>
        </w:tc>
        <w:tc>
          <w:tcPr>
            <w:tcW w:type="dxa" w:w="2296"/>
          </w:tcPr>
          <w:p>
            <w:pPr>
              <w:spacing w:after="20" w:line="264" w:lineRule="auto"/>
            </w:pPr>
            <w:r/>
            <w:r>
              <w:rPr>
                <w:rFonts w:ascii="Segoe UI" w:hAnsi="Segoe UI" w:eastAsia="Segoe UI" w:cs="Segoe UI"/>
                <w:color w:val="1F1D1A"/>
                <w:sz w:val="18"/>
              </w:rPr>
              <w:t>2.115</w:t>
            </w:r>
          </w:p>
        </w:tc>
        <w:tc>
          <w:tcPr>
            <w:tcW w:type="dxa" w:w="2296"/>
          </w:tcPr>
          <w:p>
            <w:pPr>
              <w:spacing w:after="20" w:line="264" w:lineRule="auto"/>
            </w:pPr>
            <w:r/>
            <w:r>
              <w:rPr>
                <w:rFonts w:ascii="Segoe UI" w:hAnsi="Segoe UI" w:eastAsia="Segoe UI" w:cs="Segoe UI"/>
                <w:color w:val="1F1D1A"/>
                <w:sz w:val="18"/>
              </w:rPr>
              <w:t>648</w:t>
            </w:r>
          </w:p>
        </w:tc>
        <w:tc>
          <w:tcPr>
            <w:tcW w:type="dxa" w:w="2296"/>
          </w:tcPr>
          <w:p>
            <w:pPr>
              <w:spacing w:after="20" w:line="264" w:lineRule="auto"/>
            </w:pPr>
            <w:r/>
            <w:r>
              <w:rPr>
                <w:rFonts w:ascii="Segoe UI" w:hAnsi="Segoe UI" w:eastAsia="Segoe UI" w:cs="Segoe UI"/>
                <w:color w:val="1F1D1A"/>
                <w:sz w:val="18"/>
              </w:rPr>
              <w:t>2.763</w:t>
            </w:r>
          </w:p>
        </w:tc>
      </w:tr>
      <w:tr>
        <w:tc>
          <w:tcPr>
            <w:tcW w:type="dxa" w:w="2296"/>
          </w:tcPr>
          <w:p>
            <w:pPr>
              <w:spacing w:after="20" w:line="264" w:lineRule="auto"/>
            </w:pPr>
            <w:r/>
            <w:r>
              <w:rPr>
                <w:rFonts w:ascii="Segoe UI" w:hAnsi="Segoe UI" w:eastAsia="Segoe UI" w:cs="Segoe UI"/>
                <w:color w:val="1F1D1A"/>
                <w:sz w:val="18"/>
              </w:rPr>
              <w:t>Con el salario medio</w:t>
            </w:r>
          </w:p>
        </w:tc>
        <w:tc>
          <w:tcPr>
            <w:tcW w:type="dxa" w:w="2296"/>
          </w:tcPr>
          <w:p>
            <w:pPr>
              <w:spacing w:after="20" w:line="264" w:lineRule="auto"/>
            </w:pPr>
            <w:r/>
            <w:r>
              <w:rPr>
                <w:rFonts w:ascii="Segoe UI" w:hAnsi="Segoe UI" w:eastAsia="Segoe UI" w:cs="Segoe UI"/>
                <w:color w:val="1F1D1A"/>
                <w:sz w:val="18"/>
              </w:rPr>
              <w:t>3.657</w:t>
            </w:r>
          </w:p>
        </w:tc>
        <w:tc>
          <w:tcPr>
            <w:tcW w:type="dxa" w:w="2296"/>
          </w:tcPr>
          <w:p>
            <w:pPr>
              <w:spacing w:after="20" w:line="264" w:lineRule="auto"/>
            </w:pPr>
            <w:r/>
            <w:r>
              <w:rPr>
                <w:rFonts w:ascii="Segoe UI" w:hAnsi="Segoe UI" w:eastAsia="Segoe UI" w:cs="Segoe UI"/>
                <w:color w:val="1F1D1A"/>
                <w:sz w:val="18"/>
              </w:rPr>
              <w:t>1.121</w:t>
            </w:r>
          </w:p>
        </w:tc>
        <w:tc>
          <w:tcPr>
            <w:tcW w:type="dxa" w:w="2296"/>
          </w:tcPr>
          <w:p>
            <w:pPr>
              <w:spacing w:after="20" w:line="264" w:lineRule="auto"/>
            </w:pPr>
            <w:r/>
            <w:r>
              <w:rPr>
                <w:rFonts w:ascii="Segoe UI" w:hAnsi="Segoe UI" w:eastAsia="Segoe UI" w:cs="Segoe UI"/>
                <w:color w:val="1F1D1A"/>
                <w:sz w:val="18"/>
              </w:rPr>
              <w:t>4.778</w:t>
            </w:r>
          </w:p>
        </w:tc>
      </w:tr>
    </w:tbl>
    <w:p>
      <w:pPr>
        <w:spacing w:after="80"/>
      </w:pPr>
    </w:p>
    <w:p>
      <w:r>
        <w:rPr>
          <w:b/>
        </w:rPr>
        <w:t>Conclusión, lo que arrojan los datos:</w:t>
      </w:r>
      <w:r>
        <w:t xml:space="preserve"> si se valoran las 226 horas de un autónomo, solo por el tiempo de trámite, entre 2.763 y 4.778 euros al año, sin contar los impuestos que esa misma persona ya paga aparte ni la gestoría. El dato de partida, las horas, es el de una asociación del sector, y las cifras son un cálculo de la obra (cálculo de la obra con las referencias oficiales). </w:t>
      </w:r>
      <w:r>
        <w:t>[21.00-8.7, sin la gestoría ni el nombre de «coste real»]</w:t>
      </w:r>
    </w:p>
    <w:p>
      <w:r>
        <w:rPr>
          <w:b/>
        </w:rPr>
        <w:t>Lectura del autor:</w:t>
      </w:r>
      <w:r>
        <w:t xml:space="preserve"> es tiempo que nadie paga, y que la ley traslada a quien tiene actividad propia; la gestoría, que existe, no quita el trabajo de recopilar y preparar los documentos; si lo hace una persona contratada para ello, cuesta su sueldo y su cotización a la Seguridad Social; y si no hay quien lo haga, se hace en el tiempo libre. Para el autor, esa extracción de tiempo es parte de la carga. </w:t>
      </w:r>
      <w:r>
        <w:t>[8.4, lectura del autor]</w:t>
      </w:r>
    </w:p>
    <w:p>
      <w:r>
        <w:t xml:space="preserve">Fuentes: Real Decreto 126/2026, de 18-2 (SMI de 2026); Estatuto de los Trabajadores, art. 34.1; INE, Encuesta Anual de Estructura Salarial 2024; Orden PJC/297/2026, de 30-3, arts. 4 y 33. </w:t>
      </w:r>
      <w:r>
        <w:t>[21.00-8.8]</w:t>
      </w:r>
    </w:p>
    <w:p>
      <w:pPr>
        <w:pStyle w:val="Heading2"/>
      </w:pPr>
      <w:r>
        <w:t>Límite honesto de la prueba</w:t>
      </w:r>
    </w:p>
    <w:p>
      <w:pPr>
        <w:pStyle w:val="ListBullet"/>
      </w:pPr>
      <w:r>
        <w:t>Las capas 2 a 5 son estimaciones y una hipótesis; la cifra firme es la capa 1, que la OCDE corrobora (</w:t>
      </w:r>
      <w:r>
        <w:t>8.4</w:t>
      </w:r>
      <w:r>
        <w:t>). El asalariado medio de partida es el de un estudio privado.</w:t>
      </w:r>
    </w:p>
    <w:p>
      <w:pPr>
        <w:pStyle w:val="ListBullet"/>
      </w:pPr>
      <w:r>
        <w:t>La carga de cada perfil es un cálculo de la obra con las reglas de 2026 y con supuestos: la escala autonómica del IRPF igual a la estatal sin deducciones, los tipos de 2026 de la mutualidad y los derechos pasivos tomados de la Ley 31/2022, y, en el funcionario de carrera, que tampoco cotiza por el Fondo de Garantía Salarial ni por formación (sin verificar: queda en 05 FLECOS).</w:t>
      </w:r>
    </w:p>
    <w:p>
      <w:pPr>
        <w:pStyle w:val="ListBullet"/>
      </w:pPr>
      <w:r>
        <w:t xml:space="preserve">Mide lo que se paga, no lo que se recibe, ni la carga futura de las pensiones de cada régimen. No hay unidad común para sumar todo en un saldo en euros, y el valor de lo que se recibe depende de cada persona. Tampoco hay dato oficial en horas de espera (los datos están en días) ni de las esperas de incapacidad permanente, ingreso mínimo vital o dependencia. </w:t>
      </w:r>
      <w:r>
        <w:t>[21.00-13.6]</w:t>
      </w:r>
    </w:p>
    <w:p>
      <w:pPr>
        <w:pStyle w:val="ListBullet"/>
      </w:pPr>
      <w:r>
        <w:t>El contraste del 56,7 al 57,9 % descansa en un supuesto de la obra (gastar del 88 al 100 % de lo que queda tras cotizaciones e IRPF).</w:t>
      </w:r>
    </w:p>
    <w:p>
      <w:pPr>
        <w:pStyle w:val="ListBullet"/>
      </w:pPr>
      <w:r>
        <w:t>Los datos no son de la misma fecha: el empleo, de 2026; el personal de las administraciones, de 2025; los pagadores, de 2024.</w:t>
      </w:r>
    </w:p>
    <w:p>
      <w:pPr>
        <w:pStyle w:val="ListBullet"/>
      </w:pPr>
      <w:r>
        <w:t>Las comisiones bancarias: el único dato de 2026 es la media de ASUFIN; los documentos del Banco Santander son de 2021 a 2025 y no prueban lo que cobra hoy.</w:t>
      </w:r>
    </w:p>
    <w:p>
      <w:pPr>
        <w:pStyle w:val="ListBullet"/>
      </w:pPr>
      <w:r>
        <w:t>La gestoría, la gasolina y los tipos de IVA de la luz y el agua no se han leído en su fuente: se nombran sin cifra o no entran todavía.</w:t>
      </w:r>
    </w:p>
    <w:p>
      <w:pPr>
        <w:pStyle w:val="Heading2"/>
      </w:pPr>
      <w:r>
        <w:t>Dónde se oye la defensa del Estado</w:t>
      </w:r>
    </w:p>
    <w:p>
      <w:r>
        <w:t xml:space="preserve">Este anexo no lleva defensa propia. La defensa de la carga, con sus contrapuntos, está en el </w:t>
      </w:r>
      <w:r>
        <w:t>cargo 25</w:t>
      </w:r>
      <w:r>
        <w:t xml:space="preserve"> del juicio (</w:t>
      </w:r>
      <w:r>
        <w:t>11.3</w:t>
      </w:r>
      <w:r>
        <w:t>); la del ahorro y la pérdida de valor de la moneda, en los cargos 4 y 19.</w:t>
      </w:r>
    </w:p>
    <w:p>
      <w:pPr>
        <w:pStyle w:val="Heading2"/>
      </w:pPr>
      <w:r>
        <w:t>Para recordar</w:t>
      </w:r>
    </w:p>
    <w:p>
      <w:pPr>
        <w:pStyle w:val="ListBullet"/>
      </w:pPr>
      <w:r>
        <w:t>Con el mismo valor generado, lo que se lleva el Estado va del 41 % al 54 % del coste laboral según el perfil; entre el asalariado y el funcionario, la diferencia está casi toda en la cotización social.</w:t>
      </w:r>
    </w:p>
    <w:p>
      <w:pPr>
        <w:pStyle w:val="ListBullet"/>
      </w:pPr>
      <w:r>
        <w:t>Al asalariado medio le quedan 18.337 euros de 39.481: el 46,4 %; por cada 100 euros de salario bruto, 60,6.</w:t>
      </w:r>
    </w:p>
    <w:p>
      <w:pPr>
        <w:pStyle w:val="ListBullet"/>
      </w:pPr>
      <w:r>
        <w:t>Antes de sumar una factura, hay que saber si su impuesto está ya en las capas. La tasa de basuras, no.</w:t>
      </w:r>
    </w:p>
    <w:p>
      <w:pPr>
        <w:pStyle w:val="ListBullet"/>
      </w:pPr>
      <w:r>
        <w:t>Quien ahorra paga tres veces: el interés escaso, la comisión por la cuenta y la inflación.</w:t>
      </w:r>
    </w:p>
    <w:p>
      <w:pPr>
        <w:pStyle w:val="ListBullet"/>
      </w:pPr>
      <w:r>
        <w:t>Las 226 horas de trámites de un autónomo valen entre 2.763 y 4.778 euros al año, sin contar la gestoría.</w:t>
      </w:r>
    </w:p>
    <w:p>
      <w:pPr>
        <w:pStyle w:val="ListBullet"/>
      </w:pPr>
      <w:r>
        <w:t>Lo que no se ha leído en su fuente no está, y queda a la espera.</w:t>
      </w:r>
    </w:p>
    <w:p>
      <w:r>
        <w:br w:type="page"/>
      </w:r>
    </w:p>
    <w:p>
      <w:pPr>
        <w:pStyle w:val="Heading1"/>
      </w:pPr>
      <w:r>
        <w:t>Anexo C. Lo que cuesta el Estado: el anexo de datos</w:t>
      </w:r>
    </w:p>
    <w:p>
      <w:pPr>
        <w:spacing w:after="200"/>
      </w:pPr>
      <w:r>
        <w:rPr>
          <w:rFonts w:ascii="Segoe UI" w:hAnsi="Segoe UI" w:eastAsia="Segoe UI" w:cs="Segoe UI"/>
          <w:color w:val="6B665E"/>
          <w:sz w:val="17"/>
        </w:rPr>
        <w:t>Primera versión: 7 de octubre de 2026 · Última revisión: 10 de octubre de 2026 · Citas leídas en su fuente: 5</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ESTADO: APROBADO por Kiko el 7-oct-2026 («sí»; conversación del aviso PASO 3.4); sus marcas, en 04 CAPITULOS/marcas/marcas del anexo C.txt. Paso 3. Sale de la pieza 35.00 (el anexo de datos) y de 20.00-14.1 a 14.3 y 35.13 y 34.00-11.8, 12.9 y 12.10 (archivo congelado). Plan aprobado por Kiko («sí»): el orden de la 35.00; la Casa del Rey dentro de C.2; el cuadro de las partidas como tabla resumen con remisiones. Y su corrección (7-oct): la partida de las pensiones de la Seguridad Social no es solo la de quien trabajó en la empresa privada; se desarrolla en C.5 («Lo que lleva dentro la bolsa de la Seguridad Social») y en el cuadro va el dato con una nota (C.3). Sin «clama al cielo»: es una maniobra camuflada (5.1), y el cargo 23 ya la juzga. Escrito en tres niveles y con remisiones enlazables. Es anexo de consulta: lleva su propia defensa. Leído hoy en su original (en local): - Casa de S.M. el Rey, distribución del presupuesto de 2026 (c9e, casareal_presupuestos_distribucion_2026.txt): artículo 13, «Laborales. 32.500,00 euros»; artículo 15, «Incentivos al rendimiento.1.818.350,00 euros», que «Recoge los complementos que percibe el personal que presta servicio en la Casa»; el capítulo 1 incluye «otro personal que presta servicio en la misma». Cuentas de 2025 auditadas por el Tribunal de Cuentas (c9e, nota 11.1): «las sumas destinadas a complemento retributivos que se puedan asignar a otro personal que presta servicio en la Casa, de acuerdo con la facultad establecida en el artículo 12.1 del Real Decreto 434/1988». Ninguno de los dos dice cuántas personas son. - Eurostat, cuentas de las administraciones públicas, 2025 (c5, eurostat_gov_10a_main_ES_S13.csv): cotizaciones sociales 223.612 millones, de ellas 161.409 de los empleadores (el mismo dato de 5.1, n.º 3). Hallado al escribir (erratas ya en el 07; la edición lleva la versión de la fuente): - 35.00-1.2 y 6.7: con el listado de 2025 del Portal, 392 de 743 registros (52,8 %) y media de 92.294 €, no 391 (52,6 %) ni 92.189 €. - 35.00-1.3: el Boletín de enero de 2025 da 936 eventuales en los ministerios, no 948. - 35.00-1.4: 1.195 ayuntamientos sin informar, no 1.196; los 17 parlamentos autonómicos suman 1.212 escaños (1.262 con Ceuta y Melilla), no 1.268. - 35.00-2.2: 172.749 / 3.071.725 = 56.238 €, no 57.000. - 35.00-2.8 y 3.14: los 743 registros de 2025 suman 68.574.605 € (68,57 millones), no 68,5. - 35.00-4.7, al cerrar: el Reglamento de Pensiones Parlamentarias y su reforma de 2011 están leídos en c9e (BOCG núm. 278 y 455), aunque 05 FLECOS los daba por no descargados: art. 2 (siete años), arts. 13.1 y 14.1 (una mensualidad por año, máximo de veinticuatro, al menos dos años) comprobados hoy. La fecha «13 de diciembre de 2011» se leyó el 7-oct en la página de protección social del Congreso; va también el texto de la reforma, «el día de la constitución del Congreso de los Diputados y del Senado de la X Legislatura». - Cuentas rehechas: 26,5, 23,7, 5,3 y 3,2 euros de cada 100 (antes «unos 27, 24, 5 y 3»); 33.158 € por habitante es con la deuda de 2024 (c9e); 8.591,7 millones de Interior es la Ley de 2023 (8.590,2 en la prórroga); los 3.123 millones de la Seguridad Social, por diferencia con el total y los otros tres subsectores (cálculo). No entra todavía (sin fila en el registro o sin fuente leída); cada cosa queda en 05 FLECOS, para leerla en su fuente y completarla (Kiko, 7-oct: «nunca fuera»): - La cabecera de la pieza (35.00-0.0: nombre, sello y fecha). - De la Casa del Rey: los 13 empleados declarados, la plantilla de 139 personas y los 300 a 343 complementos al mes (prensa, sin leer); los 105 millones de la Jefatura del Estado (estudio privado, sin leer); «séptimo año» y «niveles de 2008»; que Juan Carlos I y las infantas no cobren; que el resultado negativo se deba al presupuesto congelado. - Los «cálculos anteriores de este Registro» (1.747 cargos; 70.400 cargos electos; los 67.152 concejales de una fuente no oficial); los más de 166 millones de altos cargos y asesores (prensa). - Las cifras de prensa de los exparlamentarios (117 personas y 117.000 € al mes, Newtral; 222 personas y 219.012,83 €, Público; «entre 1,4 y 2,6 millones»): no comprobables en fuente oficial. Se dice, como en 8.6, que solo hay cifras de prensa y no coinciden. - El 100,2 % del PIB de mayo de 2026 (Banco de España): leído el 7-oct; entra en la tabla de partidas (deuda pública). - El salario mediano de 24.497 € (35.00-6.7): leído el 7-oct (INE: 24.497,17 euros en 2024); entra en el contrapunto 1 de 35.00-6.7. Va también el salario medio del sector privado de 8.6. - Los 2,38 millones de 35.00-3.6: es el redondeo de los 2.379.970 € de 35.00-5.9, que sí entran. Conceptos que usa, ya anclados: el velo y el muro de opacidad (8.6); la maniobra camuflada (5.1); el sistema de reparto (5.1, n.º 1); los regímenes y quién sostiene a quién (8.6); la carga (8.4); el Registro de los frutos (10.8); el juicio y sus cargos (11). Lo que no se repite: el gasto por funciones, el año, la hucha y el muro de opacidad (8.6); los aforados (8.5, n.º 8); la asignación de los diputados (7.2); la edad de jubilación del régimen general y su historia (9.1); la evaluación del desempeño y los asesores como mínimo (5.1); las cotizaciones de las administraciones y la partida de vejez (5.1, n.º 3 y 23); la deuda rebajada por la inflación de 2021 a 2025 (8.3).</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mide a vista de águila a dónde va cada euro y quién sostiene a quién (</w:t>
      </w:r>
      <w:r>
        <w:t>8.6</w:t>
      </w:r>
      <w:r>
        <w:t>). Este anexo guarda el detalle: cuántos son los cargos políticos y los asesores, lo que cuesta la nómina pública, el cuadro de las partidas, la jubilación y el despido de cada colectivo y las pensiones de cada régimen.</w:t>
      </w:r>
    </w:p>
    <w:p>
      <w:pPr>
        <w:pStyle w:val="ListBullet"/>
      </w:pPr>
      <w:r>
        <w:t>Cada cifra lleva su fuente y su fecha. Y cada intento que se topó con el muro de opacidad queda anotado, con la dificultad concreta.</w:t>
      </w:r>
    </w:p>
    <w:p>
      <w:pPr>
        <w:pStyle w:val="ListBullet"/>
      </w:pPr>
      <w:r>
        <w:t>La pensión que la estadística llama «de la Seguridad Social» no es solo la de quien trabajó en la empresa privada: dentro van también empleados públicos y cargos políticos, y parte de sus cotizaciones se paga con impuestos (</w:t>
      </w:r>
      <w:r>
        <w:t>C.5</w:t>
      </w:r>
      <w:r>
        <w:t>).</w:t>
      </w:r>
    </w:p>
    <w:p>
      <w:pPr>
        <w:pStyle w:val="ListBullet"/>
      </w:pPr>
      <w:r>
        <w:t>Es la parte monótona de la investigación, apartada para quien quiera contrastar los datos.</w:t>
      </w:r>
    </w:p>
    <w:p>
      <w:pPr>
        <w:pStyle w:val="Heading2"/>
      </w:pPr>
      <w:r>
        <w:t>C.0 Qué es este anexo y cómo se lee</w:t>
      </w:r>
    </w:p>
    <w:p>
      <w:pPr>
        <w:pBdr>
          <w:left w:val="single" w:sz="24" w:space="6" w:color="E2DED6"/>
        </w:pBdr>
        <w:shd w:val="clear" w:color="auto" w:fill="F1EEE8"/>
        <w:spacing w:before="80" w:after="160"/>
        <w:ind w:left="142" w:right="142"/>
      </w:pPr>
      <w:r>
        <w:rPr>
          <w:b/>
        </w:rPr>
        <w:t>La idea: cada dato lo publica alguien; lo que no existe es la suma, y este anexo enseña cuánto cuesta hacerla.</w:t>
      </w:r>
    </w:p>
    <w:p>
      <w:r>
        <w:t xml:space="preserve">Este anexo reúne, con su fuente y su fecha, el detalle de las cifras que 8.6 resume. Los años no siempre coinciden, porque cada organismo publica en su calendario: por eso las proporciones son órdenes de magnitud, y los cálculos de la obra se dicen como tales. Lo que ya está explicado en un capítulo no se repite: se nombra con su remisión. </w:t>
      </w:r>
      <w:r>
        <w:t>[35.00-0.0.2; 35.00-3.1]</w:t>
      </w:r>
    </w:p>
    <w:p>
      <w:r>
        <w:rPr>
          <w:b/>
        </w:rPr>
        <w:t>Lo que la ley obliga a publicar.</w:t>
      </w:r>
      <w:r>
        <w:t xml:space="preserve"> Las retribuciones de los altos cargos son públicas</w:t>
      </w:r>
      <w:r>
        <w:t xml:space="preserve"> (Ley 3/2015, art. 4; Ley 19/2013)</w:t>
      </w:r>
      <w:r>
        <w:t>, y el número y las retribuciones del personal eventual, también</w:t>
      </w:r>
      <w:r>
        <w:t xml:space="preserve"> (Estatuto Básico del Empleado Público, art. 12.2)</w:t>
      </w:r>
      <w:r>
        <w:t xml:space="preserve">. Pero la ley deja a cada administración publicar lo suyo: sumarlo exige buscar en fuentes distintas, con formatos, fechas y criterios distintos. </w:t>
      </w:r>
      <w:r>
        <w:t>[35.00-1.1]</w:t>
      </w:r>
    </w:p>
    <w:p>
      <w:pPr>
        <w:pStyle w:val="Heading2"/>
      </w:pPr>
      <w:r>
        <w:t>C.1 Cuántos son</w:t>
      </w:r>
    </w:p>
    <w:p>
      <w:pPr>
        <w:pBdr>
          <w:left w:val="single" w:sz="24" w:space="6" w:color="E2DED6"/>
        </w:pBdr>
        <w:shd w:val="clear" w:color="auto" w:fill="F1EEE8"/>
        <w:spacing w:before="80" w:after="160"/>
        <w:ind w:left="142" w:right="142"/>
      </w:pPr>
      <w:r>
        <w:rPr>
          <w:b/>
        </w:rPr>
        <w:t>La idea: los altos cargos, los asesores y los cargos electos se pueden contar, pero en decenas de ficheros, con topes y huecos; ninguna cifra única los recoge.</w:t>
      </w:r>
    </w:p>
    <w:p>
      <w:r>
        <w:rPr>
          <w:b/>
        </w:rPr>
        <w:t>Altos cargos de la Administración del Estado.</w:t>
      </w:r>
      <w:r>
        <w:t xml:space="preserve"> El Portal de la Transparencia publica la retribución íntegra de cada uno desde 2013, en 23 ficheros, uno por ministerio, y sin un total. Los registros por año son 695 en 2017, 859 en 2021, 798 en 2023, 798 en 2024 y 743 en 2025; una persona puede aparecer más de una vez, y los cambios de Gobierno aumentan los registros: son registros de retribución, no personas distintas. En 2025, la retribución media es de 92.294 euros y 392 registros, el 52,8 %, superan los 100.000; en 2024, 323 de 798, el 40,5 %</w:t>
      </w:r>
      <w:r>
        <w:t xml:space="preserve"> (Portal de la Transparencia, retribuciones de altos cargos; recuento de la obra)</w:t>
      </w:r>
      <w:r>
        <w:t xml:space="preserve">. Los importes de 2024 del Portal suman 64,6 millones (cálculo de la obra); los de los asesores no están en él. </w:t>
      </w:r>
      <w:r>
        <w:t>[35.00-1.2, con la errata del 07: 392 y 52,8 %, media de 92.294 €]</w:t>
      </w:r>
    </w:p>
    <w:p>
      <w:r>
        <w:rPr>
          <w:i/>
        </w:rPr>
        <w:t>Dificultad:</w:t>
      </w:r>
      <w:r>
        <w:t xml:space="preserve"> la descarga tiene un tope de 1.000 registros por consulta, ordenados por año; la consulta habitual del fichero de Asuntos Exteriores devolvió error del servidor en tres intentos, y los filtros por fecha no devolvieron resultados. Por eso no se ha podido cerrar si un año es un récord histórico. </w:t>
      </w:r>
      <w:r>
        <w:t>[35.00-1.2]</w:t>
      </w:r>
    </w:p>
    <w:p>
      <w:r>
        <w:rPr>
          <w:b/>
        </w:rPr>
        <w:t>Asesores (personal eventual).</w:t>
      </w:r>
      <w:r>
        <w:t xml:space="preserve"> El Boletín Estadístico del Personal da para los ministerios 869 personas en julio de 2023, 924 en julio de 2024, 936 en enero de 2025 y 959 en enero de 2026; de estas últimas, 490 están en el Ministerio de la Presidencia, Justicia y Relaciones con las Cortes, que incluye el Área de la Presidencia del Gobierno</w:t>
      </w:r>
      <w:r>
        <w:t xml:space="preserve"> (Estadística del Personal al Servicio de las Administraciones Públicas, enero de 2026, tabla 2.3)</w:t>
      </w:r>
      <w:r>
        <w:t>. En enero de 2025 había además 46 en organismos autónomos. Son un mínimo (</w:t>
      </w:r>
      <w:r>
        <w:t>5.1</w:t>
      </w:r>
      <w:r>
        <w:t>). Lo que cuesta el conjunto solo consta en la Presidencia del Gobierno: 18,03 millones al año (</w:t>
      </w:r>
      <w:r>
        <w:t>C.2</w:t>
      </w:r>
      <w:r>
        <w:t xml:space="preserve">). </w:t>
      </w:r>
      <w:r>
        <w:t>[35.00-1.3, con la errata del 07: 936 en enero de 2025]</w:t>
      </w:r>
    </w:p>
    <w:p>
      <w:r>
        <w:rPr>
          <w:i/>
        </w:rPr>
        <w:t>Dificultad:</w:t>
      </w:r>
      <w:r>
        <w:t xml:space="preserve"> solo se han podido obtener las ediciones del Boletín desde 2023 (las anteriores tienen otro nombre de fichero y no se localizaron); y el Boletín no incluye, por su propia metodología, el personal eventual de las comunidades autónomas, de los ayuntamientos y de los órganos constitucionales, ni da los sueldos de cada asesor. La ley dice que el número y las retribuciones son públicos, pero no hay un recuento consolidado. </w:t>
      </w:r>
      <w:r>
        <w:t>[35.00-1.3]</w:t>
      </w:r>
    </w:p>
    <w:p>
      <w:r>
        <w:rPr>
          <w:b/>
        </w:rPr>
        <w:t>Cargos electos.</w:t>
      </w:r>
      <w:r>
        <w:t xml:space="preserve"> 350 diputados y 266 senadores en la XV Legislatura. Los 17 parlamentos autonómicos suman 1.212 escaños, y 1.262 con las asambleas de Ceuta y Melilla</w:t>
      </w:r>
      <w:r>
        <w:t xml:space="preserve"> (la ley o el decreto de cada comunidad, suma de la obra)</w:t>
      </w:r>
      <w:r>
        <w:t>. Lo que cobraron en 2024 los cargos autonómicos y locales lo recoge el sistema ISPA del Ministerio para la Transformación Digital y de la Función Pública: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Quiénes</w:t>
            </w:r>
          </w:p>
        </w:tc>
        <w:tc>
          <w:tcPr>
            <w:tcW w:type="dxa" w:w="3061"/>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falta</w:t>
            </w:r>
          </w:p>
        </w:tc>
      </w:tr>
      <w:tr>
        <w:tc>
          <w:tcPr>
            <w:tcW w:type="dxa" w:w="3061"/>
          </w:tcPr>
          <w:p>
            <w:pPr>
              <w:spacing w:after="20" w:line="264" w:lineRule="auto"/>
            </w:pPr>
            <w:r/>
            <w:r>
              <w:rPr>
                <w:rFonts w:ascii="Segoe UI" w:hAnsi="Segoe UI" w:eastAsia="Segoe UI" w:cs="Segoe UI"/>
                <w:color w:val="1F1D1A"/>
                <w:sz w:val="18"/>
              </w:rPr>
              <w:t>Presidentes, vicepresidentes y consejeros de los gobiernos autonómicos</w:t>
            </w:r>
          </w:p>
        </w:tc>
        <w:tc>
          <w:tcPr>
            <w:tcW w:type="dxa" w:w="3061"/>
          </w:tcPr>
          <w:p>
            <w:pPr>
              <w:spacing w:after="20" w:line="264" w:lineRule="auto"/>
            </w:pPr>
            <w:r/>
            <w:r>
              <w:rPr>
                <w:rFonts w:ascii="Segoe UI" w:hAnsi="Segoe UI" w:eastAsia="Segoe UI" w:cs="Segoe UI"/>
                <w:color w:val="1F1D1A"/>
                <w:sz w:val="18"/>
              </w:rPr>
              <w:t>213</w:t>
            </w:r>
          </w:p>
        </w:tc>
        <w:tc>
          <w:tcPr>
            <w:tcW w:type="dxa" w:w="3061"/>
          </w:tcPr>
          <w:p>
            <w:pPr>
              <w:spacing w:after="20" w:line="264" w:lineRule="auto"/>
            </w:pPr>
            <w:r/>
            <w:r>
              <w:rPr>
                <w:rFonts w:ascii="Segoe UI" w:hAnsi="Segoe UI" w:eastAsia="Segoe UI" w:cs="Segoe UI"/>
                <w:color w:val="1F1D1A"/>
                <w:sz w:val="18"/>
              </w:rPr>
              <w:t>el País Vasco no remitió datos</w:t>
            </w:r>
          </w:p>
        </w:tc>
      </w:tr>
      <w:tr>
        <w:tc>
          <w:tcPr>
            <w:tcW w:type="dxa" w:w="3061"/>
          </w:tcPr>
          <w:p>
            <w:pPr>
              <w:spacing w:after="20" w:line="264" w:lineRule="auto"/>
            </w:pPr>
            <w:r/>
            <w:r>
              <w:rPr>
                <w:rFonts w:ascii="Segoe UI" w:hAnsi="Segoe UI" w:eastAsia="Segoe UI" w:cs="Segoe UI"/>
                <w:color w:val="1F1D1A"/>
                <w:sz w:val="18"/>
              </w:rPr>
              <w:t>Diputados y consejeros de diputaciones, cabildos y consejos insulares</w:t>
            </w:r>
          </w:p>
        </w:tc>
        <w:tc>
          <w:tcPr>
            <w:tcW w:type="dxa" w:w="3061"/>
          </w:tcPr>
          <w:p>
            <w:pPr>
              <w:spacing w:after="20" w:line="264" w:lineRule="auto"/>
            </w:pPr>
            <w:r/>
            <w:r>
              <w:rPr>
                <w:rFonts w:ascii="Segoe UI" w:hAnsi="Segoe UI" w:eastAsia="Segoe UI" w:cs="Segoe UI"/>
                <w:color w:val="1F1D1A"/>
                <w:sz w:val="18"/>
              </w:rPr>
              <w:t>1.163, y 48 presidentes</w:t>
            </w:r>
          </w:p>
        </w:tc>
        <w:tc>
          <w:tcPr>
            <w:tcW w:type="dxa" w:w="3061"/>
          </w:tcPr>
          <w:p>
            <w:pPr>
              <w:spacing w:after="20" w:line="264" w:lineRule="auto"/>
            </w:pPr>
            <w:r/>
            <w:r>
              <w:rPr>
                <w:rFonts w:ascii="Segoe UI" w:hAnsi="Segoe UI" w:eastAsia="Segoe UI" w:cs="Segoe UI"/>
                <w:color w:val="1F1D1A"/>
                <w:sz w:val="18"/>
              </w:rPr>
              <w:t>Cuenca, Guadalajara, Formentera y Fuerteventura</w:t>
            </w:r>
          </w:p>
        </w:tc>
      </w:tr>
      <w:tr>
        <w:tc>
          <w:tcPr>
            <w:tcW w:type="dxa" w:w="3061"/>
          </w:tcPr>
          <w:p>
            <w:pPr>
              <w:spacing w:after="20" w:line="264" w:lineRule="auto"/>
            </w:pPr>
            <w:r/>
            <w:r>
              <w:rPr>
                <w:rFonts w:ascii="Segoe UI" w:hAnsi="Segoe UI" w:eastAsia="Segoe UI" w:cs="Segoe UI"/>
                <w:color w:val="1F1D1A"/>
                <w:sz w:val="18"/>
              </w:rPr>
              <w:t>Alcaldes y concejales, en los 6.934 ayuntamientos que informaron</w:t>
            </w:r>
          </w:p>
        </w:tc>
        <w:tc>
          <w:tcPr>
            <w:tcW w:type="dxa" w:w="3061"/>
          </w:tcPr>
          <w:p>
            <w:pPr>
              <w:spacing w:after="20" w:line="264" w:lineRule="auto"/>
            </w:pPr>
            <w:r/>
            <w:r>
              <w:rPr>
                <w:rFonts w:ascii="Segoe UI" w:hAnsi="Segoe UI" w:eastAsia="Segoe UI" w:cs="Segoe UI"/>
                <w:color w:val="1F1D1A"/>
                <w:sz w:val="18"/>
              </w:rPr>
              <w:t>6.934 alcaldes y 51.320 concejales; 6.313 con dedicación exclusiva y 8.379 parcial</w:t>
            </w:r>
          </w:p>
        </w:tc>
        <w:tc>
          <w:tcPr>
            <w:tcW w:type="dxa" w:w="3061"/>
          </w:tcPr>
          <w:p>
            <w:pPr>
              <w:spacing w:after="20" w:line="264" w:lineRule="auto"/>
            </w:pPr>
            <w:r/>
            <w:r>
              <w:rPr>
                <w:rFonts w:ascii="Segoe UI" w:hAnsi="Segoe UI" w:eastAsia="Segoe UI" w:cs="Segoe UI"/>
                <w:color w:val="1F1D1A"/>
                <w:sz w:val="18"/>
              </w:rPr>
              <w:t>1.195 ayuntamientos no informaron</w:t>
            </w:r>
          </w:p>
        </w:tc>
      </w:tr>
    </w:tbl>
    <w:p>
      <w:pPr>
        <w:spacing w:after="80"/>
      </w:pPr>
    </w:p>
    <w:p>
      <w:r>
        <w:t xml:space="preserve">Fuente: ISPA 2025 (retribuciones de 2024), recuento de la obra en sus hojas. La nota del propio ISPA advierte de que los datos los facilitan las entidades, de que los listados no son definitivos y de que no responde de su veracidad. </w:t>
      </w:r>
      <w:r>
        <w:t>[35.00-1.4, con las erratas del 07: 1.195 ayuntamientos y 1.212 escaños autonómicos]</w:t>
      </w:r>
    </w:p>
    <w:p>
      <w:r>
        <w:rPr>
          <w:i/>
        </w:rPr>
        <w:t>Dificultad:</w:t>
      </w:r>
      <w:r>
        <w:t xml:space="preserve"> no se ha podido cerrar cuántos concejales se eligieron en 2023: el dossier del Ministerio del Interior devolvió un error de acceso, y la cifra oficial está repartida en los resúmenes provinciales de la Junta Electoral Central en el BOE. </w:t>
      </w:r>
      <w:r>
        <w:t>[35.00-1.4]</w:t>
      </w:r>
    </w:p>
    <w:p>
      <w:r>
        <w:rPr>
          <w:b/>
        </w:rPr>
        <w:t>Aforados.</w:t>
      </w:r>
      <w:r>
        <w:t xml:space="preserve"> La única cifra oficial localizada es de 2017, dada de palabra en el Congreso: casi 250.000 (</w:t>
      </w:r>
      <w:r>
        <w:t>8.5</w:t>
      </w:r>
      <w:r>
        <w:t>, n.º 8). En septiembre de 2018 el Ministerio de Justicia anunció un estudio sobre el aforamiento, y no se ha localizado su resultado</w:t>
      </w:r>
      <w:r>
        <w:t xml:space="preserve"> (La Moncloa, notas de prensa del Ministerio de Justicia de 12 y 14-9-2018)</w:t>
      </w:r>
      <w:r>
        <w:t xml:space="preserve">. </w:t>
      </w:r>
      <w:r>
        <w:t>[35.00-1.5]</w:t>
      </w:r>
    </w:p>
    <w:p>
      <w:r>
        <w:rPr>
          <w:b/>
        </w:rPr>
        <w:t>Por qué no se ha podido cerrar todo.</w:t>
      </w:r>
      <w:r>
        <w:t xml:space="preserve"> Los datos están repartidos entre organismos, ficheros y formatos: 23 ficheros de altos cargos, más de 8.000 ayuntamientos, 17 comunidades autónomas, el Boletín, el Congreso y el Senado. Las descargas tienen topes y devuelven errores; los listados oficiales advierten de que no son definitivos y de que hay entidades que no informan; la única cifra de aforados se dio de palabra hace nueve años; y la web de Función Pública rechazó la conexión desde el equipo de trabajo (los mismos datos se localizaron en el dominio digital.gob.es). El hecho documentado es que la información está publicada en su mayor parte, pero repartida y sin totales. Es el muro de opacidad (</w:t>
      </w:r>
      <w:r>
        <w:t>8.6</w:t>
      </w:r>
      <w:r>
        <w:t xml:space="preserve">). </w:t>
      </w:r>
      <w:r>
        <w:t>[35.00-1.6; 35.00-1.7]</w:t>
      </w:r>
    </w:p>
    <w:p>
      <w:pPr>
        <w:pStyle w:val="Heading2"/>
      </w:pPr>
      <w:r>
        <w:t>C.2 Lo que cuestan</w:t>
      </w:r>
    </w:p>
    <w:p>
      <w:pPr>
        <w:pBdr>
          <w:left w:val="single" w:sz="24" w:space="6" w:color="E2DED6"/>
        </w:pBdr>
        <w:shd w:val="clear" w:color="auto" w:fill="F1EEE8"/>
        <w:spacing w:before="80" w:after="160"/>
        <w:ind w:left="142" w:right="142"/>
      </w:pPr>
      <w:r>
        <w:rPr>
          <w:b/>
        </w:rPr>
        <w:t>La idea: el total de la nómina pública se conoce; el detalle de quien gobierna, no se publica sumado.</w:t>
      </w:r>
    </w:p>
    <w:p>
      <w:r>
        <w:rPr>
          <w:b/>
        </w:rPr>
        <w:t>El total.</w:t>
      </w:r>
      <w:r>
        <w:t xml:space="preserve"> La remuneración de los asalariados de todas las administraciones públicas, cotizaciones del empleador incluidas, fue de 172.749 millones de euros en 2024: 30.606 millones el Estado, 108.023 las comunidades autónomas, 30.997 los ayuntamientos y diputaciones, y el resto, 3.123, la Seguridad Social</w:t>
      </w:r>
      <w:r>
        <w:t xml:space="preserve"> (Eurostat, remuneración de asalariados por subsectores; el último, por diferencia)</w:t>
      </w:r>
      <w:r>
        <w:t>. En enero de 2026 trabajaban para ellas 3.071.725 personas: 546.554 en el Estado, 1.930.273 en las comunidades autónomas y 594.898 en la Administración local</w:t>
      </w:r>
      <w:r>
        <w:t xml:space="preserve"> (Estadística del Personal al Servicio de las Administraciones Públicas, enero de 2026, tabla 1.1)</w:t>
      </w:r>
      <w:r>
        <w:t xml:space="preserve">. Cálculo de la obra, solo como orden de magnitud y con fechas que no coinciden: unos 56.000 euros de coste medio por empleado público al año, cotizaciones incluidas. </w:t>
      </w:r>
      <w:r>
        <w:t>[35.00-2.1; 35.00-2.2, con la errata del 07: 56.238 €]</w:t>
      </w:r>
    </w:p>
    <w:p>
      <w:r>
        <w:t xml:space="preserve">Los Presupuestos Generales del Estado de 2023 se han prorrogado en 2024, 2025 y 2026, así que sus cifras siguen vigentes. </w:t>
      </w:r>
      <w:r>
        <w:t>[35.00-2.1]</w:t>
      </w:r>
    </w:p>
    <w:p>
      <w:r>
        <w:rPr>
          <w:b/>
        </w:rPr>
        <w:t>Lo que se puede desglosar.</w:t>
      </w:r>
      <w:r>
        <w:t xml:space="preserve"> </w:t>
      </w:r>
      <w:r>
        <w:t>[35.00-2.3]</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Quiénes</w:t>
            </w:r>
          </w:p>
        </w:tc>
        <w:tc>
          <w:tcPr>
            <w:tcW w:type="dxa" w:w="2296"/>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cuestan</w:t>
            </w:r>
          </w:p>
        </w:tc>
        <w:tc>
          <w:tcPr>
            <w:tcW w:type="dxa" w:w="2296"/>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2296"/>
          </w:tcPr>
          <w:p>
            <w:pPr>
              <w:spacing w:after="20" w:line="264" w:lineRule="auto"/>
            </w:pPr>
            <w:r/>
            <w:r>
              <w:rPr>
                <w:rFonts w:ascii="Segoe UI" w:hAnsi="Segoe UI" w:eastAsia="Segoe UI" w:cs="Segoe UI"/>
                <w:color w:val="1F1D1A"/>
                <w:sz w:val="18"/>
              </w:rPr>
              <w:t>Fuerzas Armadas</w:t>
            </w:r>
          </w:p>
        </w:tc>
        <w:tc>
          <w:tcPr>
            <w:tcW w:type="dxa" w:w="2296"/>
          </w:tcPr>
          <w:p>
            <w:pPr>
              <w:spacing w:after="20" w:line="264" w:lineRule="auto"/>
            </w:pPr>
            <w:r/>
            <w:r>
              <w:rPr>
                <w:rFonts w:ascii="Segoe UI" w:hAnsi="Segoe UI" w:eastAsia="Segoe UI" w:cs="Segoe UI"/>
                <w:color w:val="1F1D1A"/>
                <w:sz w:val="18"/>
              </w:rPr>
              <w:t>123.504</w:t>
            </w:r>
          </w:p>
        </w:tc>
        <w:tc>
          <w:tcPr>
            <w:tcW w:type="dxa" w:w="2296"/>
          </w:tcPr>
          <w:p>
            <w:pPr>
              <w:spacing w:after="20" w:line="264" w:lineRule="auto"/>
            </w:pPr>
            <w:r/>
            <w:r>
              <w:rPr>
                <w:rFonts w:ascii="Segoe UI" w:hAnsi="Segoe UI" w:eastAsia="Segoe UI" w:cs="Segoe UI"/>
                <w:color w:val="1F1D1A"/>
                <w:sz w:val="18"/>
              </w:rPr>
              <w:t>5.706,9 millones de gastos de personal de Defensa, que incluyen al personal civil y a los militares en la reserva</w:t>
            </w:r>
          </w:p>
        </w:tc>
        <w:tc>
          <w:tcPr>
            <w:tcW w:type="dxa" w:w="2296"/>
          </w:tcPr>
          <w:p>
            <w:pPr>
              <w:spacing w:after="20" w:line="264" w:lineRule="auto"/>
            </w:pPr>
            <w:r/>
            <w:r>
              <w:rPr>
                <w:rFonts w:ascii="Segoe UI" w:hAnsi="Segoe UI" w:eastAsia="Segoe UI" w:cs="Segoe UI"/>
                <w:color w:val="1F1D1A"/>
                <w:sz w:val="18"/>
              </w:rPr>
              <w:t>Presupuestos de 2023, sección 14</w:t>
            </w:r>
          </w:p>
        </w:tc>
      </w:tr>
      <w:tr>
        <w:tc>
          <w:tcPr>
            <w:tcW w:type="dxa" w:w="2296"/>
          </w:tcPr>
          <w:p>
            <w:pPr>
              <w:spacing w:after="20" w:line="264" w:lineRule="auto"/>
            </w:pPr>
            <w:r/>
            <w:r>
              <w:rPr>
                <w:rFonts w:ascii="Segoe UI" w:hAnsi="Segoe UI" w:eastAsia="Segoe UI" w:cs="Segoe UI"/>
                <w:color w:val="1F1D1A"/>
                <w:sz w:val="18"/>
              </w:rPr>
              <w:t>Policía Nacional y Guardia Civil</w:t>
            </w:r>
          </w:p>
        </w:tc>
        <w:tc>
          <w:tcPr>
            <w:tcW w:type="dxa" w:w="2296"/>
          </w:tcPr>
          <w:p>
            <w:pPr>
              <w:spacing w:after="20" w:line="264" w:lineRule="auto"/>
            </w:pPr>
            <w:r/>
            <w:r>
              <w:rPr>
                <w:rFonts w:ascii="Segoe UI" w:hAnsi="Segoe UI" w:eastAsia="Segoe UI" w:cs="Segoe UI"/>
                <w:color w:val="1F1D1A"/>
                <w:sz w:val="18"/>
              </w:rPr>
              <w:t>78.740 y 82.609</w:t>
            </w:r>
          </w:p>
        </w:tc>
        <w:tc>
          <w:tcPr>
            <w:tcW w:type="dxa" w:w="2296"/>
          </w:tcPr>
          <w:p>
            <w:pPr>
              <w:spacing w:after="20" w:line="264" w:lineRule="auto"/>
            </w:pPr>
            <w:r/>
            <w:r>
              <w:rPr>
                <w:rFonts w:ascii="Segoe UI" w:hAnsi="Segoe UI" w:eastAsia="Segoe UI" w:cs="Segoe UI"/>
                <w:color w:val="1F1D1A"/>
                <w:sz w:val="18"/>
              </w:rPr>
              <w:t>8.591,7 millones de gastos de personal de Interior, que incluyen prisiones y protección civil</w:t>
            </w:r>
          </w:p>
        </w:tc>
        <w:tc>
          <w:tcPr>
            <w:tcW w:type="dxa" w:w="2296"/>
          </w:tcPr>
          <w:p>
            <w:pPr>
              <w:spacing w:after="20" w:line="264" w:lineRule="auto"/>
            </w:pPr>
            <w:r/>
            <w:r>
              <w:rPr>
                <w:rFonts w:ascii="Segoe UI" w:hAnsi="Segoe UI" w:eastAsia="Segoe UI" w:cs="Segoe UI"/>
                <w:color w:val="1F1D1A"/>
                <w:sz w:val="18"/>
              </w:rPr>
              <w:t>Presupuestos de 2023, sección 16</w:t>
            </w:r>
          </w:p>
        </w:tc>
      </w:tr>
      <w:tr>
        <w:tc>
          <w:tcPr>
            <w:tcW w:type="dxa" w:w="2296"/>
          </w:tcPr>
          <w:p>
            <w:pPr>
              <w:spacing w:after="20" w:line="264" w:lineRule="auto"/>
            </w:pPr>
            <w:r/>
            <w:r>
              <w:rPr>
                <w:rFonts w:ascii="Segoe UI" w:hAnsi="Segoe UI" w:eastAsia="Segoe UI" w:cs="Segoe UI"/>
                <w:color w:val="1F1D1A"/>
                <w:sz w:val="18"/>
              </w:rPr>
              <w:t>Cortes Generales</w:t>
            </w:r>
          </w:p>
        </w:tc>
        <w:tc>
          <w:tcPr>
            <w:tcW w:type="dxa" w:w="2296"/>
          </w:tcPr>
          <w:p>
            <w:pPr>
              <w:spacing w:after="20" w:line="264" w:lineRule="auto"/>
            </w:pPr>
            <w:r/>
            <w:r>
              <w:rPr>
                <w:rFonts w:ascii="Segoe UI" w:hAnsi="Segoe UI" w:eastAsia="Segoe UI" w:cs="Segoe UI"/>
                <w:color w:val="1F1D1A"/>
                <w:sz w:val="18"/>
              </w:rPr>
              <w:t>350 diputados y 266 senadores</w:t>
            </w:r>
          </w:p>
        </w:tc>
        <w:tc>
          <w:tcPr>
            <w:tcW w:type="dxa" w:w="2296"/>
          </w:tcPr>
          <w:p>
            <w:pPr>
              <w:spacing w:after="20" w:line="264" w:lineRule="auto"/>
            </w:pPr>
            <w:r/>
            <w:r>
              <w:rPr>
                <w:rFonts w:ascii="Segoe UI" w:hAnsi="Segoe UI" w:eastAsia="Segoe UI" w:cs="Segoe UI"/>
                <w:color w:val="1F1D1A"/>
                <w:sz w:val="18"/>
              </w:rPr>
              <w:t>164,2 millones de gastos de personal</w:t>
            </w:r>
          </w:p>
        </w:tc>
        <w:tc>
          <w:tcPr>
            <w:tcW w:type="dxa" w:w="2296"/>
          </w:tcPr>
          <w:p>
            <w:pPr>
              <w:spacing w:after="20" w:line="264" w:lineRule="auto"/>
            </w:pPr>
            <w:r/>
            <w:r>
              <w:rPr>
                <w:rFonts w:ascii="Segoe UI" w:hAnsi="Segoe UI" w:eastAsia="Segoe UI" w:cs="Segoe UI"/>
                <w:color w:val="1F1D1A"/>
                <w:sz w:val="18"/>
              </w:rPr>
              <w:t>Presupuestos de 2023, sección 02</w:t>
            </w:r>
          </w:p>
        </w:tc>
      </w:tr>
      <w:tr>
        <w:tc>
          <w:tcPr>
            <w:tcW w:type="dxa" w:w="2296"/>
          </w:tcPr>
          <w:p>
            <w:pPr>
              <w:spacing w:after="20" w:line="264" w:lineRule="auto"/>
            </w:pPr>
            <w:r/>
            <w:r>
              <w:rPr>
                <w:rFonts w:ascii="Segoe UI" w:hAnsi="Segoe UI" w:eastAsia="Segoe UI" w:cs="Segoe UI"/>
                <w:color w:val="1F1D1A"/>
                <w:sz w:val="18"/>
              </w:rPr>
              <w:t>Altos cargos del Gobierno</w:t>
            </w:r>
          </w:p>
        </w:tc>
        <w:tc>
          <w:tcPr>
            <w:tcW w:type="dxa" w:w="2296"/>
          </w:tcPr>
          <w:p>
            <w:pPr>
              <w:spacing w:after="20" w:line="264" w:lineRule="auto"/>
            </w:pPr>
            <w:r/>
            <w:r>
              <w:rPr>
                <w:rFonts w:ascii="Segoe UI" w:hAnsi="Segoe UI" w:eastAsia="Segoe UI" w:cs="Segoe UI"/>
                <w:color w:val="1F1D1A"/>
                <w:sz w:val="18"/>
              </w:rPr>
              <w:t>743 registros en 2025</w:t>
            </w:r>
          </w:p>
        </w:tc>
        <w:tc>
          <w:tcPr>
            <w:tcW w:type="dxa" w:w="2296"/>
          </w:tcPr>
          <w:p>
            <w:pPr>
              <w:spacing w:after="20" w:line="264" w:lineRule="auto"/>
            </w:pPr>
            <w:r/>
            <w:r>
              <w:rPr>
                <w:rFonts w:ascii="Segoe UI" w:hAnsi="Segoe UI" w:eastAsia="Segoe UI" w:cs="Segoe UI"/>
                <w:color w:val="1F1D1A"/>
                <w:sz w:val="18"/>
              </w:rPr>
              <w:t>68,57 millones (suma de la obra)</w:t>
            </w:r>
          </w:p>
        </w:tc>
        <w:tc>
          <w:tcPr>
            <w:tcW w:type="dxa" w:w="2296"/>
          </w:tcPr>
          <w:p>
            <w:pPr>
              <w:spacing w:after="20" w:line="264" w:lineRule="auto"/>
            </w:pPr>
            <w:r/>
            <w:r>
              <w:rPr>
                <w:rFonts w:ascii="Segoe UI" w:hAnsi="Segoe UI" w:eastAsia="Segoe UI" w:cs="Segoe UI"/>
                <w:color w:val="1F1D1A"/>
                <w:sz w:val="18"/>
              </w:rPr>
              <w:t>Portal de la Transparencia (</w:t>
            </w:r>
            <w:r>
              <w:rPr>
                <w:rFonts w:ascii="Segoe UI" w:hAnsi="Segoe UI" w:eastAsia="Segoe UI" w:cs="Segoe UI"/>
                <w:color w:val="1F1D1A"/>
                <w:sz w:val="18"/>
              </w:rPr>
              <w:t>C.1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Asesores</w:t>
            </w:r>
          </w:p>
        </w:tc>
        <w:tc>
          <w:tcPr>
            <w:tcW w:type="dxa" w:w="2296"/>
          </w:tcPr>
          <w:p>
            <w:pPr>
              <w:spacing w:after="20" w:line="264" w:lineRule="auto"/>
            </w:pPr>
            <w:r/>
            <w:r>
              <w:rPr>
                <w:rFonts w:ascii="Segoe UI" w:hAnsi="Segoe UI" w:eastAsia="Segoe UI" w:cs="Segoe UI"/>
                <w:color w:val="1F1D1A"/>
                <w:sz w:val="18"/>
              </w:rPr>
              <w:t>al menos 959 en los ministerios</w:t>
            </w:r>
          </w:p>
        </w:tc>
        <w:tc>
          <w:tcPr>
            <w:tcW w:type="dxa" w:w="2296"/>
          </w:tcPr>
          <w:p>
            <w:pPr>
              <w:spacing w:after="20" w:line="264" w:lineRule="auto"/>
            </w:pPr>
            <w:r/>
            <w:r>
              <w:rPr>
                <w:rFonts w:ascii="Segoe UI" w:hAnsi="Segoe UI" w:eastAsia="Segoe UI" w:cs="Segoe UI"/>
                <w:color w:val="1F1D1A"/>
                <w:sz w:val="18"/>
              </w:rPr>
              <w:t>solo consta el de la Presidencia del Gobierno: 18,03 millones al año</w:t>
            </w:r>
          </w:p>
        </w:tc>
        <w:tc>
          <w:tcPr>
            <w:tcW w:type="dxa" w:w="2296"/>
          </w:tcPr>
          <w:p>
            <w:pPr>
              <w:spacing w:after="20" w:line="264" w:lineRule="auto"/>
            </w:pPr>
            <w:r/>
            <w:r>
              <w:rPr>
                <w:rFonts w:ascii="Segoe UI" w:hAnsi="Segoe UI" w:eastAsia="Segoe UI" w:cs="Segoe UI"/>
                <w:color w:val="1F1D1A"/>
                <w:sz w:val="18"/>
              </w:rPr>
              <w:t>Presupuestos de 2023, sección 25, programa 912M</w:t>
            </w:r>
          </w:p>
        </w:tc>
      </w:tr>
      <w:tr>
        <w:tc>
          <w:tcPr>
            <w:tcW w:type="dxa" w:w="2296"/>
          </w:tcPr>
          <w:p>
            <w:pPr>
              <w:spacing w:after="20" w:line="264" w:lineRule="auto"/>
            </w:pPr>
            <w:r/>
            <w:r>
              <w:rPr>
                <w:rFonts w:ascii="Segoe UI" w:hAnsi="Segoe UI" w:eastAsia="Segoe UI" w:cs="Segoe UI"/>
                <w:color w:val="1F1D1A"/>
                <w:sz w:val="18"/>
              </w:rPr>
              <w:t>Expresidentes del Gobierno</w:t>
            </w:r>
          </w:p>
        </w:tc>
        <w:tc>
          <w:tcPr>
            <w:tcW w:type="dxa" w:w="2296"/>
          </w:tcPr>
          <w:p>
            <w:pPr>
              <w:spacing w:after="20" w:line="264" w:lineRule="auto"/>
            </w:pPr>
            <w:r/>
            <w:r>
              <w:rPr>
                <w:rFonts w:ascii="Segoe UI" w:hAnsi="Segoe UI" w:eastAsia="Segoe UI" w:cs="Segoe UI"/>
                <w:color w:val="1F1D1A"/>
                <w:sz w:val="18"/>
              </w:rPr>
              <w:t>cuatro</w:t>
            </w:r>
          </w:p>
        </w:tc>
        <w:tc>
          <w:tcPr>
            <w:tcW w:type="dxa" w:w="2296"/>
          </w:tcPr>
          <w:p>
            <w:pPr>
              <w:spacing w:after="20" w:line="264" w:lineRule="auto"/>
            </w:pPr>
            <w:r/>
            <w:r>
              <w:rPr>
                <w:rFonts w:ascii="Segoe UI" w:hAnsi="Segoe UI" w:eastAsia="Segoe UI" w:cs="Segoe UI"/>
                <w:color w:val="1F1D1A"/>
                <w:sz w:val="18"/>
              </w:rPr>
              <w:t>298.320 euros de dotación de oficina, más dos asesores cada uno (</w:t>
            </w:r>
            <w:r>
              <w:rPr>
                <w:rFonts w:ascii="Segoe UI" w:hAnsi="Segoe UI" w:eastAsia="Segoe UI" w:cs="Segoe UI"/>
                <w:color w:val="1F1D1A"/>
                <w:sz w:val="18"/>
              </w:rPr>
              <w:t>C.4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Presupuestos de 2023, programa 912M, concepto 480</w:t>
            </w:r>
          </w:p>
        </w:tc>
      </w:tr>
    </w:tbl>
    <w:p>
      <w:pPr>
        <w:spacing w:after="80"/>
      </w:pPr>
    </w:p>
    <w:p>
      <w:r>
        <w:t>[35.00-2.5 a 2.10; 35.00-1.3; 35.00-2.8, con la errata del 07: 68,57 millones. {completo} Interior: 8.591,7 millones en la Ley de 2023; 8.590,2 en el presupuesto prorrogado]</w:t>
      </w:r>
    </w:p>
    <w:p>
      <w:r>
        <w:rPr>
          <w:b/>
        </w:rPr>
        <w:t>Diputados y senadores.</w:t>
      </w:r>
      <w:r>
        <w:t xml:space="preserve"> Lo que cobra cada diputado se explica en </w:t>
      </w:r>
      <w:r>
        <w:t>7.2</w:t>
      </w:r>
      <w:r>
        <w:t>. Cada senador percibe una asignación de 3.417,54 euros al mes en catorce pagas, más los complementos de su cargo, más una indemnización exenta de impuestos de 2.193,50 euros al mes, o de 1.046,08 si es de Madrid, también en catorce pagas</w:t>
      </w:r>
      <w:r>
        <w:t xml:space="preserve"> (Senado, régimen económico, actualizado el 15-9-2026)</w:t>
      </w:r>
      <w:r>
        <w:t>. Cálculo de la obra: un senador sin cargo y de fuera de Madrid recibe unos 78.555 euros al año, de los que unos 30.700 están exentos de impuestos. {completo} El diputado recibe una indemnización exenta de 2.162,85 euros al mes, o de 1.032,38 si es elegido por Madrid</w:t>
      </w:r>
      <w:r>
        <w:t xml:space="preserve"> (Congreso de los Diputados, régimen económico de 2026)</w:t>
      </w:r>
      <w:r>
        <w:t xml:space="preserve">. </w:t>
      </w:r>
      <w:r>
        <w:t>[35.00-2.7]</w:t>
      </w:r>
    </w:p>
    <w:p>
      <w:r>
        <w:rPr>
          <w:b/>
        </w:rPr>
        <w:t>La Casa del Rey.</w:t>
      </w:r>
      <w:r>
        <w:t xml:space="preserve"> La asignación global para 2026 es de 8.431.150 euros, la misma desde 2021 (seis ejercicios seguidos), y de ella 3.804.452 son gastos de personal. El Rey percibe 290.000 euros; la Reina, 160.000; la Reina doña Sofía, 131.000; y los once altos cargos de la Casa, entre 122.886,10 y 178.915,94 euros cada uno</w:t>
      </w:r>
      <w:r>
        <w:t xml:space="preserve"> (Casa de S.M. el Rey, presupuesto y retribuciones de 2026)</w:t>
      </w:r>
      <w:r>
        <w:t>. El Tribunal de Cuentas auditó las cuentas de 2025 con opinión favorable: «expresan, en todos los aspectos significativos, la imagen fiel del patrimonio y de la situación financiera»; y el resultado del ejercicio fue negativo, de 719.334,93 euros (en 2024, de 99.591,80)</w:t>
      </w:r>
      <w:r>
        <w:t xml:space="preserve"> (Tribunal de Cuentas, informe de 25-6-2026, y cuentas anuales de 2025 de la Casa)</w:t>
      </w:r>
      <w:r>
        <w:t xml:space="preserve">. Ni el Tribunal de Cuentas ni las cuentas atribuyen ese resultado a que el presupuesto esté congelado. </w:t>
      </w:r>
      <w:r>
        <w:t>[20.00-14.1; 20.00-14.3; 35.00-2.4; 20.00-35.13, punto 1]</w:t>
      </w:r>
    </w:p>
    <w:p>
      <w:r>
        <w:t>Lo que no dicen ni su presupuesto ni sus cuentas es cuántas personas trabajan en ella. El presupuesto de 2026 dedica 32.500 euros al personal laboral de la Casa y 1.818.350 a «los complementos que percibe el personal que presta servicio en la Casa»</w:t>
      </w:r>
      <w:r>
        <w:t xml:space="preserve"> (Casa de S.M. el Rey, distribución del presupuesto de 2026, artículos 13 y 15)</w:t>
      </w:r>
      <w:r>
        <w:br/>
      </w:r>
      <w:r>
        <w:rPr>
          <w:b/>
        </w:rPr>
        <w:t>leída en su fuente · Casa de S.M. el Rey, distribución del presupuesto de 2026, artículos 13 y 15</w:t>
      </w:r>
      <w:r>
        <w:br/>
      </w:r>
      <w:r>
        <w:rPr>
          <w:b/>
        </w:rPr>
        <w:t>Archivo leído:</w:t>
      </w:r>
      <w:r>
        <w:t xml:space="preserve"> casareal_presupuestos_distribucion_2026.html (c9e\casareal_presupuestos_distribucion_2026.html) · contraste del archivo de pasajes: ✔</w:t>
      </w:r>
      <w:r>
        <w:br/>
      </w:r>
      <w:r>
        <w:rPr>
          <w:b/>
        </w:rPr>
        <w:t>Lugar:</w:t>
      </w:r>
      <w:r>
        <w:t xml:space="preserve"> Casa de S.M. el Rey, distribución del presupuesto de 2026, artículos 13 y 15</w:t>
      </w:r>
      <w:r>
        <w:br/>
      </w:r>
      <w:r>
        <w:rPr>
          <w:b/>
        </w:rPr>
        <w:t>Tal como está en la fuente:</w:t>
      </w:r>
      <w:r>
        <w:t xml:space="preserve"> los complementos que percibe el personal que presta servicio en la Casa</w:t>
      </w:r>
      <w:r>
        <w:t>; y las cuentas explican que esos complementos «se puedan asignar a otro personal que presta servicio en la Casa»</w:t>
      </w:r>
      <w:r>
        <w:t xml:space="preserve"> (cuentas anuales de 2025, nota 11.1; Real Decreto 434/1988, art. 12.1)</w:t>
      </w:r>
      <w:r>
        <w:br/>
      </w:r>
      <w:r>
        <w:rPr>
          <w:b/>
        </w:rPr>
        <w:t>leída en su fuente · cuentas anuales de 2025, nota 11.1; Real Decreto 434/1988, art. 12.1</w:t>
      </w:r>
      <w:r>
        <w:br/>
      </w:r>
      <w:r>
        <w:rPr>
          <w:b/>
        </w:rPr>
        <w:t>Archivo leído:</w:t>
      </w:r>
      <w:r>
        <w:t xml:space="preserve"> casareal_InformeAuditoriaTCCA2024.pdf (c9e\casareal_InformeAuditoriaTCCA2024.pdf) · contraste del archivo de pasajes: ✔</w:t>
      </w:r>
      <w:r>
        <w:br/>
      </w:r>
      <w:r>
        <w:rPr>
          <w:b/>
        </w:rPr>
        <w:t>Lugar:</w:t>
      </w:r>
      <w:r>
        <w:t xml:space="preserve"> cuentas anuales de 2025, nota 11.1; Real Decreto 434/1988, art. 12.1</w:t>
      </w:r>
      <w:r>
        <w:br/>
      </w:r>
      <w:r>
        <w:rPr>
          <w:b/>
        </w:rPr>
        <w:t>Tal como está en la fuente:</w:t>
      </w:r>
      <w:r>
        <w:t xml:space="preserve"> se puedan asignar a otro personal que presta servicio en la Casa</w:t>
      </w:r>
      <w:r>
        <w:t>. Hay, pues, personal que sirve en la Casa y cuyo sueldo no figura en su presupuesto. Del personal civil sí hay cifra: la relación de puestos del Ministerio de la Presidencia, en el Portal de la Transparencia, publica como anexo la de la Casa del Rey, con 161 puestos de funcionarios a 1-X-2026 (159 no vacantes y 2 vacantes)</w:t>
      </w:r>
      <w:r>
        <w:t xml:space="preserve"> (Portal de la Transparencia, relación de puestos de trabajo del Ministerio de la Presidencia, anexo de la Casa de S.M. el Rey, 1-X-2026)</w:t>
      </w:r>
      <w:r>
        <w:t>. Cuántas personas más sirven en la Casa y quién les paga el sueldo no se ha podido leer en una fuente oficial.</w:t>
      </w:r>
    </w:p>
    <w:p>
      <w:r>
        <w:rPr>
          <w:b/>
        </w:rPr>
        <w:t>El coste de la Jefatura del Estado.</w:t>
      </w:r>
      <w:r>
        <w:t xml:space="preserve"> No tiene cifra oficial. Un informe de REMCO (Universidad de Málaga, marzo de 2026), con datos de la Casa de 2021 y relaciones de puestos de 2023, lo calcula en unos 105 millones de euros (105,24 en sus tablas 1 y 2; 104,86 en la 5), de ellos 80,07 de personal; el propio informe avisa de que la seguridad, que no se desglosa, podría subir esa cifra. Es un estudio académico, nivel B, no una cifra oficial</w:t>
      </w:r>
      <w:r>
        <w:t xml:space="preserve"> (REMCO, informe sobre el coste de las jefaturas del Estado (marzo de 2026); fuente secundaria)</w:t>
      </w:r>
      <w:r>
        <w:t xml:space="preserve">. </w:t>
      </w:r>
      <w:r>
        <w:t>[20.00-14.2; 34.00-12.9; leído hoy en c9e; 17.00-83.1]</w:t>
      </w:r>
    </w:p>
    <w:p>
      <w:r>
        <w:rPr>
          <w:b/>
        </w:rPr>
        <w:t>Las tres esferas: quién paga a quién.</w:t>
      </w:r>
      <w:r>
        <w:t xml:space="preserve"> Cada administración paga a su personal con su propio presupuesto, pero el dinero sale en buena parte del mismo contribuyente, repartido entre las tres. Las comunidades de régimen común se quedan con el 50 % del IVA producido en su territorio</w:t>
      </w:r>
      <w:r>
        <w:t xml:space="preserve"> (Ley 22/2009, art. 35)</w:t>
      </w:r>
      <w:r>
        <w:t xml:space="preserve"> y, en la práctica, con la mitad del IRPF</w:t>
      </w:r>
      <w:r>
        <w:t xml:space="preserve"> (art. 26)</w:t>
      </w:r>
      <w:r>
        <w:t>, además de impuestos cedidos enteros y de los fondos del sistema. Sus entregas a cuenta fueron de 156.990 millones de euros en 2026 y serán de 170.529 millones en 2027</w:t>
      </w:r>
      <w:r>
        <w:t xml:space="preserve"> (Ministerio de Hacienda, notas de 30-7-2025 y 29-7-2026)</w:t>
      </w:r>
      <w:r>
        <w:t>. El País Vasco y Navarra tienen régimen foral propio, que aquí no se analiza. Los ayuntamientos tienen sus impuestos obligatorios, el de bienes inmuebles, el de actividades económicas y el de vehículos, y otros voluntarios</w:t>
      </w:r>
      <w:r>
        <w:t xml:space="preserve"> (Ley Reguladora de las Haciendas Locales, art. 59)</w:t>
      </w:r>
      <w:r>
        <w:t>, más su participación en los impuestos del Estado: 31.826 millones de entregas a cuenta en 2027, importe provisional</w:t>
      </w:r>
      <w:r>
        <w:t xml:space="preserve"> (Ministerio de Hacienda, 29-7-2026)</w:t>
      </w:r>
      <w:r>
        <w:t xml:space="preserve">. Cálculo de la obra, como orden de magnitud: la nómina de las comunidades, 108.023 millones en 2024, equivale a unos dos tercios de lo que reciben del sistema de financiación. </w:t>
      </w:r>
      <w:r>
        <w:t>[35.00-2.11]</w:t>
      </w:r>
    </w:p>
    <w:p>
      <w:r>
        <w:t xml:space="preserve">La cifra de 2026 es la comunicada en julio de 2025; la nota de julio de 2026 da los 170.529 millones de 2027 como «un 8,1% más que en 2026», lo que supone unos 157.750 millones para 2026 tras la actualización (cálculo). </w:t>
      </w:r>
      <w:r>
        <w:t>[35.00-2.11]</w:t>
      </w:r>
    </w:p>
    <w:p>
      <w:r>
        <w:rPr>
          <w:b/>
        </w:rPr>
        <w:t>Lo que no se publica por separado.</w:t>
      </w:r>
      <w:r>
        <w:t xml:space="preserve"> No hay un coste total de todos los asesores del Estado; los Presupuestos no separan el sueldo de los militares en activo ni el de los policías del resto del personal de sus ministerios; lo que cobran los cargos de las comunidades y de los ayuntamientos no se suma; la financiación de cada esfera no aparece en un cuadro único, y hay que reconstruirla con notas de prensa del Ministerio de Hacienda, liquidación a liquidación; y la Casa del Rey no dice cuántas personas trabajan en ella. La lista entera del muro de opacidad está en 8.6: «La ley obliga a publicar cada dato; nadie está obligado a publicar la suma». </w:t>
      </w:r>
      <w:r>
        <w:t>[35.00-2.12; 34.00-12.10; 35.00-2.13]</w:t>
      </w:r>
    </w:p>
    <w:p>
      <w:pPr>
        <w:pStyle w:val="Heading2"/>
      </w:pPr>
      <w:r>
        <w:t>C.3 El cuadro de las partidas</w:t>
      </w:r>
    </w:p>
    <w:p>
      <w:pPr>
        <w:pBdr>
          <w:left w:val="single" w:sz="24" w:space="6" w:color="E2DED6"/>
        </w:pBdr>
        <w:shd w:val="clear" w:color="auto" w:fill="F1EEE8"/>
        <w:spacing w:before="80" w:after="160"/>
        <w:ind w:left="142" w:right="142"/>
      </w:pPr>
      <w:r>
        <w:rPr>
          <w:b/>
        </w:rPr>
        <w:t>La idea: de cada 100 euros que gastan las administraciones, 26,5 van a las pensiones de la Seguridad Social, 23,7 a su personal, 5,3 a intereses y 3,2 a Clases Pasivas; lo que cuestan quienes gobiernan es una fracción mínima, pero es la parte con reglas propias.</w:t>
      </w:r>
    </w:p>
    <w:p>
      <w:r>
        <w:t>Las cifras de este anexo, en un solo cuadro. Cada línea lleva su año y remite al apartado donde está su fuente; las marcadas «estimación» son cálculos de la obra. Referencia: el gasto total de todas las administraciones públicas fue de 764.884 millones de euros en 2025</w:t>
      </w:r>
      <w:r>
        <w:t xml:space="preserve"> (Eurostat, gov_10a_main)</w:t>
      </w:r>
      <w:r>
        <w:t xml:space="preserve">. </w:t>
      </w:r>
      <w:r>
        <w:t>[35.00-3.1; 35.00-3.2]</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Partida</w:t>
            </w:r>
          </w:p>
        </w:tc>
        <w:tc>
          <w:tcPr>
            <w:tcW w:type="dxa" w:w="2296"/>
            <w:shd w:val="clear" w:color="auto" w:fill="F1EEE8"/>
          </w:tcPr>
          <w:p>
            <w:pPr>
              <w:spacing w:after="20" w:line="264" w:lineRule="auto"/>
            </w:pPr>
            <w:r>
              <w:rPr>
                <w:b/>
              </w:rPr>
            </w:r>
            <w:r>
              <w:rPr>
                <w:rFonts w:ascii="Segoe UI" w:hAnsi="Segoe UI" w:eastAsia="Segoe UI" w:cs="Segoe UI"/>
                <w:b/>
                <w:color w:val="1F1D1A"/>
                <w:sz w:val="18"/>
              </w:rPr>
              <w:t>Dato</w:t>
            </w:r>
          </w:p>
        </w:tc>
        <w:tc>
          <w:tcPr>
            <w:tcW w:type="dxa" w:w="2296"/>
            <w:shd w:val="clear" w:color="auto" w:fill="F1EEE8"/>
          </w:tcPr>
          <w:p>
            <w:pPr>
              <w:spacing w:after="20" w:line="264" w:lineRule="auto"/>
            </w:pPr>
            <w:r>
              <w:rPr>
                <w:b/>
              </w:rPr>
            </w:r>
            <w:r>
              <w:rPr>
                <w:rFonts w:ascii="Segoe UI" w:hAnsi="Segoe UI" w:eastAsia="Segoe UI" w:cs="Segoe UI"/>
                <w:b/>
                <w:color w:val="1F1D1A"/>
                <w:sz w:val="18"/>
              </w:rPr>
              <w:t>De cada 100 € del gasto</w:t>
            </w:r>
          </w:p>
        </w:tc>
        <w:tc>
          <w:tcPr>
            <w:tcW w:type="dxa" w:w="2296"/>
            <w:shd w:val="clear" w:color="auto" w:fill="F1EEE8"/>
          </w:tcPr>
          <w:p>
            <w:pPr>
              <w:spacing w:after="20" w:line="264" w:lineRule="auto"/>
            </w:pPr>
            <w:r>
              <w:rPr>
                <w:b/>
              </w:rPr>
            </w:r>
            <w:r>
              <w:rPr>
                <w:rFonts w:ascii="Segoe UI" w:hAnsi="Segoe UI" w:eastAsia="Segoe UI" w:cs="Segoe UI"/>
                <w:b/>
                <w:color w:val="1F1D1A"/>
                <w:sz w:val="18"/>
              </w:rPr>
              <w:t>Dónde</w:t>
            </w:r>
          </w:p>
        </w:tc>
      </w:tr>
      <w:tr>
        <w:tc>
          <w:tcPr>
            <w:tcW w:type="dxa" w:w="2296"/>
          </w:tcPr>
          <w:p>
            <w:pPr>
              <w:spacing w:after="20" w:line="264" w:lineRule="auto"/>
            </w:pPr>
            <w:r/>
            <w:r>
              <w:rPr>
                <w:rFonts w:ascii="Segoe UI" w:hAnsi="Segoe UI" w:eastAsia="Segoe UI" w:cs="Segoe UI"/>
                <w:b/>
                <w:color w:val="1F1D1A"/>
                <w:sz w:val="18"/>
              </w:rPr>
              <w:t>1. Pensiones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[35.00-3.3]</w:t>
            </w:r>
          </w:p>
        </w:tc>
      </w:tr>
      <w:tr>
        <w:tc>
          <w:tcPr>
            <w:tcW w:type="dxa" w:w="2296"/>
          </w:tcPr>
          <w:p>
            <w:pPr>
              <w:spacing w:after="20" w:line="264" w:lineRule="auto"/>
            </w:pPr>
            <w:r/>
            <w:r>
              <w:rPr>
                <w:rFonts w:ascii="Segoe UI" w:hAnsi="Segoe UI" w:eastAsia="Segoe UI" w:cs="Segoe UI"/>
                <w:color w:val="1F1D1A"/>
                <w:sz w:val="18"/>
              </w:rPr>
              <w:t>Seguridad Social, todos sus regímenes (véase la nota)</w:t>
            </w:r>
          </w:p>
        </w:tc>
        <w:tc>
          <w:tcPr>
            <w:tcW w:type="dxa" w:w="2296"/>
          </w:tcPr>
          <w:p>
            <w:pPr>
              <w:spacing w:after="20" w:line="264" w:lineRule="auto"/>
            </w:pPr>
            <w:r/>
            <w:r>
              <w:rPr>
                <w:rFonts w:ascii="Segoe UI" w:hAnsi="Segoe UI" w:eastAsia="Segoe UI" w:cs="Segoe UI"/>
                <w:color w:val="1F1D1A"/>
                <w:sz w:val="18"/>
              </w:rPr>
              <w:t>10.547.417 pensiones; 14.498,2 millones al mes (septiembre de 2026); unos 202.975 millones al año (estimación)</w:t>
            </w:r>
          </w:p>
        </w:tc>
        <w:tc>
          <w:tcPr>
            <w:tcW w:type="dxa" w:w="2296"/>
          </w:tcPr>
          <w:p>
            <w:pPr>
              <w:spacing w:after="20" w:line="264" w:lineRule="auto"/>
            </w:pPr>
            <w:r/>
            <w:r>
              <w:rPr>
                <w:rFonts w:ascii="Segoe UI" w:hAnsi="Segoe UI" w:eastAsia="Segoe UI" w:cs="Segoe UI"/>
                <w:color w:val="1F1D1A"/>
                <w:sz w:val="18"/>
              </w:rPr>
              <w:t>26,5</w:t>
            </w:r>
          </w:p>
        </w:tc>
        <w:tc>
          <w:tcPr>
            <w:tcW w:type="dxa" w:w="2296"/>
          </w:tcPr>
          <w:p>
            <w:pPr>
              <w:spacing w:after="20" w:line="264" w:lineRule="auto"/>
            </w:pPr>
            <w:r/>
            <w:r>
              <w:rPr>
                <w:rFonts w:ascii="Segoe UI" w:hAnsi="Segoe UI" w:eastAsia="Segoe UI" w:cs="Segoe UI"/>
                <w:color w:val="1F1D1A"/>
                <w:sz w:val="18"/>
              </w:rPr>
              <w:t>C.5</w:t>
            </w:r>
            <w:r>
              <w:rPr>
                <w:rFonts w:ascii="Segoe UI" w:hAnsi="Segoe UI" w:eastAsia="Segoe UI" w:cs="Segoe UI"/>
                <w:color w:val="1F1D1A"/>
                <w:sz w:val="18"/>
              </w:rPr>
              <w:t xml:space="preserve"> </w:t>
            </w:r>
            <w:r>
              <w:rPr>
                <w:rFonts w:ascii="Segoe UI" w:hAnsi="Segoe UI" w:eastAsia="Segoe UI" w:cs="Segoe UI"/>
                <w:color w:val="1F1D1A"/>
                <w:sz w:val="18"/>
              </w:rPr>
              <w:t>[35.00-3.4]</w:t>
            </w:r>
          </w:p>
        </w:tc>
      </w:tr>
      <w:tr>
        <w:tc>
          <w:tcPr>
            <w:tcW w:type="dxa" w:w="2296"/>
          </w:tcPr>
          <w:p>
            <w:pPr>
              <w:spacing w:after="20" w:line="264" w:lineRule="auto"/>
            </w:pPr>
            <w:r/>
            <w:r>
              <w:rPr>
                <w:rFonts w:ascii="Segoe UI" w:hAnsi="Segoe UI" w:eastAsia="Segoe UI" w:cs="Segoe UI"/>
                <w:color w:val="1F1D1A"/>
                <w:sz w:val="18"/>
              </w:rPr>
              <w:t>Clases Pasivas, funcionarios del Estado que ingresaron antes de 2011</w:t>
            </w:r>
          </w:p>
        </w:tc>
        <w:tc>
          <w:tcPr>
            <w:tcW w:type="dxa" w:w="2296"/>
          </w:tcPr>
          <w:p>
            <w:pPr>
              <w:spacing w:after="20" w:line="264" w:lineRule="auto"/>
            </w:pPr>
            <w:r/>
            <w:r>
              <w:rPr>
                <w:rFonts w:ascii="Segoe UI" w:hAnsi="Segoe UI" w:eastAsia="Segoe UI" w:cs="Segoe UI"/>
                <w:color w:val="1F1D1A"/>
                <w:sz w:val="18"/>
              </w:rPr>
              <w:t>740.431 pensiones; 1.774,1 millones al mes (agosto de 2026); unos 24.837 millones al año (estimación)</w:t>
            </w:r>
          </w:p>
        </w:tc>
        <w:tc>
          <w:tcPr>
            <w:tcW w:type="dxa" w:w="2296"/>
          </w:tcPr>
          <w:p>
            <w:pPr>
              <w:spacing w:after="20" w:line="264" w:lineRule="auto"/>
            </w:pPr>
            <w:r/>
            <w:r>
              <w:rPr>
                <w:rFonts w:ascii="Segoe UI" w:hAnsi="Segoe UI" w:eastAsia="Segoe UI" w:cs="Segoe UI"/>
                <w:color w:val="1F1D1A"/>
                <w:sz w:val="18"/>
              </w:rPr>
              <w:t>3,2</w:t>
            </w:r>
          </w:p>
        </w:tc>
        <w:tc>
          <w:tcPr>
            <w:tcW w:type="dxa" w:w="2296"/>
          </w:tcPr>
          <w:p>
            <w:pPr>
              <w:spacing w:after="20" w:line="264" w:lineRule="auto"/>
            </w:pPr>
            <w:r/>
            <w:r>
              <w:rPr>
                <w:rFonts w:ascii="Segoe UI" w:hAnsi="Segoe UI" w:eastAsia="Segoe UI" w:cs="Segoe UI"/>
                <w:color w:val="1F1D1A"/>
                <w:sz w:val="18"/>
              </w:rPr>
              <w:t>C.5</w:t>
            </w:r>
            <w:r>
              <w:rPr>
                <w:rFonts w:ascii="Segoe UI" w:hAnsi="Segoe UI" w:eastAsia="Segoe UI" w:cs="Segoe UI"/>
                <w:color w:val="1F1D1A"/>
                <w:sz w:val="18"/>
              </w:rPr>
              <w:t xml:space="preserve"> </w:t>
            </w:r>
            <w:r>
              <w:rPr>
                <w:rFonts w:ascii="Segoe UI" w:hAnsi="Segoe UI" w:eastAsia="Segoe UI" w:cs="Segoe UI"/>
                <w:color w:val="1F1D1A"/>
                <w:sz w:val="18"/>
              </w:rPr>
              <w:t>[35.00-3.5]</w:t>
            </w:r>
          </w:p>
        </w:tc>
      </w:tr>
      <w:tr>
        <w:tc>
          <w:tcPr>
            <w:tcW w:type="dxa" w:w="2296"/>
          </w:tcPr>
          <w:p>
            <w:pPr>
              <w:spacing w:after="20" w:line="264" w:lineRule="auto"/>
            </w:pPr>
            <w:r/>
            <w:r>
              <w:rPr>
                <w:rFonts w:ascii="Segoe UI" w:hAnsi="Segoe UI" w:eastAsia="Segoe UI" w:cs="Segoe UI"/>
                <w:color w:val="1F1D1A"/>
                <w:sz w:val="18"/>
              </w:rPr>
              <w:t>Prestaciones por razón de un cargo político</w:t>
            </w:r>
          </w:p>
        </w:tc>
        <w:tc>
          <w:tcPr>
            <w:tcW w:type="dxa" w:w="2296"/>
          </w:tcPr>
          <w:p>
            <w:pPr>
              <w:spacing w:after="20" w:line="264" w:lineRule="auto"/>
            </w:pPr>
            <w:r/>
            <w:r>
              <w:rPr>
                <w:rFonts w:ascii="Segoe UI" w:hAnsi="Segoe UI" w:eastAsia="Segoe UI" w:cs="Segoe UI"/>
                <w:color w:val="1F1D1A"/>
                <w:sz w:val="18"/>
              </w:rPr>
              <w:t>pensiones a exministros, 2.379.970 € al año; dotación de los expresidentes, 298.320 €; las de los exparlamentarios no se publican</w:t>
            </w:r>
          </w:p>
        </w:tc>
        <w:tc>
          <w:tcPr>
            <w:tcW w:type="dxa" w:w="2296"/>
          </w:tcPr>
          <w:p>
            <w:pPr>
              <w:spacing w:after="20" w:line="264" w:lineRule="auto"/>
            </w:pPr>
            <w:r/>
            <w:r>
              <w:rPr>
                <w:rFonts w:ascii="Segoe UI" w:hAnsi="Segoe UI" w:eastAsia="Segoe UI" w:cs="Segoe UI"/>
                <w:color w:val="1F1D1A"/>
                <w:sz w:val="18"/>
              </w:rPr>
              <w:t>menos de 0,01</w:t>
            </w:r>
          </w:p>
        </w:tc>
        <w:tc>
          <w:tcPr>
            <w:tcW w:type="dxa" w:w="2296"/>
          </w:tcPr>
          <w:p>
            <w:pPr>
              <w:spacing w:after="20" w:line="264" w:lineRule="auto"/>
            </w:pPr>
            <w:r/>
            <w:r>
              <w:rPr>
                <w:rFonts w:ascii="Segoe UI" w:hAnsi="Segoe UI" w:eastAsia="Segoe UI" w:cs="Segoe UI"/>
                <w:color w:val="1F1D1A"/>
                <w:sz w:val="18"/>
              </w:rPr>
              <w:t>C.5</w:t>
            </w:r>
            <w:r>
              <w:rPr>
                <w:rFonts w:ascii="Segoe UI" w:hAnsi="Segoe UI" w:eastAsia="Segoe UI" w:cs="Segoe UI"/>
                <w:color w:val="1F1D1A"/>
                <w:sz w:val="18"/>
              </w:rPr>
              <w:t xml:space="preserve"> </w:t>
            </w:r>
            <w:r>
              <w:rPr>
                <w:rFonts w:ascii="Segoe UI" w:hAnsi="Segoe UI" w:eastAsia="Segoe UI" w:cs="Segoe UI"/>
                <w:color w:val="1F1D1A"/>
                <w:sz w:val="18"/>
              </w:rPr>
              <w:t>[35.00-3.6]</w:t>
            </w:r>
          </w:p>
        </w:tc>
      </w:tr>
      <w:tr>
        <w:tc>
          <w:tcPr>
            <w:tcW w:type="dxa" w:w="2296"/>
          </w:tcPr>
          <w:p>
            <w:pPr>
              <w:spacing w:after="20" w:line="264" w:lineRule="auto"/>
            </w:pPr>
            <w:r/>
            <w:r>
              <w:rPr>
                <w:rFonts w:ascii="Segoe UI" w:hAnsi="Segoe UI" w:eastAsia="Segoe UI" w:cs="Segoe UI"/>
                <w:b/>
                <w:color w:val="1F1D1A"/>
                <w:sz w:val="18"/>
              </w:rPr>
              <w:t>2. Personal en activo</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[35.00-3.7]</w:t>
            </w:r>
          </w:p>
        </w:tc>
      </w:tr>
      <w:tr>
        <w:tc>
          <w:tcPr>
            <w:tcW w:type="dxa" w:w="2296"/>
          </w:tcPr>
          <w:p>
            <w:pPr>
              <w:spacing w:after="20" w:line="264" w:lineRule="auto"/>
            </w:pPr>
            <w:r/>
            <w:r>
              <w:rPr>
                <w:rFonts w:ascii="Segoe UI" w:hAnsi="Segoe UI" w:eastAsia="Segoe UI" w:cs="Segoe UI"/>
                <w:color w:val="1F1D1A"/>
                <w:sz w:val="18"/>
              </w:rPr>
              <w:t>Remuneración de todos los empleados públicos</w:t>
            </w:r>
          </w:p>
        </w:tc>
        <w:tc>
          <w:tcPr>
            <w:tcW w:type="dxa" w:w="2296"/>
          </w:tcPr>
          <w:p>
            <w:pPr>
              <w:spacing w:after="20" w:line="264" w:lineRule="auto"/>
            </w:pPr>
            <w:r/>
            <w:r>
              <w:rPr>
                <w:rFonts w:ascii="Segoe UI" w:hAnsi="Segoe UI" w:eastAsia="Segoe UI" w:cs="Segoe UI"/>
                <w:color w:val="1F1D1A"/>
                <w:sz w:val="18"/>
              </w:rPr>
              <w:t>181.494 millones en 2025; 3.071.725 personas en enero de 2026</w:t>
            </w:r>
          </w:p>
        </w:tc>
        <w:tc>
          <w:tcPr>
            <w:tcW w:type="dxa" w:w="2296"/>
          </w:tcPr>
          <w:p>
            <w:pPr>
              <w:spacing w:after="20" w:line="264" w:lineRule="auto"/>
            </w:pPr>
            <w:r/>
            <w:r>
              <w:rPr>
                <w:rFonts w:ascii="Segoe UI" w:hAnsi="Segoe UI" w:eastAsia="Segoe UI" w:cs="Segoe UI"/>
                <w:color w:val="1F1D1A"/>
                <w:sz w:val="18"/>
              </w:rPr>
              <w:t>23,7</w:t>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[35.00-3.8]</w:t>
            </w:r>
          </w:p>
        </w:tc>
      </w:tr>
      <w:tr>
        <w:tc>
          <w:tcPr>
            <w:tcW w:type="dxa" w:w="2296"/>
          </w:tcPr>
          <w:p>
            <w:pPr>
              <w:spacing w:after="20" w:line="264" w:lineRule="auto"/>
            </w:pPr>
            <w:r/>
            <w:r>
              <w:rPr>
                <w:rFonts w:ascii="Segoe UI" w:hAnsi="Segoe UI" w:eastAsia="Segoe UI" w:cs="Segoe UI"/>
                <w:color w:val="1F1D1A"/>
                <w:sz w:val="18"/>
              </w:rPr>
              <w:t>— Fuerzas Armadas</w:t>
            </w:r>
          </w:p>
        </w:tc>
        <w:tc>
          <w:tcPr>
            <w:tcW w:type="dxa" w:w="2296"/>
          </w:tcPr>
          <w:p>
            <w:pPr>
              <w:spacing w:after="20" w:line="264" w:lineRule="auto"/>
            </w:pPr>
            <w:r/>
            <w:r>
              <w:rPr>
                <w:rFonts w:ascii="Segoe UI" w:hAnsi="Segoe UI" w:eastAsia="Segoe UI" w:cs="Segoe UI"/>
                <w:color w:val="1F1D1A"/>
                <w:sz w:val="18"/>
              </w:rPr>
              <w:t>123.504 personas; 5.706,9 millones de gastos de personal de Defensa</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[35.00-3.9]</w:t>
            </w:r>
          </w:p>
        </w:tc>
      </w:tr>
      <w:tr>
        <w:tc>
          <w:tcPr>
            <w:tcW w:type="dxa" w:w="2296"/>
          </w:tcPr>
          <w:p>
            <w:pPr>
              <w:spacing w:after="20" w:line="264" w:lineRule="auto"/>
            </w:pPr>
            <w:r/>
            <w:r>
              <w:rPr>
                <w:rFonts w:ascii="Segoe UI" w:hAnsi="Segoe UI" w:eastAsia="Segoe UI" w:cs="Segoe UI"/>
                <w:color w:val="1F1D1A"/>
                <w:sz w:val="18"/>
              </w:rPr>
              <w:t>— Policía Nacional y Guardia Civil</w:t>
            </w:r>
          </w:p>
        </w:tc>
        <w:tc>
          <w:tcPr>
            <w:tcW w:type="dxa" w:w="2296"/>
          </w:tcPr>
          <w:p>
            <w:pPr>
              <w:spacing w:after="20" w:line="264" w:lineRule="auto"/>
            </w:pPr>
            <w:r/>
            <w:r>
              <w:rPr>
                <w:rFonts w:ascii="Segoe UI" w:hAnsi="Segoe UI" w:eastAsia="Segoe UI" w:cs="Segoe UI"/>
                <w:color w:val="1F1D1A"/>
                <w:sz w:val="18"/>
              </w:rPr>
              <w:t>78.740 y 82.609 personas; 8.591,7 millones de Interior</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[35.00-3.10]</w:t>
            </w:r>
          </w:p>
        </w:tc>
      </w:tr>
      <w:tr>
        <w:tc>
          <w:tcPr>
            <w:tcW w:type="dxa" w:w="2296"/>
          </w:tcPr>
          <w:p>
            <w:pPr>
              <w:spacing w:after="20" w:line="264" w:lineRule="auto"/>
            </w:pPr>
            <w:r/>
            <w:r>
              <w:rPr>
                <w:rFonts w:ascii="Segoe UI" w:hAnsi="Segoe UI" w:eastAsia="Segoe UI" w:cs="Segoe UI"/>
                <w:b/>
                <w:color w:val="1F1D1A"/>
                <w:sz w:val="18"/>
              </w:rPr>
              <w:t>3. Jefatura del Estado y cargos políticos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[35.00-3.11]</w:t>
            </w:r>
          </w:p>
        </w:tc>
      </w:tr>
      <w:tr>
        <w:tc>
          <w:tcPr>
            <w:tcW w:type="dxa" w:w="2296"/>
          </w:tcPr>
          <w:p>
            <w:pPr>
              <w:spacing w:after="20" w:line="264" w:lineRule="auto"/>
            </w:pPr>
            <w:r/>
            <w:r>
              <w:rPr>
                <w:rFonts w:ascii="Segoe UI" w:hAnsi="Segoe UI" w:eastAsia="Segoe UI" w:cs="Segoe UI"/>
                <w:color w:val="1F1D1A"/>
                <w:sz w:val="18"/>
              </w:rPr>
              <w:t>Casa del Rey</w:t>
            </w:r>
          </w:p>
        </w:tc>
        <w:tc>
          <w:tcPr>
            <w:tcW w:type="dxa" w:w="2296"/>
          </w:tcPr>
          <w:p>
            <w:pPr>
              <w:spacing w:after="20" w:line="264" w:lineRule="auto"/>
            </w:pPr>
            <w:r/>
            <w:r>
              <w:rPr>
                <w:rFonts w:ascii="Segoe UI" w:hAnsi="Segoe UI" w:eastAsia="Segoe UI" w:cs="Segoe UI"/>
                <w:color w:val="1F1D1A"/>
                <w:sz w:val="18"/>
              </w:rPr>
              <w:t>8.431.150 €, de ellos 3.804.452 de personal</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[35.00-3.12]</w:t>
            </w:r>
          </w:p>
        </w:tc>
      </w:tr>
      <w:tr>
        <w:tc>
          <w:tcPr>
            <w:tcW w:type="dxa" w:w="2296"/>
          </w:tcPr>
          <w:p>
            <w:pPr>
              <w:spacing w:after="20" w:line="264" w:lineRule="auto"/>
            </w:pPr>
            <w:r/>
            <w:r>
              <w:rPr>
                <w:rFonts w:ascii="Segoe UI" w:hAnsi="Segoe UI" w:eastAsia="Segoe UI" w:cs="Segoe UI"/>
                <w:color w:val="1F1D1A"/>
                <w:sz w:val="18"/>
              </w:rPr>
              <w:t>Cortes Generales</w:t>
            </w:r>
          </w:p>
        </w:tc>
        <w:tc>
          <w:tcPr>
            <w:tcW w:type="dxa" w:w="2296"/>
          </w:tcPr>
          <w:p>
            <w:pPr>
              <w:spacing w:after="20" w:line="264" w:lineRule="auto"/>
            </w:pPr>
            <w:r/>
            <w:r>
              <w:rPr>
                <w:rFonts w:ascii="Segoe UI" w:hAnsi="Segoe UI" w:eastAsia="Segoe UI" w:cs="Segoe UI"/>
                <w:color w:val="1F1D1A"/>
                <w:sz w:val="18"/>
              </w:rPr>
              <w:t>164,2 millones de gastos de personal; senador, unos 78.555 € al año (estimación)</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[35.00-3.13]</w:t>
            </w:r>
          </w:p>
        </w:tc>
      </w:tr>
      <w:tr>
        <w:tc>
          <w:tcPr>
            <w:tcW w:type="dxa" w:w="2296"/>
          </w:tcPr>
          <w:p>
            <w:pPr>
              <w:spacing w:after="20" w:line="264" w:lineRule="auto"/>
            </w:pPr>
            <w:r/>
            <w:r>
              <w:rPr>
                <w:rFonts w:ascii="Segoe UI" w:hAnsi="Segoe UI" w:eastAsia="Segoe UI" w:cs="Segoe UI"/>
                <w:color w:val="1F1D1A"/>
                <w:sz w:val="18"/>
              </w:rPr>
              <w:t>Altos cargos del Gobierno</w:t>
            </w:r>
          </w:p>
        </w:tc>
        <w:tc>
          <w:tcPr>
            <w:tcW w:type="dxa" w:w="2296"/>
          </w:tcPr>
          <w:p>
            <w:pPr>
              <w:spacing w:after="20" w:line="264" w:lineRule="auto"/>
            </w:pPr>
            <w:r/>
            <w:r>
              <w:rPr>
                <w:rFonts w:ascii="Segoe UI" w:hAnsi="Segoe UI" w:eastAsia="Segoe UI" w:cs="Segoe UI"/>
                <w:color w:val="1F1D1A"/>
                <w:sz w:val="18"/>
              </w:rPr>
              <w:t>743 registros en 2025; 68,57 millones</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[35.00-3.14]</w:t>
            </w:r>
          </w:p>
        </w:tc>
      </w:tr>
      <w:tr>
        <w:tc>
          <w:tcPr>
            <w:tcW w:type="dxa" w:w="2296"/>
          </w:tcPr>
          <w:p>
            <w:pPr>
              <w:spacing w:after="20" w:line="264" w:lineRule="auto"/>
            </w:pPr>
            <w:r/>
            <w:r>
              <w:rPr>
                <w:rFonts w:ascii="Segoe UI" w:hAnsi="Segoe UI" w:eastAsia="Segoe UI" w:cs="Segoe UI"/>
                <w:color w:val="1F1D1A"/>
                <w:sz w:val="18"/>
              </w:rPr>
              <w:t>Asesores</w:t>
            </w:r>
          </w:p>
        </w:tc>
        <w:tc>
          <w:tcPr>
            <w:tcW w:type="dxa" w:w="2296"/>
          </w:tcPr>
          <w:p>
            <w:pPr>
              <w:spacing w:after="20" w:line="264" w:lineRule="auto"/>
            </w:pPr>
            <w:r/>
            <w:r>
              <w:rPr>
                <w:rFonts w:ascii="Segoe UI" w:hAnsi="Segoe UI" w:eastAsia="Segoe UI" w:cs="Segoe UI"/>
                <w:color w:val="1F1D1A"/>
                <w:sz w:val="18"/>
              </w:rPr>
              <w:t>al menos 959; coste conocido solo en la Presidencia del Gobierno, 18,03 millones</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[35.00-3.15]</w:t>
            </w:r>
          </w:p>
        </w:tc>
      </w:tr>
      <w:tr>
        <w:tc>
          <w:tcPr>
            <w:tcW w:type="dxa" w:w="2296"/>
          </w:tcPr>
          <w:p>
            <w:pPr>
              <w:spacing w:after="20" w:line="264" w:lineRule="auto"/>
            </w:pPr>
            <w:r/>
            <w:r>
              <w:rPr>
                <w:rFonts w:ascii="Segoe UI" w:hAnsi="Segoe UI" w:eastAsia="Segoe UI" w:cs="Segoe UI"/>
                <w:color w:val="1F1D1A"/>
                <w:sz w:val="18"/>
              </w:rPr>
              <w:t>Expresidentes del Gobierno</w:t>
            </w:r>
          </w:p>
        </w:tc>
        <w:tc>
          <w:tcPr>
            <w:tcW w:type="dxa" w:w="2296"/>
          </w:tcPr>
          <w:p>
            <w:pPr>
              <w:spacing w:after="20" w:line="264" w:lineRule="auto"/>
            </w:pPr>
            <w:r/>
            <w:r>
              <w:rPr>
                <w:rFonts w:ascii="Segoe UI" w:hAnsi="Segoe UI" w:eastAsia="Segoe UI" w:cs="Segoe UI"/>
                <w:color w:val="1F1D1A"/>
                <w:sz w:val="18"/>
              </w:rPr>
              <w:t>298.320 € de dotación, más dos asesores cada uno</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C.4</w:t>
            </w:r>
            <w:r>
              <w:rPr>
                <w:rFonts w:ascii="Segoe UI" w:hAnsi="Segoe UI" w:eastAsia="Segoe UI" w:cs="Segoe UI"/>
                <w:color w:val="1F1D1A"/>
                <w:sz w:val="18"/>
              </w:rPr>
              <w:t xml:space="preserve"> </w:t>
            </w:r>
            <w:r>
              <w:rPr>
                <w:rFonts w:ascii="Segoe UI" w:hAnsi="Segoe UI" w:eastAsia="Segoe UI" w:cs="Segoe UI"/>
                <w:color w:val="1F1D1A"/>
                <w:sz w:val="18"/>
              </w:rPr>
              <w:t>[35.00-3.16]</w:t>
            </w:r>
          </w:p>
        </w:tc>
      </w:tr>
      <w:tr>
        <w:tc>
          <w:tcPr>
            <w:tcW w:type="dxa" w:w="2296"/>
          </w:tcPr>
          <w:p>
            <w:pPr>
              <w:spacing w:after="20" w:line="264" w:lineRule="auto"/>
            </w:pPr>
            <w:r/>
            <w:r>
              <w:rPr>
                <w:rFonts w:ascii="Segoe UI" w:hAnsi="Segoe UI" w:eastAsia="Segoe UI" w:cs="Segoe UI"/>
                <w:b/>
                <w:color w:val="1F1D1A"/>
                <w:sz w:val="18"/>
              </w:rPr>
              <w:t>4. Deuda e intereses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[35.00-3.17]</w:t>
            </w:r>
          </w:p>
        </w:tc>
      </w:tr>
      <w:tr>
        <w:tc>
          <w:tcPr>
            <w:tcW w:type="dxa" w:w="2296"/>
          </w:tcPr>
          <w:p>
            <w:pPr>
              <w:spacing w:after="20" w:line="264" w:lineRule="auto"/>
            </w:pPr>
            <w:r/>
            <w:r>
              <w:rPr>
                <w:rFonts w:ascii="Segoe UI" w:hAnsi="Segoe UI" w:eastAsia="Segoe UI" w:cs="Segoe UI"/>
                <w:color w:val="1F1D1A"/>
                <w:sz w:val="18"/>
              </w:rPr>
              <w:t>Deuda pública</w:t>
            </w:r>
          </w:p>
        </w:tc>
        <w:tc>
          <w:tcPr>
            <w:tcW w:type="dxa" w:w="2296"/>
          </w:tcPr>
          <w:p>
            <w:pPr>
              <w:spacing w:after="20" w:line="264" w:lineRule="auto"/>
            </w:pPr>
            <w:r/>
            <w:r>
              <w:rPr>
                <w:rFonts w:ascii="Segoe UI" w:hAnsi="Segoe UI" w:eastAsia="Segoe UI" w:cs="Segoe UI"/>
                <w:color w:val="1F1D1A"/>
                <w:sz w:val="18"/>
              </w:rPr>
              <w:t>1.698.225 millones a final de 2025; 33.158 € por habitante con la deuda de 2024 (cálculo); el 100,2 % del PIB en mayo de 2026 (Banco de España)</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 xml:space="preserve">8.6 </w:t>
            </w:r>
            <w:r>
              <w:rPr>
                <w:rFonts w:ascii="Segoe UI" w:hAnsi="Segoe UI" w:eastAsia="Segoe UI" w:cs="Segoe UI"/>
                <w:color w:val="1F1D1A"/>
                <w:sz w:val="18"/>
              </w:rPr>
              <w:t>[35.00-3.18]</w:t>
            </w:r>
          </w:p>
        </w:tc>
      </w:tr>
      <w:tr>
        <w:tc>
          <w:tcPr>
            <w:tcW w:type="dxa" w:w="2296"/>
          </w:tcPr>
          <w:p>
            <w:pPr>
              <w:spacing w:after="20" w:line="264" w:lineRule="auto"/>
            </w:pPr>
            <w:r/>
            <w:r>
              <w:rPr>
                <w:rFonts w:ascii="Segoe UI" w:hAnsi="Segoe UI" w:eastAsia="Segoe UI" w:cs="Segoe UI"/>
                <w:color w:val="1F1D1A"/>
                <w:sz w:val="18"/>
              </w:rPr>
              <w:t>Intereses</w:t>
            </w:r>
          </w:p>
        </w:tc>
        <w:tc>
          <w:tcPr>
            <w:tcW w:type="dxa" w:w="2296"/>
          </w:tcPr>
          <w:p>
            <w:pPr>
              <w:spacing w:after="20" w:line="264" w:lineRule="auto"/>
            </w:pPr>
            <w:r/>
            <w:r>
              <w:rPr>
                <w:rFonts w:ascii="Segoe UI" w:hAnsi="Segoe UI" w:eastAsia="Segoe UI" w:cs="Segoe UI"/>
                <w:color w:val="1F1D1A"/>
                <w:sz w:val="18"/>
              </w:rPr>
              <w:t>40.314 millones en 2025, todas las administraciones; 43.300 estimados para 2026</w:t>
            </w:r>
          </w:p>
        </w:tc>
        <w:tc>
          <w:tcPr>
            <w:tcW w:type="dxa" w:w="2296"/>
          </w:tcPr>
          <w:p>
            <w:pPr>
              <w:spacing w:after="20" w:line="264" w:lineRule="auto"/>
            </w:pPr>
            <w:r/>
            <w:r>
              <w:rPr>
                <w:rFonts w:ascii="Segoe UI" w:hAnsi="Segoe UI" w:eastAsia="Segoe UI" w:cs="Segoe UI"/>
                <w:color w:val="1F1D1A"/>
                <w:sz w:val="18"/>
              </w:rPr>
              <w:t>5,3</w:t>
            </w:r>
          </w:p>
        </w:tc>
        <w:tc>
          <w:tcPr>
            <w:tcW w:type="dxa" w:w="2296"/>
          </w:tcPr>
          <w:p>
            <w:pPr>
              <w:spacing w:after="20" w:line="264" w:lineRule="auto"/>
            </w:pPr>
            <w:r/>
            <w:r>
              <w:rPr>
                <w:rFonts w:ascii="Segoe UI" w:hAnsi="Segoe UI" w:eastAsia="Segoe UI" w:cs="Segoe UI"/>
                <w:color w:val="1F1D1A"/>
                <w:sz w:val="18"/>
              </w:rPr>
              <w:t xml:space="preserve">7.2 y 8.6 </w:t>
            </w:r>
            <w:r>
              <w:rPr>
                <w:rFonts w:ascii="Segoe UI" w:hAnsi="Segoe UI" w:eastAsia="Segoe UI" w:cs="Segoe UI"/>
                <w:color w:val="1F1D1A"/>
                <w:sz w:val="18"/>
              </w:rPr>
              <w:t>[35.00-3.19]</w:t>
            </w:r>
          </w:p>
        </w:tc>
      </w:tr>
      <w:tr>
        <w:tc>
          <w:tcPr>
            <w:tcW w:type="dxa" w:w="2296"/>
          </w:tcPr>
          <w:p>
            <w:pPr>
              <w:spacing w:after="20" w:line="264" w:lineRule="auto"/>
            </w:pPr>
            <w:r/>
            <w:r>
              <w:rPr>
                <w:rFonts w:ascii="Segoe UI" w:hAnsi="Segoe UI" w:eastAsia="Segoe UI" w:cs="Segoe UI"/>
                <w:b/>
                <w:color w:val="1F1D1A"/>
                <w:sz w:val="18"/>
              </w:rPr>
              <w:t>5. Lo que reciben las otras esferas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[35.00-3.20]</w:t>
            </w:r>
          </w:p>
        </w:tc>
      </w:tr>
      <w:tr>
        <w:tc>
          <w:tcPr>
            <w:tcW w:type="dxa" w:w="2296"/>
          </w:tcPr>
          <w:p>
            <w:pPr>
              <w:spacing w:after="20" w:line="264" w:lineRule="auto"/>
            </w:pPr>
            <w:r/>
            <w:r>
              <w:rPr>
                <w:rFonts w:ascii="Segoe UI" w:hAnsi="Segoe UI" w:eastAsia="Segoe UI" w:cs="Segoe UI"/>
                <w:color w:val="1F1D1A"/>
                <w:sz w:val="18"/>
              </w:rPr>
              <w:t>Comunidades autónomas de régimen común; ayuntamientos y diputaciones</w:t>
            </w:r>
          </w:p>
        </w:tc>
        <w:tc>
          <w:tcPr>
            <w:tcW w:type="dxa" w:w="2296"/>
          </w:tcPr>
          <w:p>
            <w:pPr>
              <w:spacing w:after="20" w:line="264" w:lineRule="auto"/>
            </w:pPr>
            <w:r/>
            <w:r>
              <w:rPr>
                <w:rFonts w:ascii="Segoe UI" w:hAnsi="Segoe UI" w:eastAsia="Segoe UI" w:cs="Segoe UI"/>
                <w:color w:val="1F1D1A"/>
                <w:sz w:val="18"/>
              </w:rPr>
              <w:t>156.990 millones de entregas a cuenta en 2026; 31.826 previstos para 2027</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[35.00-3.21]</w:t>
            </w:r>
          </w:p>
        </w:tc>
      </w:tr>
    </w:tbl>
    <w:p>
      <w:pPr>
        <w:spacing w:after="80"/>
      </w:pPr>
    </w:p>
    <w:p>
      <w:r>
        <w:rPr>
          <w:b/>
        </w:rPr>
        <w:t>Nota a la primera línea: lo que mezcla la partida de la Seguridad Social.</w:t>
      </w:r>
      <w:r>
        <w:t xml:space="preserve"> La estadística publica aparte las pensiones de la Seguridad Social y las de Clases Pasivas, pero la primera bolsa no es solo la de quien trabajó en la empresa privada. Dentro van también los empleados públicos que ingresaron desde 2011, el personal laboral de las administraciones, casi todos los funcionarios autonómicos y locales, y los alcaldes, concejales y parlamentarios que cotizaron por su cargo; y parte de lo que se cotiza por ellos lo pagan las administraciones con impuestos. Por eso Clases Pasivas es solo un mínimo de lo que se paga a quienes sirvieron al Estado. Se explica en </w:t>
      </w:r>
      <w:r>
        <w:t>C.5</w:t>
      </w:r>
      <w:r>
        <w:t xml:space="preserve">, y se juzga en el </w:t>
      </w:r>
      <w:r>
        <w:t>cargo 23</w:t>
      </w:r>
      <w:r>
        <w:t xml:space="preserve">. </w:t>
      </w:r>
      <w:r>
        <w:t>[lectura de 35.00-3.4 a la luz de 35.00-4.7, 4.11 y 5.5, por indicación de Kiko]</w:t>
      </w:r>
    </w:p>
    <w:p>
      <w:r>
        <w:rPr>
          <w:b/>
        </w:rPr>
        <w:t>La deuda, en treinta años.</w:t>
      </w:r>
      <w:r>
        <w:t xml:space="preserve"> Entre 2021 y 2025, la subida de los precios rebajó la deuda pública, en términos reales, más de lo que se pagó en intereses (</w:t>
      </w:r>
      <w:r>
        <w:t>8.3</w:t>
      </w:r>
      <w:r>
        <w:t xml:space="preserve">). Contada desde 1996, la cuenta sale al revés: de 1996 a 2025 la inflación la rebajó en 544.751 millones, y se pagaron 775.087 millones en intereses, 230.336 más (cálculo de la obra con Eurostat y el INE, con el mismo método de </w:t>
      </w:r>
      <w:r>
        <w:t>8.3</w:t>
      </w:r>
      <w:r>
        <w:t xml:space="preserve">). Es un hecho que no encaja con la dirección de aquellos cinco años, y se dice. </w:t>
      </w:r>
      <w:r>
        <w:t>[34.00-11.8]</w:t>
      </w:r>
    </w:p>
    <w:p>
      <w:r>
        <w:rPr>
          <w:b/>
        </w:rPr>
        <w:t>Conclusión, lo que arrojan los datos:</w:t>
      </w:r>
      <w:r>
        <w:t xml:space="preserve"> de cada 100 euros que gastan las administraciones, unos 26,5 van a las pensiones de la Seguridad Social, que no son solo las de quien trabajó en la empresa privada (</w:t>
      </w:r>
      <w:r>
        <w:t>C.5</w:t>
      </w:r>
      <w:r>
        <w:t xml:space="preserve">); unos 23,7, a pagar a los empleados públicos; unos 5,3, a intereses de la deuda; y unos 3,2, a las pensiones de Clases Pasivas. Lo que cuestan la Jefatura del Estado y los cargos políticos es una fracción mínima del total, pero es la parte con reglas propias, y la más difícil de sumar con los datos públicos. </w:t>
      </w:r>
      <w:r>
        <w:t>[35.00-3.22, con la cuenta rehecha: 202.975, 181.494, 40.314 y 24.837 entre 764.884]</w:t>
      </w:r>
    </w:p>
    <w:p>
      <w:r>
        <w:t xml:space="preserve">Fuentes del cuadro: Eurostat, gov_10a_main (gasto total, remuneración de asalariados e intereses, 2025) y gov_10dd_edpt1 (deuda, 2025); Ministerio de Inclusión, Seguridad Social y Migraciones, nota de pensiones de 25-9-2026; Presupuestos Generales del Estado de 2023, prorrogados, secciones 02, 07, 14, 16 y 25; Casa de S.M. el Rey, transparencia 2026; Congreso y Senado, régimen económico de 2026; Ministerio de Hacienda, notas de financiación de 30-7-2025 y 29-7-2026; AIReF, informe sobre los presupuestos iniciales de 2026. </w:t>
      </w:r>
      <w:r>
        <w:t>[35.00-3.23]</w:t>
      </w:r>
    </w:p>
    <w:p>
      <w:pPr>
        <w:pStyle w:val="Heading2"/>
      </w:pPr>
      <w:r>
        <w:t>C.4 La jubilación y el despido de cada colectivo</w:t>
      </w:r>
    </w:p>
    <w:p>
      <w:pPr>
        <w:pBdr>
          <w:left w:val="single" w:sz="24" w:space="6" w:color="E2DED6"/>
        </w:pBdr>
        <w:shd w:val="clear" w:color="auto" w:fill="F1EEE8"/>
        <w:spacing w:before="80" w:after="160"/>
        <w:ind w:left="142" w:right="142"/>
      </w:pPr>
      <w:r>
        <w:rPr>
          <w:b/>
        </w:rPr>
        <w:t>La idea: la edad a la que cada uno puede dejar de trabajar, lo que conserva después y si se le puede despedir no son iguales para todos; quien sostiene el sistema con su trabajo tiene la regla más dura.</w:t>
      </w:r>
    </w:p>
    <w:p>
      <w:r>
        <w:t>La carga no es la única diferencia (</w:t>
      </w:r>
      <w:r>
        <w:t>8.4</w:t>
      </w:r>
      <w:r>
        <w:t xml:space="preserve">). Solo se recoge lo verificado en el texto oficial. </w:t>
      </w:r>
      <w:r>
        <w:t>[35.00-4.1]</w:t>
      </w:r>
    </w:p>
    <w:p>
      <w:r>
        <w:rPr>
          <w:b/>
        </w:rPr>
        <w:t>Cuándo se retira cada uno.</w:t>
      </w:r>
      <w:r>
        <w:t xml:space="preserve"> </w:t>
      </w:r>
      <w:r>
        <w:t>[35.00-4.20]</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Colectivo</w:t>
            </w:r>
          </w:p>
        </w:tc>
        <w:tc>
          <w:tcPr>
            <w:tcW w:type="dxa" w:w="3061"/>
            <w:shd w:val="clear" w:color="auto" w:fill="F1EEE8"/>
          </w:tcPr>
          <w:p>
            <w:pPr>
              <w:spacing w:after="20" w:line="264" w:lineRule="auto"/>
            </w:pPr>
            <w:r>
              <w:rPr>
                <w:b/>
              </w:rPr>
            </w:r>
            <w:r>
              <w:rPr>
                <w:rFonts w:ascii="Segoe UI" w:hAnsi="Segoe UI" w:eastAsia="Segoe UI" w:cs="Segoe UI"/>
                <w:b/>
                <w:color w:val="1F1D1A"/>
                <w:sz w:val="18"/>
              </w:rPr>
              <w:t>La regla</w:t>
            </w:r>
          </w:p>
        </w:tc>
        <w:tc>
          <w:tcPr>
            <w:tcW w:type="dxa" w:w="3061"/>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3061"/>
          </w:tcPr>
          <w:p>
            <w:pPr>
              <w:spacing w:after="20" w:line="264" w:lineRule="auto"/>
            </w:pPr>
            <w:r/>
            <w:r>
              <w:rPr>
                <w:rFonts w:ascii="Segoe UI" w:hAnsi="Segoe UI" w:eastAsia="Segoe UI" w:cs="Segoe UI"/>
                <w:color w:val="1F1D1A"/>
                <w:sz w:val="18"/>
              </w:rPr>
              <w:t>Régimen general, asalariados y autónomos</w:t>
            </w:r>
          </w:p>
        </w:tc>
        <w:tc>
          <w:tcPr>
            <w:tcW w:type="dxa" w:w="3061"/>
          </w:tcPr>
          <w:p>
            <w:pPr>
              <w:spacing w:after="20" w:line="264" w:lineRule="auto"/>
            </w:pPr>
            <w:r/>
            <w:r>
              <w:rPr>
                <w:rFonts w:ascii="Segoe UI" w:hAnsi="Segoe UI" w:eastAsia="Segoe UI" w:cs="Segoe UI"/>
                <w:color w:val="1F1D1A"/>
                <w:sz w:val="18"/>
              </w:rPr>
              <w:t>en 2026, a los 66 años y 10 meses, o a los 65 con al menos 38 años y 3 meses cotizados; desde 2027, 67, o 65 con 38 años y 6 meses (</w:t>
            </w:r>
            <w:r>
              <w:rPr>
                <w:rFonts w:ascii="Segoe UI" w:hAnsi="Segoe UI" w:eastAsia="Segoe UI" w:cs="Segoe UI"/>
                <w:color w:val="1F1D1A"/>
                <w:sz w:val="18"/>
              </w:rPr>
              <w:t>9.1</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 xml:space="preserve">Ley General de la Seguridad Social, art. 205.1.a y disposición transitoria séptima </w:t>
            </w:r>
            <w:r>
              <w:rPr>
                <w:rFonts w:ascii="Segoe UI" w:hAnsi="Segoe UI" w:eastAsia="Segoe UI" w:cs="Segoe UI"/>
                <w:color w:val="1F1D1A"/>
                <w:sz w:val="18"/>
              </w:rPr>
              <w:t>[35.00-4.2]</w:t>
            </w:r>
          </w:p>
        </w:tc>
      </w:tr>
      <w:tr>
        <w:tc>
          <w:tcPr>
            <w:tcW w:type="dxa" w:w="3061"/>
          </w:tcPr>
          <w:p>
            <w:pPr>
              <w:spacing w:after="20" w:line="264" w:lineRule="auto"/>
            </w:pPr>
            <w:r/>
            <w:r>
              <w:rPr>
                <w:rFonts w:ascii="Segoe UI" w:hAnsi="Segoe UI" w:eastAsia="Segoe UI" w:cs="Segoe UI"/>
                <w:color w:val="1F1D1A"/>
                <w:sz w:val="18"/>
              </w:rPr>
              <w:t>Funcionarios de Clases Pasivas, con ingreso hasta el 31-12-2010</w:t>
            </w:r>
          </w:p>
        </w:tc>
        <w:tc>
          <w:tcPr>
            <w:tcW w:type="dxa" w:w="3061"/>
          </w:tcPr>
          <w:p>
            <w:pPr>
              <w:spacing w:after="20" w:line="264" w:lineRule="auto"/>
            </w:pPr>
            <w:r/>
            <w:r>
              <w:rPr>
                <w:rFonts w:ascii="Segoe UI" w:hAnsi="Segoe UI" w:eastAsia="Segoe UI" w:cs="Segoe UI"/>
                <w:color w:val="1F1D1A"/>
                <w:sz w:val="18"/>
              </w:rPr>
              <w:t>voluntariamente, a los 60 años con 30 de servicios efectivos al Estado; su pensión sale del Presupuesto, no de una cotización de empleador. Los que ingresaron desde 2011 están en el régimen general</w:t>
            </w:r>
          </w:p>
        </w:tc>
        <w:tc>
          <w:tcPr>
            <w:tcW w:type="dxa" w:w="3061"/>
          </w:tcPr>
          <w:p>
            <w:pPr>
              <w:spacing w:after="20" w:line="264" w:lineRule="auto"/>
            </w:pPr>
            <w:r/>
            <w:r>
              <w:rPr>
                <w:rFonts w:ascii="Segoe UI" w:hAnsi="Segoe UI" w:eastAsia="Segoe UI" w:cs="Segoe UI"/>
                <w:color w:val="1F1D1A"/>
                <w:sz w:val="18"/>
              </w:rPr>
              <w:t xml:space="preserve">Ley de Clases Pasivas, art. 28.2.b </w:t>
            </w:r>
            <w:r>
              <w:rPr>
                <w:rFonts w:ascii="Segoe UI" w:hAnsi="Segoe UI" w:eastAsia="Segoe UI" w:cs="Segoe UI"/>
                <w:color w:val="1F1D1A"/>
                <w:sz w:val="18"/>
              </w:rPr>
              <w:t>[35.00-4.3]</w:t>
            </w:r>
          </w:p>
        </w:tc>
      </w:tr>
      <w:tr>
        <w:tc>
          <w:tcPr>
            <w:tcW w:type="dxa" w:w="3061"/>
          </w:tcPr>
          <w:p>
            <w:pPr>
              <w:spacing w:after="20" w:line="264" w:lineRule="auto"/>
            </w:pPr>
            <w:r/>
            <w:r>
              <w:rPr>
                <w:rFonts w:ascii="Segoe UI" w:hAnsi="Segoe UI" w:eastAsia="Segoe UI" w:cs="Segoe UI"/>
                <w:color w:val="1F1D1A"/>
                <w:sz w:val="18"/>
              </w:rPr>
              <w:t>Militares de carrera</w:t>
            </w:r>
          </w:p>
        </w:tc>
        <w:tc>
          <w:tcPr>
            <w:tcW w:type="dxa" w:w="3061"/>
          </w:tcPr>
          <w:p>
            <w:pPr>
              <w:spacing w:after="20" w:line="264" w:lineRule="auto"/>
            </w:pPr>
            <w:r/>
            <w:r>
              <w:rPr>
                <w:rFonts w:ascii="Segoe UI" w:hAnsi="Segoe UI" w:eastAsia="Segoe UI" w:cs="Segoe UI"/>
                <w:color w:val="1F1D1A"/>
                <w:sz w:val="18"/>
              </w:rPr>
              <w:t>retiro a los 65, o voluntario en las condiciones de Clases Pasivas; antes, pase obligatorio a la reserva a los 61 los oficiales y suboficiales y a los 58 los de tropa y marinería</w:t>
            </w:r>
          </w:p>
        </w:tc>
        <w:tc>
          <w:tcPr>
            <w:tcW w:type="dxa" w:w="3061"/>
          </w:tcPr>
          <w:p>
            <w:pPr>
              <w:spacing w:after="20" w:line="264" w:lineRule="auto"/>
            </w:pPr>
            <w:r/>
            <w:r>
              <w:rPr>
                <w:rFonts w:ascii="Segoe UI" w:hAnsi="Segoe UI" w:eastAsia="Segoe UI" w:cs="Segoe UI"/>
                <w:color w:val="1F1D1A"/>
                <w:sz w:val="18"/>
              </w:rPr>
              <w:t xml:space="preserve">Ley 39/2007, de la carrera militar, arts. 113.4 y 114.2 </w:t>
            </w:r>
            <w:r>
              <w:rPr>
                <w:rFonts w:ascii="Segoe UI" w:hAnsi="Segoe UI" w:eastAsia="Segoe UI" w:cs="Segoe UI"/>
                <w:color w:val="1F1D1A"/>
                <w:sz w:val="18"/>
              </w:rPr>
              <w:t>[35.00-4.4]</w:t>
            </w:r>
          </w:p>
        </w:tc>
      </w:tr>
      <w:tr>
        <w:tc>
          <w:tcPr>
            <w:tcW w:type="dxa" w:w="3061"/>
          </w:tcPr>
          <w:p>
            <w:pPr>
              <w:spacing w:after="20" w:line="264" w:lineRule="auto"/>
            </w:pPr>
            <w:r/>
            <w:r>
              <w:rPr>
                <w:rFonts w:ascii="Segoe UI" w:hAnsi="Segoe UI" w:eastAsia="Segoe UI" w:cs="Segoe UI"/>
                <w:color w:val="1F1D1A"/>
                <w:sz w:val="18"/>
              </w:rPr>
              <w:t>Guardia Civil y Policía Nacional</w:t>
            </w:r>
          </w:p>
        </w:tc>
        <w:tc>
          <w:tcPr>
            <w:tcW w:type="dxa" w:w="3061"/>
          </w:tcPr>
          <w:p>
            <w:pPr>
              <w:spacing w:after="20" w:line="264" w:lineRule="auto"/>
            </w:pPr>
            <w:r/>
            <w:r>
              <w:rPr>
                <w:rFonts w:ascii="Segoe UI" w:hAnsi="Segoe UI" w:eastAsia="Segoe UI" w:cs="Segoe UI"/>
                <w:color w:val="1F1D1A"/>
                <w:sz w:val="18"/>
              </w:rPr>
              <w:t>retiro a los 65; jubilación forzosa a los 65</w:t>
            </w:r>
          </w:p>
        </w:tc>
        <w:tc>
          <w:tcPr>
            <w:tcW w:type="dxa" w:w="3061"/>
          </w:tcPr>
          <w:p>
            <w:pPr>
              <w:spacing w:after="20" w:line="264" w:lineRule="auto"/>
            </w:pPr>
            <w:r/>
            <w:r>
              <w:rPr>
                <w:rFonts w:ascii="Segoe UI" w:hAnsi="Segoe UI" w:eastAsia="Segoe UI" w:cs="Segoe UI"/>
                <w:color w:val="1F1D1A"/>
                <w:sz w:val="18"/>
              </w:rPr>
              <w:t xml:space="preserve">Ley 29/2014, art. 94.1.a; Ley Orgánica 9/2015, art. 5.2.b </w:t>
            </w:r>
            <w:r>
              <w:rPr>
                <w:rFonts w:ascii="Segoe UI" w:hAnsi="Segoe UI" w:eastAsia="Segoe UI" w:cs="Segoe UI"/>
                <w:color w:val="1F1D1A"/>
                <w:sz w:val="18"/>
              </w:rPr>
              <w:t>[35.00-4.10]</w:t>
            </w:r>
          </w:p>
        </w:tc>
      </w:tr>
      <w:tr>
        <w:tc>
          <w:tcPr>
            <w:tcW w:type="dxa" w:w="3061"/>
          </w:tcPr>
          <w:p>
            <w:pPr>
              <w:spacing w:after="20" w:line="264" w:lineRule="auto"/>
            </w:pPr>
            <w:r/>
            <w:r>
              <w:rPr>
                <w:rFonts w:ascii="Segoe UI" w:hAnsi="Segoe UI" w:eastAsia="Segoe UI" w:cs="Segoe UI"/>
                <w:color w:val="1F1D1A"/>
                <w:sz w:val="18"/>
              </w:rPr>
              <w:t>Policías locales</w:t>
            </w:r>
          </w:p>
        </w:tc>
        <w:tc>
          <w:tcPr>
            <w:tcW w:type="dxa" w:w="3061"/>
          </w:tcPr>
          <w:p>
            <w:pPr>
              <w:spacing w:after="20" w:line="264" w:lineRule="auto"/>
            </w:pPr>
            <w:r/>
            <w:r>
              <w:rPr>
                <w:rFonts w:ascii="Segoe UI" w:hAnsi="Segoe UI" w:eastAsia="Segoe UI" w:cs="Segoe UI"/>
                <w:color w:val="1F1D1A"/>
                <w:sz w:val="18"/>
              </w:rPr>
              <w:t>la edad se reduce 0,20 años por cada año completo trabajado como policía local, sin adelantarla más de 5 años, o 6 con 37 años cotizados</w:t>
            </w:r>
          </w:p>
        </w:tc>
        <w:tc>
          <w:tcPr>
            <w:tcW w:type="dxa" w:w="3061"/>
          </w:tcPr>
          <w:p>
            <w:pPr>
              <w:spacing w:after="20" w:line="264" w:lineRule="auto"/>
            </w:pPr>
            <w:r/>
            <w:r>
              <w:rPr>
                <w:rFonts w:ascii="Segoe UI" w:hAnsi="Segoe UI" w:eastAsia="Segoe UI" w:cs="Segoe UI"/>
                <w:color w:val="1F1D1A"/>
                <w:sz w:val="18"/>
              </w:rPr>
              <w:t xml:space="preserve">Real Decreto 1449/2018, art. 2 </w:t>
            </w:r>
            <w:r>
              <w:rPr>
                <w:rFonts w:ascii="Segoe UI" w:hAnsi="Segoe UI" w:eastAsia="Segoe UI" w:cs="Segoe UI"/>
                <w:color w:val="1F1D1A"/>
                <w:sz w:val="18"/>
              </w:rPr>
              <w:t>[35.00-4.8]</w:t>
            </w:r>
          </w:p>
        </w:tc>
      </w:tr>
      <w:tr>
        <w:tc>
          <w:tcPr>
            <w:tcW w:type="dxa" w:w="3061"/>
          </w:tcPr>
          <w:p>
            <w:pPr>
              <w:spacing w:after="20" w:line="264" w:lineRule="auto"/>
            </w:pPr>
            <w:r/>
            <w:r>
              <w:rPr>
                <w:rFonts w:ascii="Segoe UI" w:hAnsi="Segoe UI" w:eastAsia="Segoe UI" w:cs="Segoe UI"/>
                <w:color w:val="1F1D1A"/>
                <w:sz w:val="18"/>
              </w:rPr>
              <w:t>Ertzaintza, Mossos d'Esquadra y Policía Foral de Navarra</w:t>
            </w:r>
          </w:p>
        </w:tc>
        <w:tc>
          <w:tcPr>
            <w:tcW w:type="dxa" w:w="3061"/>
          </w:tcPr>
          <w:p>
            <w:pPr>
              <w:spacing w:after="20" w:line="264" w:lineRule="auto"/>
            </w:pPr>
            <w:r/>
            <w:r>
              <w:rPr>
                <w:rFonts w:ascii="Segoe UI" w:hAnsi="Segoe UI" w:eastAsia="Segoe UI" w:cs="Segoe UI"/>
                <w:color w:val="1F1D1A"/>
                <w:sz w:val="18"/>
              </w:rPr>
              <w:t>el mismo coeficiente, pero nunca antes de los 60, o de los 59 con 35 años de servicio</w:t>
            </w:r>
          </w:p>
        </w:tc>
        <w:tc>
          <w:tcPr>
            <w:tcW w:type="dxa" w:w="3061"/>
          </w:tcPr>
          <w:p>
            <w:pPr>
              <w:spacing w:after="20" w:line="264" w:lineRule="auto"/>
            </w:pPr>
            <w:r/>
            <w:r>
              <w:rPr>
                <w:rFonts w:ascii="Segoe UI" w:hAnsi="Segoe UI" w:eastAsia="Segoe UI" w:cs="Segoe UI"/>
                <w:color w:val="1F1D1A"/>
                <w:sz w:val="18"/>
              </w:rPr>
              <w:t xml:space="preserve">Ley General de la Seguridad Social, disposiciones adicionales 20.ª, 20.ª bis y 20.ª ter </w:t>
            </w:r>
            <w:r>
              <w:rPr>
                <w:rFonts w:ascii="Segoe UI" w:hAnsi="Segoe UI" w:eastAsia="Segoe UI" w:cs="Segoe UI"/>
                <w:color w:val="1F1D1A"/>
                <w:sz w:val="18"/>
              </w:rPr>
              <w:t>[35.00-4.9]</w:t>
            </w:r>
          </w:p>
        </w:tc>
      </w:tr>
      <w:tr>
        <w:tc>
          <w:tcPr>
            <w:tcW w:type="dxa" w:w="3061"/>
          </w:tcPr>
          <w:p>
            <w:pPr>
              <w:spacing w:after="20" w:line="264" w:lineRule="auto"/>
            </w:pPr>
            <w:r/>
            <w:r>
              <w:rPr>
                <w:rFonts w:ascii="Segoe UI" w:hAnsi="Segoe UI" w:eastAsia="Segoe UI" w:cs="Segoe UI"/>
                <w:color w:val="1F1D1A"/>
                <w:sz w:val="18"/>
              </w:rPr>
              <w:t>Alcaldes y concejales con dedicación</w:t>
            </w:r>
          </w:p>
        </w:tc>
        <w:tc>
          <w:tcPr>
            <w:tcW w:type="dxa" w:w="3061"/>
          </w:tcPr>
          <w:p>
            <w:pPr>
              <w:spacing w:after="20" w:line="264" w:lineRule="auto"/>
            </w:pPr>
            <w:r/>
            <w:r>
              <w:rPr>
                <w:rFonts w:ascii="Segoe UI" w:hAnsi="Segoe UI" w:eastAsia="Segoe UI" w:cs="Segoe UI"/>
                <w:color w:val="1F1D1A"/>
                <w:sz w:val="18"/>
              </w:rPr>
              <w:t>sueldo, alta en el régimen general y cuota de empresa a cargo del ayuntamiento; sin régimen especial de jubilación; el sueldo es incompatible con cualquier otro pagado con dinero público</w:t>
            </w:r>
          </w:p>
        </w:tc>
        <w:tc>
          <w:tcPr>
            <w:tcW w:type="dxa" w:w="3061"/>
          </w:tcPr>
          <w:p>
            <w:pPr>
              <w:spacing w:after="20" w:line="264" w:lineRule="auto"/>
            </w:pPr>
            <w:r/>
            <w:r>
              <w:rPr>
                <w:rFonts w:ascii="Segoe UI" w:hAnsi="Segoe UI" w:eastAsia="Segoe UI" w:cs="Segoe UI"/>
                <w:color w:val="1F1D1A"/>
                <w:sz w:val="18"/>
              </w:rPr>
              <w:t xml:space="preserve">Ley 7/1985, de Bases del Régimen Local, art. 75.1 y 75.2 </w:t>
            </w:r>
            <w:r>
              <w:rPr>
                <w:rFonts w:ascii="Segoe UI" w:hAnsi="Segoe UI" w:eastAsia="Segoe UI" w:cs="Segoe UI"/>
                <w:color w:val="1F1D1A"/>
                <w:sz w:val="18"/>
              </w:rPr>
              <w:t>[35.00-4.11]</w:t>
            </w:r>
          </w:p>
        </w:tc>
      </w:tr>
    </w:tbl>
    <w:p>
      <w:pPr>
        <w:spacing w:after="80"/>
      </w:pPr>
    </w:p>
    <w:p>
      <w:r>
        <w:rPr>
          <w:b/>
        </w:rPr>
        <w:t>Los expresidentes del Gobierno.</w:t>
      </w:r>
      <w:r>
        <w:t xml:space="preserve"> Desde su cese disponen de dos puestos de trabajo a su servicio (de nivel 30 y 18), una dotación para gastos de oficina, atenciones de carácter social y, en su caso, alquileres, en la cuantía que fijen los Presupuestos, un automóvil de representación con conductores, los servicios de seguridad que el Ministerio del Interior estime necesarios y libre pase en los transportes regulares del Estado; tienen derecho a la pensión indemnizatoria y causan derechos pasivos de Clases Pasivas</w:t>
      </w:r>
      <w:r>
        <w:t xml:space="preserve"> (Real Decreto 405/1992, arts. 3 y 4)</w:t>
      </w:r>
      <w:r>
        <w:t>. Esa pensión es mensual, igual a la doceava parte del 80 % de las retribuciones del cargo, durante un plazo igual al tiempo que se desempeñó y con un máximo de veinticuatro mensualidades</w:t>
      </w:r>
      <w:r>
        <w:t xml:space="preserve"> (Ley 74/1980, art. 10.5, norma primera)</w:t>
      </w:r>
      <w:r>
        <w:t>. No es vitalicia: la idea, muy extendida, de un 80 % sin límite de plazo no está en la norma. Lo vitalicio es su condición de consejeros natos del Consejo de Estado, con el estatuto de los consejeros permanentes</w:t>
      </w:r>
      <w:r>
        <w:t xml:space="preserve"> (Ley Orgánica 3/1980, art. 8.1)</w:t>
      </w:r>
      <w:r>
        <w:t>; hoy no figura ningún expresidente en su Pleno (composición oficial consultada el 4-10-2026), así que ninguno cobra por esa vía. Lo que sí reciben los cuatro es la dotación de oficina: la partida «Dotación ex-Presidentes del Gobierno (R.D. 405/92)» es de 298.320 euros al año, 74.580 por cada uno</w:t>
      </w:r>
      <w:r>
        <w:t xml:space="preserve"> (Presupuestos Generales del Estado de 2023, programa 912M, concepto 480)</w:t>
      </w:r>
      <w:r>
        <w:t>, y el real decreto no les exige justificar en qué la gastan. Sus dos asesores son personal eventual: solo pueden ejercer «funciones expresamente calificadas como de confianza o asesoramiento especial», su nombramiento y cese son libres, y su número y sus retribuciones deben ser públicos</w:t>
      </w:r>
      <w:r>
        <w:t xml:space="preserve"> (Estatuto Básico del Empleado Público, art. 12)</w:t>
      </w:r>
      <w:r>
        <w:t xml:space="preserve">. El real decreto les reconoce derechos, pero no les fija ninguna obligación. </w:t>
      </w:r>
      <w:r>
        <w:t>[35.00-4.5]</w:t>
      </w:r>
    </w:p>
    <w:p>
      <w:r>
        <w:rPr>
          <w:b/>
        </w:rPr>
        <w:t>Los expresidentes autonómicos, en un sondeo de tres comunidades.</w:t>
      </w:r>
      <w:r>
        <w:t xml:space="preserve"> En Cataluña, al cesar, el 80 % del sueldo durante la mitad del tiempo en el cargo (como mínimo, una legislatura) y, desde los 65 años, una pensión vitalicia del 60 %</w:t>
      </w:r>
      <w:r>
        <w:t xml:space="preserve"> (Ley 6/2003, arts. 2 y 3)</w:t>
      </w:r>
      <w:r>
        <w:t>. En el País Vasco, una pensión vitalicia del 50 % del sueldo anual del cargo al llegar a la edad de jubilación, con al menos dos años en el cargo</w:t>
      </w:r>
      <w:r>
        <w:t xml:space="preserve"> (Ley 7/1981, de Gobierno, art. 38)</w:t>
      </w:r>
      <w:r>
        <w:t>. En Andalucía, la asignación del 60 % desde los 65 años se suprimió en 2011</w:t>
      </w:r>
      <w:r>
        <w:t xml:space="preserve"> (Ley 9/2011)</w:t>
      </w:r>
      <w:r>
        <w:t>, y hoy solo quedan la oficina y la seguridad</w:t>
      </w:r>
      <w:r>
        <w:t xml:space="preserve"> (Ley 2/2005)</w:t>
      </w:r>
      <w:r>
        <w:t xml:space="preserve">. Las otras catorce comunidades están por investigar. </w:t>
      </w:r>
      <w:r>
        <w:t>[35.00-4.6]</w:t>
      </w:r>
    </w:p>
    <w:p>
      <w:r>
        <w:rPr>
          <w:b/>
        </w:rPr>
        <w:t>Lectura del autor:</w:t>
      </w:r>
      <w:r>
        <w:t xml:space="preserve"> lo previsible es que las demás sigan una tendencia parecida, aunque Andalucía muestra que estos privilegios también se pueden suprimir. </w:t>
      </w:r>
      <w:r>
        <w:t>[35.00-4.6]</w:t>
      </w:r>
    </w:p>
    <w:p>
      <w:r>
        <w:rPr>
          <w:b/>
        </w:rPr>
        <w:t>Diputados y senadores.</w:t>
      </w:r>
      <w:r>
        <w:t xml:space="preserve"> Durante el mandato, sus cotizaciones a la Seguridad Social las paga el presupuesto de la Cámara</w:t>
      </w:r>
      <w:r>
        <w:t xml:space="preserve"> (Congreso de los Diputados, protección social)</w:t>
      </w:r>
      <w:r>
        <w:t>. El complemento que elevaba su pensión de jubilación con cargo a los presupuestos de las Cámaras, que exigía haber sido diputado o senador al menos siete años</w:t>
      </w:r>
      <w:r>
        <w:t xml:space="preserve"> (Reglamento de Pensiones Parlamentarias, art. 2)</w:t>
      </w:r>
      <w:r>
        <w:t>, se suprimió en 2011, pero sin efecto retroactivo: lo conservan quienes «el día de la constitución del Congreso de los Diputados y del Senado de la X Legislatura hubieren devengado el derecho»</w:t>
      </w:r>
      <w:r>
        <w:t xml:space="preserve"> (reforma del Reglamento de 19-7-2011, art. 2, BOCG, Cortes Generales, serie A, núm. 455)</w:t>
      </w:r>
      <w:r>
        <w:br/>
      </w:r>
      <w:r>
        <w:rPr>
          <w:b/>
        </w:rPr>
        <w:t>leída en su fuente · reforma del Reglamento de 19-7-2011, art. 2, BOCG, Cortes Generales, serie A, núm. 455</w:t>
      </w:r>
      <w:r>
        <w:br/>
      </w:r>
      <w:r>
        <w:rPr>
          <w:b/>
        </w:rPr>
        <w:t>Archivo leído:</w:t>
      </w:r>
      <w:r>
        <w:t xml:space="preserve"> bocg_cortes_CG_A455_raw.txt (c9e\bocg_cortes_CG_A455_raw.txt) · contraste del archivo de pasajes: ✔</w:t>
      </w:r>
      <w:r>
        <w:br/>
      </w:r>
      <w:r>
        <w:rPr>
          <w:b/>
        </w:rPr>
        <w:t>Lugar:</w:t>
      </w:r>
      <w:r>
        <w:t xml:space="preserve"> reforma del Reglamento de 19-7-2011, art. 2, BOCG, Cortes Generales, serie A, núm. 455</w:t>
      </w:r>
      <w:r>
        <w:br/>
      </w:r>
      <w:r>
        <w:rPr>
          <w:b/>
        </w:rPr>
        <w:t>Tal como está en la fuente:</w:t>
      </w:r>
      <w:r>
        <w:t xml:space="preserve"> el día de la constitución del Congreso de los Diputados y del Senado de la X Legislatura hubieren devengado el derecho</w:t>
      </w:r>
      <w:r>
        <w:t>. La página de protección social del Congreso fija esa fecha: «se mantiene para quienes hubiesen devengado el derecho a su percepción con anterioridad al 13 de diciembre de 2011»</w:t>
      </w:r>
      <w:r>
        <w:t xml:space="preserve"> (Congreso de los Diputados, «Protección Social»)</w:t>
      </w:r>
      <w:r>
        <w:br/>
      </w:r>
      <w:r>
        <w:rPr>
          <w:b/>
        </w:rPr>
        <w:t>leída en su fuente · Congreso de los Diputados, «Protección Social»</w:t>
      </w:r>
      <w:r>
        <w:br/>
      </w:r>
      <w:r>
        <w:rPr>
          <w:b/>
        </w:rPr>
        <w:t>Archivo leído:</w:t>
      </w:r>
      <w:r>
        <w:t xml:space="preserve"> 35.00-4.7_Congreso_proteccion_social_exparlamentarios.html (flecos3\35.00-4.7_Congreso_proteccion_social_exparlamentarios.html) · contraste del archivo de pasajes: ✔</w:t>
      </w:r>
      <w:r>
        <w:br/>
      </w:r>
      <w:r>
        <w:rPr>
          <w:b/>
        </w:rPr>
        <w:t>Dirección:</w:t>
      </w:r>
      <w:r>
        <w:t xml:space="preserve"> </w:t>
      </w:r>
      <w:r>
        <w:t>https://www.congreso.es/es/cem/protsocial</w:t>
      </w:r>
      <w:r>
        <w:br/>
      </w:r>
      <w:r>
        <w:rPr>
          <w:b/>
        </w:rPr>
        <w:t>Tal como está en la fuente:</w:t>
      </w:r>
      <w:r>
        <w:t xml:space="preserve"> si bien se mantiene para quienes hubiesen devengado el derecho a su percepción con anterioridad al 13 de diciembre de 2011</w:t>
      </w:r>
      <w:r>
        <w:t>. Al cesar, quien haya estado al menos dos años en el cargo cobra, mes a mes, una indemnización equivalente a una mensualidad de la asignación constitucional por cada año de mandato o fracción superior a seis meses, con un máximo de veinticuatro</w:t>
      </w:r>
      <w:r>
        <w:t xml:space="preserve"> (Reglamento, arts. 13 y 14.1)</w:t>
      </w:r>
      <w:r>
        <w:t>; desde la X Legislatura es incompatible con «cualquier retribución, sueldo, salario, pensión, dieta, indemnización o percepción de cualquier naturaleza, sea de carácter público o privado»</w:t>
      </w:r>
      <w:r>
        <w:t xml:space="preserve"> (art. 14.2, reformado en 2011)</w:t>
      </w:r>
      <w:r>
        <w:br/>
      </w:r>
      <w:r>
        <w:rPr>
          <w:b/>
        </w:rPr>
        <w:t>pasaje guardado · art. 14.2, reformado en 2011</w:t>
      </w:r>
      <w:r>
        <w:br/>
      </w:r>
      <w:r>
        <w:rPr>
          <w:b/>
        </w:rPr>
        <w:t>Archivo leído:</w:t>
      </w:r>
      <w:r>
        <w:t xml:space="preserve"> bocg_cortes_CG_A455_raw.txt (c9e\bocg_cortes_CG_A455_raw.txt) · contraste del archivo de pasajes: ✔</w:t>
      </w:r>
      <w:r>
        <w:br/>
      </w:r>
      <w:r>
        <w:rPr>
          <w:b/>
        </w:rPr>
        <w:t>Lugar:</w:t>
      </w:r>
      <w:r>
        <w:t xml:space="preserve"> Pág. PDF 8, artículo 3 de la reforma (líneas 275-283)</w:t>
      </w:r>
      <w:r>
        <w:br/>
      </w:r>
      <w:r>
        <w:rPr>
          <w:b/>
        </w:rPr>
        <w:t>Tal como está en la fuente:</w:t>
      </w:r>
      <w:r>
        <w:t xml:space="preserve"> "El apartado 2 del artículo 14 del Reglamento de pensiones parlamentarias y otras prestaciones económicas a favor de los ex-parlamentarios queda redactado de la siguiente manera: ""2. Esta indemnización será incompatible con la percepción de cualquier retribución, sueldo, salario, pensión, dieta, indemnización o percepción de cualquier naturaleza, sea de carácter público o privado."""</w:t>
      </w:r>
      <w:r>
        <w:t xml:space="preserve">. </w:t>
      </w:r>
      <w:r>
        <w:t>[35.00-4.7]</w:t>
      </w:r>
    </w:p>
    <w:p>
      <w:r>
        <w:rPr>
          <w:b/>
        </w:rPr>
        <w:t>¿Se les puede despedir?</w:t>
      </w:r>
      <w:r>
        <w:t xml:space="preserve"> </w:t>
      </w:r>
      <w:r>
        <w:t>[35.00-4.12]</w:t>
      </w:r>
    </w:p>
    <w:p>
      <w:pPr>
        <w:pStyle w:val="ListBullet"/>
      </w:pPr>
      <w:r>
        <w:rPr>
          <w:i/>
        </w:rPr>
        <w:t>Asalariado:</w:t>
      </w:r>
      <w:r>
        <w:t xml:space="preserve"> sí, con indemnización tasada (</w:t>
      </w:r>
      <w:r>
        <w:t>8.6</w:t>
      </w:r>
      <w:r>
        <w:t>): por causas objetivas, 20 días de salario por año trabajado, con un máximo de doce mensualidades</w:t>
      </w:r>
      <w:r>
        <w:t xml:space="preserve"> (Estatuto de los Trabajadores, art. 53.1.b)</w:t>
      </w:r>
      <w:r>
        <w:t xml:space="preserve">. </w:t>
      </w:r>
      <w:r>
        <w:t>[35.00-4.13]</w:t>
      </w:r>
    </w:p>
    <w:p>
      <w:pPr>
        <w:pStyle w:val="ListBullet"/>
      </w:pPr>
      <w:r>
        <w:rPr>
          <w:i/>
        </w:rPr>
        <w:t>Funcionario de carrera:</w:t>
      </w:r>
      <w:r>
        <w:t xml:space="preserve"> tiene derecho a «la inamovilidad» (</w:t>
      </w:r>
      <w:r>
        <w:t>8.6</w:t>
      </w:r>
      <w:r>
        <w:t>); solo pierde la plaza por renuncia, pérdida de la nacionalidad, jubilación, separación del servicio por falta muy grave o inhabilitación penal firme</w:t>
      </w:r>
      <w:r>
        <w:t xml:space="preserve"> (Estatuto Básico del Empleado Público, arts. 63 y 96.1.a)</w:t>
      </w:r>
      <w:r>
        <w:t>. El personal laboral de la Administración sí puede ser despedido, por falta muy grave</w:t>
      </w:r>
      <w:r>
        <w:t xml:space="preserve"> (art. 96.1.b)</w:t>
      </w:r>
      <w:r>
        <w:t xml:space="preserve"> o por las causas del Estatuto de los Trabajadores. </w:t>
      </w:r>
      <w:r>
        <w:t>[35.00-4.14]</w:t>
      </w:r>
    </w:p>
    <w:p>
      <w:pPr>
        <w:pStyle w:val="ListBullet"/>
      </w:pPr>
      <w:r>
        <w:rPr>
          <w:i/>
        </w:rPr>
        <w:t>Diputados y senadores:</w:t>
      </w:r>
      <w:r>
        <w:t xml:space="preserve"> no. No están ligados por mandato imperativo, y solo pierden el escaño por las causas tasadas del Reglamento del Congreso (</w:t>
      </w:r>
      <w:r>
        <w:t>8.5</w:t>
      </w:r>
      <w:r>
        <w:t xml:space="preserve">, n.º 8). </w:t>
      </w:r>
      <w:r>
        <w:t>[35.00-4.15]</w:t>
      </w:r>
    </w:p>
    <w:p>
      <w:pPr>
        <w:pStyle w:val="ListBullet"/>
      </w:pPr>
      <w:r>
        <w:rPr>
          <w:i/>
        </w:rPr>
        <w:t>Gobierno y alcaldes:</w:t>
      </w:r>
      <w:r>
        <w:t xml:space="preserve"> al Gobierno lo puede hacer caer el Congreso con una moción de censura aprobada por mayoría absoluta</w:t>
      </w:r>
      <w:r>
        <w:t xml:space="preserve"> (Constitución, art. 113.1)</w:t>
      </w:r>
      <w:r>
        <w:t>; al alcalde, una moción de censura de los concejales</w:t>
      </w:r>
      <w:r>
        <w:t xml:space="preserve"> (Ley Orgánica del Régimen Electoral General, art. 197.1)</w:t>
      </w:r>
      <w:r>
        <w:t xml:space="preserve">. </w:t>
      </w:r>
      <w:r>
        <w:t>[35.00-4.16]</w:t>
      </w:r>
    </w:p>
    <w:p>
      <w:r>
        <w:t xml:space="preserve">La evaluación del desempeño que la ley exige a todas las administraciones, y la regla transitoria que la sustituye en la del Estado, se explican en </w:t>
      </w:r>
      <w:r>
        <w:t>5.1</w:t>
      </w:r>
      <w:r>
        <w:t xml:space="preserve">. </w:t>
      </w:r>
      <w:r>
        <w:t>[35.00-4.19]</w:t>
      </w:r>
    </w:p>
    <w:p>
      <w:r>
        <w:rPr>
          <w:b/>
        </w:rPr>
        <w:t>Conclusión, lo que arrojan los datos:</w:t>
      </w:r>
      <w:r>
        <w:t xml:space="preserve"> quien sostiene el sistema con su trabajo en el régimen general se retira años más tarde, y con menos garantías, que quienes están en los regímenes especiales; a él se le puede despedir pagando una indemnización tasada, mientras que al funcionario de carrera solo por falta muy grave o condena, al parlamentario nadie puede quitarle el escaño durante su mandato y al gobernante solo lo aparta un voto de la Cámara o del pleno municipal. </w:t>
      </w:r>
      <w:r>
        <w:t>[35.00-4.17]</w:t>
      </w:r>
    </w:p>
    <w:p>
      <w:r>
        <w:rPr>
          <w:b/>
        </w:rPr>
        <w:t>Lectura del autor:</w:t>
      </w:r>
      <w:r>
        <w:t xml:space="preserve"> la brecha entre unos regímenes y otros es desproporcionada. </w:t>
      </w:r>
      <w:r>
        <w:t>[35.00-4.18]</w:t>
      </w:r>
    </w:p>
    <w:p>
      <w:pPr>
        <w:pStyle w:val="Heading2"/>
      </w:pPr>
      <w:r>
        <w:t>C.5 Las pensiones, por régimen</w:t>
      </w:r>
    </w:p>
    <w:p>
      <w:pPr>
        <w:pBdr>
          <w:left w:val="single" w:sz="24" w:space="6" w:color="E2DED6"/>
        </w:pBdr>
        <w:shd w:val="clear" w:color="auto" w:fill="F1EEE8"/>
        <w:spacing w:before="80" w:after="160"/>
        <w:ind w:left="142" w:right="142"/>
      </w:pPr>
      <w:r>
        <w:rPr>
          <w:b/>
        </w:rPr>
        <w:t>La idea: hay dos bolsas que se publican aparte, y la de la Seguridad Social lleva dentro más de lo que su nombre hace creer.</w:t>
      </w:r>
    </w:p>
    <w:p>
      <w:r>
        <w:rPr>
          <w:b/>
        </w:rPr>
        <w:t>Las dos bolsas.</w:t>
      </w:r>
      <w:r>
        <w:t xml:space="preserve"> </w:t>
      </w:r>
      <w:r>
        <w:t>[35.00-5.1]</w:t>
      </w:r>
    </w:p>
    <w:p>
      <w:pPr>
        <w:pStyle w:val="ListBullet"/>
      </w:pPr>
      <w:r>
        <w:rPr>
          <w:i/>
        </w:rPr>
        <w:t>Seguridad Social</w:t>
      </w:r>
      <w:r>
        <w:t xml:space="preserve"> (régimen general, autónomos, mar y minería): 10.547.417 pensiones a más de 9,5 millones de personas, con una nómina de 14.498,2 millones de euros en septiembre de 2026. Pensión media: 1.374,6 euros; la de jubilación, 1.576,1. </w:t>
      </w:r>
      <w:r>
        <w:t>[35.00-5.2]</w:t>
      </w:r>
    </w:p>
    <w:p>
      <w:pPr>
        <w:pStyle w:val="ListBullet"/>
      </w:pPr>
      <w:r>
        <w:rPr>
          <w:i/>
        </w:rPr>
        <w:t>Clases Pasivas</w:t>
      </w:r>
      <w:r>
        <w:t xml:space="preserve"> (funcionarios civiles de la Administración del Estado, militares, Administración de Justicia, Cortes Generales y otros órganos del Estado): 740.431 pensiones a 720.276 personas, con una nómina de 1.774,1 millones de euros en agosto de 2026. </w:t>
      </w:r>
      <w:r>
        <w:t>[35.00-5.3]</w:t>
      </w:r>
    </w:p>
    <w:p>
      <w:r>
        <w:t xml:space="preserve">Fuente: Ministerio de Inclusión, Seguridad Social y Migraciones, nota de pensiones de 25-9-2026, que incluye los datos de Clases Pasivas de agosto. </w:t>
      </w:r>
      <w:r>
        <w:t>[35.00-5.11]</w:t>
      </w:r>
    </w:p>
    <w:p>
      <w:r>
        <w:t xml:space="preserve">Cálculo de la obra con esos datos: la pensión media de Clases Pasivas es de unos 2.396 euros al mes, 1,7 veces la de la Seguridad Social; Clases Pasivas son el 6,6 % de las pensiones y se llevan el 10,9 % de la nómina conjunta. Al año, con catorce pagas, unos 202.975 millones de la Seguridad Social y unos 24.837 de Clases Pasivas. </w:t>
      </w:r>
      <w:r>
        <w:t>[35.00-5.4]</w:t>
      </w:r>
    </w:p>
    <w:p>
      <w:r>
        <w:rPr>
          <w:b/>
        </w:rPr>
        <w:t>Lo que lleva dentro la bolsa de la Seguridad Social.</w:t>
      </w:r>
      <w:r>
        <w:t xml:space="preserve"> El nombre hace pensar en quien trabajó en la empresa privada y pagó su cotización; la norma y el dato dicen que dentro van también:</w:t>
      </w:r>
    </w:p>
    <w:p>
      <w:pPr>
        <w:spacing w:after="60"/>
        <w:ind w:left="510" w:hanging="397"/>
      </w:pPr>
      <w:r>
        <w:rPr>
          <w:b w:val="0"/>
        </w:rPr>
        <w:t xml:space="preserve">1. </w:t>
      </w:r>
      <w:r>
        <w:rPr>
          <w:i/>
        </w:rPr>
        <w:t>Los empleados públicos que ingresaron desde 2011, el personal laboral de las administraciones y casi todos los funcionarios autonómicos y locales,</w:t>
      </w:r>
      <w:r>
        <w:t xml:space="preserve"> que se jubilan por la Seguridad Social, sin que las estadísticas los separen del resto (</w:t>
      </w:r>
      <w:r>
        <w:t>8.6</w:t>
      </w:r>
      <w:r>
        <w:t>).</w:t>
      </w:r>
    </w:p>
    <w:p>
      <w:pPr>
        <w:spacing w:after="60"/>
        <w:ind w:left="510" w:hanging="397"/>
      </w:pPr>
      <w:r>
        <w:rPr>
          <w:b w:val="0"/>
        </w:rPr>
        <w:t xml:space="preserve">2. </w:t>
      </w:r>
      <w:r>
        <w:rPr>
          <w:i/>
        </w:rPr>
        <w:t>Los alcaldes y concejales con dedicación:</w:t>
      </w:r>
      <w:r>
        <w:t xml:space="preserve"> se les da de alta en el régimen general, y la cuota de empresa la paga el ayuntamiento</w:t>
      </w:r>
      <w:r>
        <w:t xml:space="preserve"> (Ley 7/1985, art. 75.1 y 75.2)</w:t>
      </w:r>
      <w:r>
        <w:t xml:space="preserve"> (</w:t>
      </w:r>
      <w:r>
        <w:t>C.4</w:t>
      </w:r>
      <w:r>
        <w:t>).</w:t>
      </w:r>
    </w:p>
    <w:p>
      <w:pPr>
        <w:spacing w:after="60"/>
        <w:ind w:left="510" w:hanging="397"/>
      </w:pPr>
      <w:r>
        <w:rPr>
          <w:b w:val="0"/>
        </w:rPr>
        <w:t xml:space="preserve">3. </w:t>
      </w:r>
      <w:r>
        <w:rPr>
          <w:i/>
        </w:rPr>
        <w:t>Los diputados y senadores:</w:t>
      </w:r>
      <w:r>
        <w:t xml:space="preserve"> durante el mandato, sus cotizaciones las paga el presupuesto de la Cámara (</w:t>
      </w:r>
      <w:r>
        <w:t>C.4</w:t>
      </w:r>
      <w:r>
        <w:t>).</w:t>
      </w:r>
    </w:p>
    <w:p>
      <w:pPr>
        <w:spacing w:after="60"/>
        <w:ind w:left="510" w:hanging="397"/>
      </w:pPr>
      <w:r>
        <w:rPr>
          <w:b w:val="0"/>
        </w:rPr>
        <w:t xml:space="preserve">4. </w:t>
      </w:r>
      <w:r>
        <w:rPr>
          <w:i/>
        </w:rPr>
        <w:t>Lo que se cotiza por todos ellos:</w:t>
      </w:r>
      <w:r>
        <w:t xml:space="preserve"> la cuota de empresa del personal público la pagan las administraciones, con impuestos. De los 223.612 millones de cotizaciones de 2025, 161.409 los pagaron los empleadores, y la estadística no separa lo que pagan las administraciones de lo que pagan las empresas (</w:t>
      </w:r>
      <w:r>
        <w:t>5.1</w:t>
      </w:r>
      <w:r>
        <w:t>, n.º 3).</w:t>
      </w:r>
    </w:p>
    <w:p>
      <w:r>
        <w:t>Ninguna de las cuatro cosas es secreta: cada una está en su ley o en su estadística. Lo que no existe es la cifra que las separe. Es la forma de la maniobra camuflada (</w:t>
      </w:r>
      <w:r>
        <w:t>5.1</w:t>
      </w:r>
      <w:r>
        <w:t xml:space="preserve">): un nombre que sugiere una cosa, y una norma que dice otra; describirla no exige suponer intención. </w:t>
      </w:r>
      <w:r>
        <w:t>[lectura de 35.00-5.5, 4.7 y 4.11, por indicación de Kiko; 5.1, n.º 3 y 23; cargo 23]</w:t>
      </w:r>
    </w:p>
    <w:p>
      <w:r>
        <w:rPr>
          <w:b/>
        </w:rPr>
        <w:t>Límite honesto:</w:t>
      </w:r>
      <w:r>
        <w:t xml:space="preserve"> por lo mismo, Clases Pasivas no recoge a todos los que han trabajado para el Estado, y su cifra es un mínimo de lo que se paga a quienes lo sirvieron. Y la obra no ha podido medir cuánto de la bolsa de la Seguridad Social corresponde a cada grupo, ni cuánto de lo cotizado salió de impuestos: la estadística no lo separa. </w:t>
      </w:r>
      <w:r>
        <w:t>[35.00-5.5]</w:t>
      </w:r>
    </w:p>
    <w:p>
      <w:r>
        <w:rPr>
          <w:b/>
        </w:rPr>
        <w:t>Agrupado por régimen.</w:t>
      </w:r>
      <w:r>
        <w:t xml:space="preserve"> Los grupos se forman por el régimen que se aplica, no por las personas: en Clases Pasivas están sobre todo docentes, militares, guardias civiles, jueces y personal de la Administración, no solo cargos políticos. </w:t>
      </w:r>
      <w:r>
        <w:t>[35.00-5.6]</w:t>
      </w:r>
    </w:p>
    <w:p>
      <w:pPr>
        <w:pStyle w:val="ListBullet"/>
      </w:pPr>
      <w:r>
        <w:rPr>
          <w:i/>
        </w:rPr>
        <w:t>A. Seguridad Social:</w:t>
      </w:r>
      <w:r>
        <w:t xml:space="preserve"> quienes trabajaron en la empresa privada, los autónomos, los empleados públicos que ingresaron desde 2011 y los cargos que cotizaron por su puesto. Unos 14.498 millones de euros al mes. </w:t>
      </w:r>
      <w:r>
        <w:t>[35.00-5.7]</w:t>
      </w:r>
    </w:p>
    <w:p>
      <w:pPr>
        <w:pStyle w:val="ListBullet"/>
      </w:pPr>
      <w:r>
        <w:rPr>
          <w:i/>
        </w:rPr>
        <w:t>B. Clases Pasivas:</w:t>
      </w:r>
      <w:r>
        <w:t xml:space="preserve"> funcionarios del Estado que ingresaron antes de 2011. Unos 1.774 millones al mes: el 6,6 % de las pensiones y el 10,9 % de la nómina. </w:t>
      </w:r>
      <w:r>
        <w:t>[35.00-5.8]</w:t>
      </w:r>
    </w:p>
    <w:p>
      <w:pPr>
        <w:pStyle w:val="ListBullet"/>
      </w:pPr>
      <w:r>
        <w:rPr>
          <w:i/>
        </w:rPr>
        <w:t>C. Prestaciones por razón de un cargo político:</w:t>
      </w:r>
      <w:r>
        <w:t xml:space="preserve"> la dotación de oficina y los asesores de los expresidentes del Gobierno (298.320 euros al año de dotación), la pensión indemnizatoria de exministros y expresidentes (como máximo veinticuatro mensualidades), la indemnización por cese de los exparlamentarios (como máximo veinticuatro mensualidades), el complemento de pensión parlamentaria que conservan quienes lo devengaron antes de 2011 y las pensiones vitalicias de algunos expresidentes autonómicos (</w:t>
      </w:r>
      <w:r>
        <w:t>C.4</w:t>
      </w:r>
      <w:r>
        <w:t>). Lo verificado: las pensiones a exministros suman 2.379.970 euros al año</w:t>
      </w:r>
      <w:r>
        <w:t xml:space="preserve"> (Presupuestos Generales del Estado de 2023, prorrogados, sección 07, concepto 48000)</w:t>
      </w:r>
      <w:r>
        <w:t>, y la dotación de los expresidentes, 298.320. El complemento y las demás prestaciones de los exparlamentarios no se publican por separado en los Presupuestos: solo hay cifras de prensa, y no coinciden (</w:t>
      </w:r>
      <w:r>
        <w:t>8.6</w:t>
      </w:r>
      <w:r>
        <w:t xml:space="preserve">). Es el grupo más pequeño en euros, pero es el único con reglas que no existen para el resto de los ciudadanos, y su coste total no se publica sumado. </w:t>
      </w:r>
      <w:r>
        <w:t>[35.00-5.9, sin las cifras de prensa]</w:t>
      </w:r>
    </w:p>
    <w:p>
      <w:r>
        <w:rPr>
          <w:b/>
        </w:rPr>
        <w:t>Conclusión, lo que arrojan los datos:</w:t>
      </w:r>
      <w:r>
        <w:t xml:space="preserve"> una de cada quince pensiones, la de quienes sirvieron al Estado bajo el régimen de Clases Pasivas, se lleva uno de cada nueve euros de la nómina. Y la otra bolsa, la de la Seguridad Social, paga también a empleados públicos y a cargos políticos, con cotizaciones que en parte salen de impuestos, sin que ninguna estadística lo separe. </w:t>
      </w:r>
      <w:r>
        <w:t>[35.00-5.10, con lo añadido de C.5]</w:t>
      </w:r>
    </w:p>
    <w:p>
      <w:pPr>
        <w:pStyle w:val="Heading2"/>
      </w:pPr>
      <w:r>
        <w:t>Límite honesto de la prueba</w:t>
      </w:r>
    </w:p>
    <w:p>
      <w:pPr>
        <w:pStyle w:val="ListBullet"/>
      </w:pPr>
      <w:r>
        <w:t>Los años no coinciden: las pensiones son de 2026, la nómina pública de 2024 y 2025, los Presupuestos de 2023 prorrogados. Las proporciones son órdenes de magnitud.</w:t>
      </w:r>
    </w:p>
    <w:p>
      <w:pPr>
        <w:pStyle w:val="ListBullet"/>
      </w:pPr>
      <w:r>
        <w:t>Los cálculos de la obra se dicen como tales: el coste medio por empleado, el senador sin cargo, la suma de los altos cargos, las pensiones al año, las proporciones del cuadro y la deuda por habitante.</w:t>
      </w:r>
    </w:p>
    <w:p>
      <w:pPr>
        <w:pStyle w:val="ListBullet"/>
      </w:pPr>
      <w:r>
        <w:t>Las cifras del Portal de la Transparencia pueden cambiar con la fecha de descarga; las del ISPA, según la propia nota, no son definitivas.</w:t>
      </w:r>
    </w:p>
    <w:p>
      <w:pPr>
        <w:pStyle w:val="ListBullet"/>
      </w:pPr>
      <w:r>
        <w:t>Lo que la obra no ha podido leer en una fuente oficial no está: la plantilla real de la Casa del Rey, el coste total de la Jefatura del Estado, el de los exparlamentarios, los concejales elegidos en 2023 y lo que cobran los cargos de los ayuntamientos que no informaron.</w:t>
      </w:r>
    </w:p>
    <w:p>
      <w:pPr>
        <w:pStyle w:val="ListBullet"/>
      </w:pPr>
      <w:r>
        <w:t>La obra no sostiene que sobren médicos, maestros o policías: documenta quién cobra qué, quién lo decide, qué régimen tiene cada uno y lo difícil que es saberlo.</w:t>
      </w:r>
    </w:p>
    <w:p>
      <w:pPr>
        <w:pStyle w:val="Heading2"/>
      </w:pPr>
      <w:r>
        <w:t>La defensa del Estado</w:t>
      </w:r>
    </w:p>
    <w:p>
      <w:r>
        <w:t xml:space="preserve">Este anexo es de consulta: lleva su propia defensa. </w:t>
      </w:r>
      <w:r>
        <w:t>[35.00-6.1]</w:t>
      </w:r>
    </w:p>
    <w:p>
      <w:pPr>
        <w:pStyle w:val="ListBullet"/>
      </w:pPr>
      <w:r>
        <w:rPr>
          <w:b/>
        </w:rPr>
        <w:t>Los datos son públicos: la ley obliga a publicarlos.</w:t>
      </w:r>
      <w:r>
        <w:t xml:space="preserve"> No hay opacidad: la ley obliga a publicar las retribuciones de los altos cargos y el número y las retribuciones del personal eventual, y el Portal de la Transparencia lo hace desde 2013. </w:t>
      </w:r>
      <w:r>
        <w:t>[35.00-6.2]</w:t>
      </w:r>
      <w:r>
        <w:t xml:space="preserve"> </w:t>
      </w:r>
      <w:r>
        <w:rPr>
          <w:i/>
        </w:rPr>
        <w:t>Los contrapuntos de la obra:</w:t>
      </w:r>
      <w:r>
        <w:t xml:space="preserve"> 1) La obra lo reconoce al empezar: cada dato lo publica alguien (</w:t>
      </w:r>
      <w:r>
        <w:t>C.0</w:t>
      </w:r>
      <w:r>
        <w:t>). 2) Pero no existe una cifra única: los altos cargos del Estado están en 23 ficheros sin un total; lo que cobran los cargos de comunidades y ayuntamientos no se suma; y la Casa del Rey no dice cuántas personas trabajan en ella (</w:t>
      </w:r>
      <w:r>
        <w:t>C.1</w:t>
      </w:r>
      <w:r>
        <w:t xml:space="preserve"> y </w:t>
      </w:r>
      <w:r>
        <w:t>C.2</w:t>
      </w:r>
      <w:r>
        <w:t>). 3) Lo que se publica sin sumarse cumple la letra de la transparencia, no su fin: el Consejo de Transparencia recibió 2.767 reclamaciones en 2025 (</w:t>
      </w:r>
      <w:r>
        <w:t>10.2</w:t>
      </w:r>
      <w:r>
        <w:t xml:space="preserve">). </w:t>
      </w:r>
      <w:r>
        <w:t>[35.00-6.3]</w:t>
      </w:r>
    </w:p>
    <w:p>
      <w:pPr>
        <w:pStyle w:val="ListBullet"/>
      </w:pPr>
      <w:r>
        <w:rPr>
          <w:b/>
        </w:rPr>
        <w:t>La nómina pública es la que exigen los servicios.</w:t>
      </w:r>
      <w:r>
        <w:t xml:space="preserve"> La mayor parte del personal trabaja en las comunidades autónomas, que gestionan la sanidad y la educación. </w:t>
      </w:r>
      <w:r>
        <w:t>[35.00-6.4]</w:t>
      </w:r>
      <w:r>
        <w:t xml:space="preserve"> </w:t>
      </w:r>
      <w:r>
        <w:rPr>
          <w:i/>
        </w:rPr>
        <w:t>Los contrapuntos de la obra:</w:t>
      </w:r>
      <w:r>
        <w:t xml:space="preserve"> 1) Es cierto, y el anexo lo muestra: de 3.071.725 empleados públicos, 1.930.273 están en las comunidades, y de 172.749 millones de remuneración en 2024, 108.023 los pagan ellas (</w:t>
      </w:r>
      <w:r>
        <w:t>C.2</w:t>
      </w:r>
      <w:r>
        <w:t>). 2) La obra no sostiene que sobren médicos o maestros: documenta la estructura y la dificultad de saberla (</w:t>
      </w:r>
      <w:r>
        <w:t>C.1</w:t>
      </w:r>
      <w:r>
        <w:t xml:space="preserve"> a </w:t>
      </w:r>
      <w:r>
        <w:t>C.5</w:t>
      </w:r>
      <w:r>
        <w:t>). 3) Y separa a quien presta el servicio de quien gobierna el sistema: los cargos políticos y eventuales son los que no tienen una cifra única (</w:t>
      </w:r>
      <w:r>
        <w:t>C.1</w:t>
      </w:r>
      <w:r>
        <w:t xml:space="preserve">). </w:t>
      </w:r>
      <w:r>
        <w:t>[35.00-6.5]</w:t>
      </w:r>
    </w:p>
    <w:p>
      <w:pPr>
        <w:pStyle w:val="ListBullet"/>
      </w:pPr>
      <w:r>
        <w:rPr>
          <w:b/>
        </w:rPr>
        <w:t>Los altos cargos cobran menos que en el sector privado.</w:t>
      </w:r>
      <w:r>
        <w:t xml:space="preserve"> Sus retribuciones son moderadas para la responsabilidad que tienen, y menores que las de puestos equivalentes en la empresa privada. </w:t>
      </w:r>
      <w:r>
        <w:t>[35.00-6.6]</w:t>
      </w:r>
      <w:r>
        <w:t xml:space="preserve"> </w:t>
      </w:r>
      <w:r>
        <w:rPr>
          <w:i/>
        </w:rPr>
        <w:t>Los contrapuntos de la obra:</w:t>
      </w:r>
      <w:r>
        <w:t xml:space="preserve"> 1) En 2025, la retribución media de los altos cargos del Estado es de 92.294 euros, y el 52,8 % supera los 100.000 (</w:t>
      </w:r>
      <w:r>
        <w:t>C.1</w:t>
      </w:r>
      <w:r>
        <w:t>), frente a un salario medio de 22.962 euros en el sector privado (</w:t>
      </w:r>
      <w:r>
        <w:t>8.6</w:t>
      </w:r>
      <w:r>
        <w:t>): unas cuatro veces (cálculo de la obra; la comparación es en bruto). Frente a la mediana de la ganancia bruta anual por trabajador (24.497,17 euros, INE, 2024), la media de los altos cargos es 3,77 veces, y el Presidente del Gobierno, con 96.921,84 euros, 3,96 (cálculo de la obra). 2) La empresa privada paga con su dinero; el Estado, con el de los contribuyentes, y esas retribuciones las aprueba la misma mayoría que gobierna, en los Presupuestos. 3) Y los representantes fijan su propia asignación (</w:t>
      </w:r>
      <w:r>
        <w:t>7.2</w:t>
      </w:r>
      <w:r>
        <w:t xml:space="preserve">). </w:t>
      </w:r>
      <w:r>
        <w:t>[35.00-6.7, con la errata del 07 y con el salario mediano, leído el 7-oct]</w:t>
      </w:r>
    </w:p>
    <w:p>
      <w:pPr>
        <w:pStyle w:val="ListBullet"/>
      </w:pPr>
      <w:r>
        <w:rPr>
          <w:b/>
        </w:rPr>
        <w:t>Clases Pasivas es un régimen a extinguir.</w:t>
      </w:r>
      <w:r>
        <w:t xml:space="preserve"> Desde 2011, los nuevos funcionarios cotizan en el régimen general, con las mismas edades que el resto. </w:t>
      </w:r>
      <w:r>
        <w:t>[35.00-6.8]</w:t>
      </w:r>
      <w:r>
        <w:t xml:space="preserve"> </w:t>
      </w:r>
      <w:r>
        <w:rPr>
          <w:i/>
        </w:rPr>
        <w:t>Los contrapuntos de la obra:</w:t>
      </w:r>
      <w:r>
        <w:t xml:space="preserve"> 1) La obra lo recoge (</w:t>
      </w:r>
      <w:r>
        <w:t>C.4</w:t>
      </w:r>
      <w:r>
        <w:t>). 2) Pero el régimen cerrado sigue pagando 740.431 pensiones, con una media de unos 2.396 euros al mes, 1,7 veces la de la Seguridad Social: el 6,6 % de las pensiones, que se llevan el 10,9 % de la nómina (</w:t>
      </w:r>
      <w:r>
        <w:t>C.5</w:t>
      </w:r>
      <w:r>
        <w:t>). 3) Y conserva su regla: jubilación voluntaria a los 60 años con 30 de servicio, frente a los 66 años y 10 meses del régimen general en 2026 (</w:t>
      </w:r>
      <w:r>
        <w:t>C.4</w:t>
      </w:r>
      <w:r>
        <w:t>). 4) Y los que entraron desde 2011 no salen de la cuenta: pasan a la bolsa de la Seguridad Social, con la cuota de empresa pagada con impuestos (</w:t>
      </w:r>
      <w:r>
        <w:t>C.5</w:t>
      </w:r>
      <w:r>
        <w:t xml:space="preserve">). </w:t>
      </w:r>
      <w:r>
        <w:t>[35.00-6.9]</w:t>
      </w:r>
    </w:p>
    <w:p>
      <w:pPr>
        <w:pStyle w:val="ListBullet"/>
      </w:pPr>
      <w:r>
        <w:rPr>
          <w:b/>
        </w:rPr>
        <w:t>Las prestaciones de los cargos políticos son irrelevantes en el gasto.</w:t>
      </w:r>
      <w:r>
        <w:t xml:space="preserve"> Las pensiones de exministros, la dotación de los expresidentes y las prestaciones de los exparlamentarios suman unos pocos millones frente a un gasto público de 764.884 millones. </w:t>
      </w:r>
      <w:r>
        <w:t>[35.00-6.10]</w:t>
      </w:r>
      <w:r>
        <w:t xml:space="preserve"> </w:t>
      </w:r>
      <w:r>
        <w:rPr>
          <w:i/>
        </w:rPr>
        <w:t>Los contrapuntos de la obra:</w:t>
      </w:r>
      <w:r>
        <w:t xml:space="preserve"> 1) La obra lo concede en magnitud (</w:t>
      </w:r>
      <w:r>
        <w:t>C.3</w:t>
      </w:r>
      <w:r>
        <w:t>). 2) Lo que mide no es el tamaño, sino la vara: el complemento de los exparlamentarios se suprimió en 2011, pero sin efecto retroactivo, y lo conservan quienes lo habían devengado antes (</w:t>
      </w:r>
      <w:r>
        <w:t>C.4</w:t>
      </w:r>
      <w:r>
        <w:t>). Los beneficiarios decidieron sobre lo suyo. 3) Y ni siquiera su coste se publica: solo hay cifras de prensa, y no coinciden (</w:t>
      </w:r>
      <w:r>
        <w:t>C.5</w:t>
      </w:r>
      <w:r>
        <w:t xml:space="preserve">). Si lo pequeño no se puede saber con exactitud, lo grande tampoco. </w:t>
      </w:r>
      <w:r>
        <w:t>[35.00-6.11, sin las cifras de prensa]</w:t>
      </w:r>
    </w:p>
    <w:p>
      <w:pPr>
        <w:pStyle w:val="ListBullet"/>
      </w:pPr>
      <w:r>
        <w:rPr>
          <w:b/>
        </w:rPr>
        <w:t>La Casa del Rey es transparente y está fiscalizada.</w:t>
      </w:r>
      <w:r>
        <w:t xml:space="preserve"> Publica su presupuesto, sus retribuciones y sus cuentas, y el Tribunal de Cuentas las auditó con opinión favorable. </w:t>
      </w:r>
      <w:r>
        <w:rPr>
          <w:i/>
        </w:rPr>
        <w:t>Los contrapuntos de la obra:</w:t>
      </w:r>
      <w:r>
        <w:t xml:space="preserve"> 1) Es cierto, y la obra lo dice (</w:t>
      </w:r>
      <w:r>
        <w:t>C.2</w:t>
      </w:r>
      <w:r>
        <w:t>). 2) Las mismas cuentas auditadas dan un resultado negativo de 719.334,93 euros en 2025. 3) Y ni el presupuesto ni las cuentas dicen cuántas personas trabajan en ella: pagan complementos a «otro personal que presta servicio en la Casa», cuyo sueldo no figura en su presupuesto (</w:t>
      </w:r>
      <w:r>
        <w:t>C.2</w:t>
      </w:r>
      <w:r>
        <w:t>); el personal civil sí consta en la relación de puestos del Ministerio de la Presidencia (161 puestos de funcionarios a 1-X-2026), y los 105 millones de la Jefatura del Estado son un cálculo académico, no una cifra oficial (</w:t>
      </w:r>
      <w:r>
        <w:t>C.2</w:t>
      </w:r>
      <w:r>
        <w:t xml:space="preserve">). </w:t>
      </w:r>
      <w:r>
        <w:t>[20.00-35.13, puntos 1 a 3; los 105 millones, de un informe académico, leído el 7-oct]</w:t>
      </w:r>
    </w:p>
    <w:p>
      <w:pPr>
        <w:pStyle w:val="Heading2"/>
      </w:pPr>
      <w:r>
        <w:t>Dónde se oye la defensa del Estado</w:t>
      </w:r>
    </w:p>
    <w:p>
      <w:r>
        <w:t xml:space="preserve">En este anexo, arriba. Y en el juicio: la transparencia y la Casa del Rey, en el </w:t>
      </w:r>
      <w:r>
        <w:t>cargo 22</w:t>
      </w:r>
      <w:r>
        <w:t xml:space="preserve">; la partida de vejez y las dos bolsas de pensiones, en el </w:t>
      </w:r>
      <w:r>
        <w:t>cargo 23</w:t>
      </w:r>
      <w:r>
        <w:t xml:space="preserve">; la representación y lo que fijan los representantes para sí, en el </w:t>
      </w:r>
      <w:r>
        <w:t>cargo 6</w:t>
      </w:r>
      <w:r>
        <w:t xml:space="preserve">; el Estado social, en el </w:t>
      </w:r>
      <w:r>
        <w:t>cargo 10</w:t>
      </w:r>
      <w:r>
        <w:t>.</w:t>
      </w:r>
    </w:p>
    <w:p>
      <w:pPr>
        <w:pStyle w:val="Heading2"/>
      </w:pPr>
      <w:r>
        <w:t>Para recordar</w:t>
      </w:r>
    </w:p>
    <w:p>
      <w:pPr>
        <w:pStyle w:val="ListBullet"/>
      </w:pPr>
      <w:r>
        <w:t>Cada dato lo publica alguien; nadie está obligado a publicar la suma.</w:t>
      </w:r>
    </w:p>
    <w:p>
      <w:pPr>
        <w:pStyle w:val="ListBullet"/>
      </w:pPr>
      <w:r>
        <w:t>De cada 100 euros del gasto: 26,5 a pensiones de la Seguridad Social, 23,7 al personal público, 5,3 a intereses y 3,2 a Clases Pasivas.</w:t>
      </w:r>
    </w:p>
    <w:p>
      <w:pPr>
        <w:pStyle w:val="ListBullet"/>
      </w:pPr>
      <w:r>
        <w:t>La bolsa de la Seguridad Social paga también a empleados públicos y a cargos políticos, y parte de lo cotizado por ellos sale de impuestos; ninguna estadística lo separa.</w:t>
      </w:r>
    </w:p>
    <w:p>
      <w:pPr>
        <w:pStyle w:val="ListBullet"/>
      </w:pPr>
      <w:r>
        <w:t>Una de cada quince pensiones, la de Clases Pasivas, se lleva uno de cada nueve euros de la nómina.</w:t>
      </w:r>
    </w:p>
    <w:p>
      <w:pPr>
        <w:pStyle w:val="ListBullet"/>
      </w:pPr>
      <w:r>
        <w:t>Quien trabaja en el régimen general se retira más tarde y se le puede despedir; al parlamentario, nadie durante su mandato.</w:t>
      </w:r>
    </w:p>
    <w:p>
      <w:pPr>
        <w:pStyle w:val="ListBullet"/>
      </w:pPr>
      <w:r>
        <w:t>Lo que no se ha podido leer en una fuente oficial no está, y se dice.</w:t>
      </w:r>
    </w:p>
    <w:p>
      <w:r>
        <w:br w:type="page"/>
      </w:r>
    </w:p>
    <w:p>
      <w:pPr>
        <w:pStyle w:val="Heading1"/>
      </w:pPr>
      <w:r>
        <w:t>Anexo D. El botiquín: los doce modelos de escrito</w:t>
      </w:r>
    </w:p>
    <w:p>
      <w:pPr>
        <w:spacing w:after="200"/>
      </w:pPr>
      <w:r>
        <w:rPr>
          <w:rFonts w:ascii="Segoe UI" w:hAnsi="Segoe UI" w:eastAsia="Segoe UI" w:cs="Segoe UI"/>
          <w:color w:val="6B665E"/>
          <w:sz w:val="17"/>
        </w:rPr>
        <w:t>Primera versión: 7 de octubre de 2026 · Última revisión: 12 de octubre de 2026 · Cambios anotados en el capítulo: 2 · Citas leídas en su fuente: 26</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(d) *hamartia*, palabra griega, en cursiva en D.1, D.8 y D.9 (07/herramientas/aplicar_cinco_de_forma.py). Ninguna otra palabra cambia. Cambio del 8-oct-2026 (parlamento sobre los mitos; Kiko: «sí a las tres, con tus recomendaciones» y el añadido del método de medir): dos referencias a «los mitos» pasan a «las afirmaciones sin documento». ESTADO: APROBADO por Kiko el 7-oct-2026 («sí a todo, ya lo he leído»; conversación del aviso PASO 3.3); sus marcas, en 04 CAPITULOS/marcas/marcas del anexo D.txt. Paso 3. «Usurpar» y «arrogarse» (Kiko, 7-oct): solo en la lectura del autor del D.13, con sus definiciones (DLE, «usurpar», 2.ª; DPEJ, «arrogarse»); dentro del escrito, solo la pregunta por el título (D.13, n.º 9). En el diccionario jurídico, «usurpación» es nombre de delito (Código Penal, art. 245): nunca dentro de un escrito. Sale de la pieza 36.00 (los doce modelos) y de 32.00-3.1 a 3.4 y 8.1 (archivo congelado), con lo decidido con Kiko en el parlamento del mismo día («sí a todo»): - La escalera (D.0): pedir; exigir que acrediten; recordar. La cláusula de la responsabilidad de quien tramita, solo en D.8, D.9 y D.10; cada escrito dice cuál es el siguiente paso. Dos alturas: el caso concreto (D.8 → D.10, al órgano que tramita) y los cimientos (D.9 con el D.13, a quien puede contestar). - D.1 es el escrito de petición entero que promete 10.4 (la pregunta, las seis peticiones, el fundamento de 32.00-8.1 y la buena fe), con la base legal del modelo 1 de la 36.00. - D.7, punto 3: sin «me reservo»: los derechos inherentes no nacen de ningún contrato (choca con 10.4 y 2.6). - D.9 gira sobre la pregunta de Kiko («¿en qué se apoya la presunción por la que el Estado ejerce autoridad sobre mi persona?»), con la definición de la presunción del diccionario jurídico de la RAE y de la LEC, la buena fe y «Lo que haré si no se contesta» en lugar de «me reservo todos los derechos» (retirado; 10.4 y 2.6). - D.13 (nuevo, al final, para no cambiar la numeración): la relación de presunciones que se adjunta al D.9, en dos partes: lo que la ley presume (con su norma, leída hoy) y «La vacuna: lo que se cree sin prueba» (lo que ninguna ley escribe: la creencia y el consentimiento), que abre con el orden de las leyes, el aforismo prior tempore potior iure solo como pregunta y la voz del ente sin cuerpo, y cierra con la lectura del autor. Sin la palabra «pilares». Escrito en tres niveles y con remisiones enlazables. Los modelos, en la jerga de la Administración (glosario 8.5 y 8.7). Leído hoy en su original (en local; libreta 75, 7 bis n.º 18): - RAE, Diccionario panhispánico del español jurídico, «presunción», «usurpación» y «arrogarse», y Diccionario de la lengua española, «usurpar» y «arrogar» (leídos con el navegador a petición de Kiko: 10 FUENTES LEIDAS/d_botiquin); «prior tempore potior iure» (ya bajado, c9g). El DPEJ «presunción» ya estaba en c9i (el lote de los diccionarios de «presunción», 6-oct): bajado dos veces (libreta 76, lección 44). De c9i, Nebrija (¿1495?, hoja 159): «Presumir. arrogo» y «Presuncion. arrogantia», a la lectura del autor del D.13. - Código Civil, art. 2.2 (c5). - Ley de Enjuiciamiento Civil, arts. 4, 385 y 386 (c7a). - Ley 39/2015, arts. 24.1, 38, 39.1, 43.2, 98.1 y disposición adicional primera, apartado 2 (c5). - Ley 7/1985, de Bases del Régimen Local, art. 4.1.e y f (c10). - Ley General Tributaria, arts. 108, 144 y 167.2 (c5). - Ley de Tráfico (Real Decreto Legislativo 6/2015), arts. 88 y 91 (c9n). - Código Civil, arts. 1, 6.1 y 434 (c5). - Herramienta: herramientas/presunciones_en_leyes.py (493 frases en 16 leyes; hojas/presunciones_en_leyes.md). Criba de Claude: entran las que tocan la relación entre el Estado y la persona; las de derecho privado (gananciales, paternidad, medianería, concurso de particulares…), no. Hallado al escribir: - 36.00-17.16: las «259 normas» de 2024 no tienen fila en el registro (en el informe de la CEOE, 259 son los reales decretos de 2023). Van las 894 normas de 2024, como en el cargo 8. - 36.00-5.4 y 6.3: el 50 % es la mitad de 10.5 (art. 94), y el 4,1 % y el 7,1 % de Madrid son el dato de 9.1. Mismo dato: van con su remisión. No entra: la cabecera de la pieza (36.00-0.0.2: nombre, sello y fecha); «el contador público del Registro» (36.00-14.3), que 10.8 no promete: queda como propuesta; Max Weber y el monopolio de la fuerza, sin leer (a 05 FLECOS); las fórmulas de reserva de derechos. Conceptos que usa, ya anclados: la constancia escrita y la pregunta (10.4); el botiquín (10.5); el Registro de los frutos (10.8); las presunciones y su edificio (5.2 a 5.4); la persona jurídica (2.1); el orden de las leyes y quién lo invirtió (1.1 y 1.7); la jurisdicción de la verdad (1); el juicio y sus cargos (11). Nuevo aquí: la definición jurídica de presunción y el aforismo prior tempore potior iure, explicados al usarlos. Lo que no se repite: por qué se pide cada cosa, el silencio, las vías que han funcionado, defenderse juntos y las cinco respuestas al escrito de petición están en 10.4; los plazos de multas, apremio y embargo, en 10.5.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10</w:t>
      </w:r>
      <w:r>
        <w:t xml:space="preserve"> explica los cauces (</w:t>
      </w:r>
      <w:r>
        <w:t>10.4</w:t>
      </w:r>
      <w:r>
        <w:t xml:space="preserve"> y </w:t>
      </w:r>
      <w:r>
        <w:t>10.5</w:t>
      </w:r>
      <w:r>
        <w:t>); este anexo pone en la mano los escritos: doce modelos listos para rellenar, cada uno con su base legal, sus plazos y la respuesta probable de la Administración.</w:t>
      </w:r>
    </w:p>
    <w:p>
      <w:pPr>
        <w:pStyle w:val="ListBullet"/>
      </w:pPr>
      <w:r>
        <w:t>Se usan en escalera: primero se pide; si no contestan o contestan con una evasiva, se exige que acrediten; y si siguen callando, se recuerda por escrito la obligación de resolver y la responsabilidad de quien tramita.</w:t>
      </w:r>
    </w:p>
    <w:p>
      <w:pPr>
        <w:pStyle w:val="ListBullet"/>
      </w:pPr>
      <w:r>
        <w:t>El último apartado, D.13, reúne las presunciones en que se sostiene la autoridad del Estado, las que la ley escribe y las que ninguna ley escribe, para pedir, una a una, el hecho demostrado en que se apoyan.</w:t>
      </w:r>
    </w:p>
    <w:p>
      <w:pPr>
        <w:pStyle w:val="ListBullet"/>
      </w:pPr>
      <w:r>
        <w:t>Son modelos, no consejo legal para un caso concreto. No eximen de ninguna obligación vigente ni invitan a desobedecer.</w:t>
      </w:r>
    </w:p>
    <w:p>
      <w:pPr>
        <w:pStyle w:val="Heading2"/>
      </w:pPr>
      <w:r>
        <w:t>D.0 Cómo se usan</w:t>
      </w:r>
    </w:p>
    <w:p>
      <w:pPr>
        <w:pBdr>
          <w:left w:val="single" w:sz="24" w:space="6" w:color="E2DED6"/>
        </w:pBdr>
        <w:shd w:val="clear" w:color="auto" w:fill="F1EEE8"/>
        <w:spacing w:before="80" w:after="160"/>
        <w:ind w:left="142" w:right="142"/>
      </w:pPr>
      <w:r>
        <w:rPr>
          <w:b/>
        </w:rPr>
        <w:t>La idea: los escritos son la constancia; se presentan en escalera, con copia sellada, en plazo y en el lenguaje de la Administración.</w:t>
      </w:r>
    </w:p>
    <w:p>
      <w:r>
        <w:t>Los seis primeros modelos sirven para defenderse en la jurisdicción del Estado, con el derecho vigente, sus artículos y sus plazos. El séptimo es la constancia de no consentimiento, en la jurisdicción de la verdad (</w:t>
      </w:r>
      <w:r>
        <w:t>1</w:t>
      </w:r>
      <w:r>
        <w:t xml:space="preserve">). El octavo, el noveno y el décimo exigen al Estado que acredite su competencia, sus hechos y sus motivos, y que justifique las presunciones en que funda su autoridad, y recuerdan la responsabilidad de quien tramita. Los dos últimos son el espejo: exigen al Estado lo mismo que él exige al ciudadano, los intereses cuando devuelve tarde y la indemnización cuando su funcionamiento causa un daño. Lo que va entre corchetes se sustituye por los datos de cada caso. </w:t>
      </w:r>
      <w:r>
        <w:t>[36.00-0.0.3]</w:t>
      </w:r>
    </w:p>
    <w:p>
      <w:r>
        <w:rPr>
          <w:b/>
        </w:rPr>
        <w:t>Tres reglas.</w:t>
      </w:r>
      <w:r>
        <w:t xml:space="preserve"> Guardar siempre la copia sellada o el justificante de presentación, porque es la constancia. Vigilar el plazo desde el primer día, porque un plazo perdido no se recupera. Y, cuando haya dinero en juego, consultar con un abogado. Cada escrito presentado, y su respuesta o su silencio, podrá archivarse en el Registro (</w:t>
      </w:r>
      <w:r>
        <w:t>10.8</w:t>
      </w:r>
      <w:r>
        <w:t xml:space="preserve">). </w:t>
      </w:r>
      <w:r>
        <w:t>[36.00-0.0.4]</w:t>
      </w:r>
    </w:p>
    <w:p>
      <w:r>
        <w:rPr>
          <w:b/>
        </w:rPr>
        <w:t>La escalera.</w:t>
      </w:r>
      <w:r>
        <w:t xml:space="preserve"> Primero se pide con respeto; la constancia de la responsabilidad llega cuando ya hay un motivo escrito, el silencio o la evasiva: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escalón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modelos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hace</w:t>
            </w:r>
          </w:p>
        </w:tc>
      </w:tr>
      <w:tr>
        <w:tc>
          <w:tcPr>
            <w:tcW w:type="dxa" w:w="3061"/>
          </w:tcPr>
          <w:p>
            <w:pPr>
              <w:spacing w:after="20" w:line="264" w:lineRule="auto"/>
            </w:pPr>
            <w:r/>
            <w:r>
              <w:rPr>
                <w:rFonts w:ascii="Segoe UI" w:hAnsi="Segoe UI" w:eastAsia="Segoe UI" w:cs="Segoe UI"/>
                <w:color w:val="1F1D1A"/>
                <w:sz w:val="18"/>
              </w:rPr>
              <w:t>1. Pedir</w:t>
            </w:r>
          </w:p>
        </w:tc>
        <w:tc>
          <w:tcPr>
            <w:tcW w:type="dxa" w:w="3061"/>
          </w:tcPr>
          <w:p>
            <w:pPr>
              <w:spacing w:after="20" w:line="264" w:lineRule="auto"/>
            </w:pPr>
            <w:r/>
            <w:r>
              <w:rPr>
                <w:rFonts w:ascii="Segoe UI" w:hAnsi="Segoe UI" w:eastAsia="Segoe UI" w:cs="Segoe UI"/>
                <w:color w:val="1F1D1A"/>
                <w:sz w:val="18"/>
              </w:rPr>
              <w:t>D.1</w:t>
            </w:r>
            <w:r>
              <w:rPr>
                <w:rFonts w:ascii="Segoe UI" w:hAnsi="Segoe UI" w:eastAsia="Segoe UI" w:cs="Segoe UI"/>
                <w:color w:val="1F1D1A"/>
                <w:sz w:val="18"/>
              </w:rPr>
              <w:t xml:space="preserve"> a </w:t>
            </w:r>
            <w:r>
              <w:rPr>
                <w:rFonts w:ascii="Segoe UI" w:hAnsi="Segoe UI" w:eastAsia="Segoe UI" w:cs="Segoe UI"/>
                <w:color w:val="1F1D1A"/>
                <w:sz w:val="18"/>
              </w:rPr>
              <w:t>D.7</w:t>
            </w:r>
            <w:r>
              <w:rPr>
                <w:rFonts w:ascii="Segoe UI" w:hAnsi="Segoe UI" w:eastAsia="Segoe UI" w:cs="Segoe UI"/>
                <w:color w:val="1F1D1A"/>
                <w:sz w:val="18"/>
              </w:rPr>
              <w:t xml:space="preserve">, </w:t>
            </w:r>
            <w:r>
              <w:rPr>
                <w:rFonts w:ascii="Segoe UI" w:hAnsi="Segoe UI" w:eastAsia="Segoe UI" w:cs="Segoe UI"/>
                <w:color w:val="1F1D1A"/>
                <w:sz w:val="18"/>
              </w:rPr>
              <w:t>D.11</w:t>
            </w:r>
            <w:r>
              <w:rPr>
                <w:rFonts w:ascii="Segoe UI" w:hAnsi="Segoe UI" w:eastAsia="Segoe UI" w:cs="Segoe UI"/>
                <w:color w:val="1F1D1A"/>
                <w:sz w:val="18"/>
              </w:rPr>
              <w:t xml:space="preserve"> y </w:t>
            </w:r>
            <w:r>
              <w:rPr>
                <w:rFonts w:ascii="Segoe UI" w:hAnsi="Segoe UI" w:eastAsia="Segoe UI" w:cs="Segoe UI"/>
                <w:color w:val="1F1D1A"/>
                <w:sz w:val="18"/>
              </w:rPr>
              <w:t>D.12</w:t>
            </w:r>
          </w:p>
        </w:tc>
        <w:tc>
          <w:tcPr>
            <w:tcW w:type="dxa" w:w="3061"/>
          </w:tcPr>
          <w:p>
            <w:pPr>
              <w:spacing w:after="20" w:line="264" w:lineRule="auto"/>
            </w:pPr>
            <w:r/>
            <w:r>
              <w:rPr>
                <w:rFonts w:ascii="Segoe UI" w:hAnsi="Segoe UI" w:eastAsia="Segoe UI" w:cs="Segoe UI"/>
                <w:color w:val="1F1D1A"/>
                <w:sz w:val="18"/>
              </w:rPr>
              <w:t>pide, recurre o reclama; termina diciendo cuál es el siguiente paso si no contestan</w:t>
            </w:r>
          </w:p>
        </w:tc>
      </w:tr>
      <w:tr>
        <w:tc>
          <w:tcPr>
            <w:tcW w:type="dxa" w:w="3061"/>
          </w:tcPr>
          <w:p>
            <w:pPr>
              <w:spacing w:after="20" w:line="264" w:lineRule="auto"/>
            </w:pPr>
            <w:r/>
            <w:r>
              <w:rPr>
                <w:rFonts w:ascii="Segoe UI" w:hAnsi="Segoe UI" w:eastAsia="Segoe UI" w:cs="Segoe UI"/>
                <w:color w:val="1F1D1A"/>
                <w:sz w:val="18"/>
              </w:rPr>
              <w:t>2. Exigir que acrediten</w:t>
            </w:r>
          </w:p>
        </w:tc>
        <w:tc>
          <w:tcPr>
            <w:tcW w:type="dxa" w:w="3061"/>
          </w:tcPr>
          <w:p>
            <w:pPr>
              <w:spacing w:after="20" w:line="264" w:lineRule="auto"/>
            </w:pPr>
            <w:r/>
            <w:r>
              <w:rPr>
                <w:rFonts w:ascii="Segoe UI" w:hAnsi="Segoe UI" w:eastAsia="Segoe UI" w:cs="Segoe UI"/>
                <w:color w:val="1F1D1A"/>
                <w:sz w:val="18"/>
              </w:rPr>
              <w:t>D.8</w:t>
            </w:r>
            <w:r>
              <w:rPr>
                <w:rFonts w:ascii="Segoe UI" w:hAnsi="Segoe UI" w:eastAsia="Segoe UI" w:cs="Segoe UI"/>
                <w:color w:val="1F1D1A"/>
                <w:sz w:val="18"/>
              </w:rPr>
              <w:t xml:space="preserve"> (en el caso concreto) y </w:t>
            </w:r>
            <w:r>
              <w:rPr>
                <w:rFonts w:ascii="Segoe UI" w:hAnsi="Segoe UI" w:eastAsia="Segoe UI" w:cs="Segoe UI"/>
                <w:color w:val="1F1D1A"/>
                <w:sz w:val="18"/>
              </w:rPr>
              <w:t>D.9</w:t>
            </w:r>
            <w:r>
              <w:rPr>
                <w:rFonts w:ascii="Segoe UI" w:hAnsi="Segoe UI" w:eastAsia="Segoe UI" w:cs="Segoe UI"/>
                <w:color w:val="1F1D1A"/>
                <w:sz w:val="18"/>
              </w:rPr>
              <w:t xml:space="preserve"> con el </w:t>
            </w:r>
            <w:r>
              <w:rPr>
                <w:rFonts w:ascii="Segoe UI" w:hAnsi="Segoe UI" w:eastAsia="Segoe UI" w:cs="Segoe UI"/>
                <w:color w:val="1F1D1A"/>
                <w:sz w:val="18"/>
              </w:rPr>
              <w:t>D.13</w:t>
            </w:r>
            <w:r>
              <w:rPr>
                <w:rFonts w:ascii="Segoe UI" w:hAnsi="Segoe UI" w:eastAsia="Segoe UI" w:cs="Segoe UI"/>
                <w:color w:val="1F1D1A"/>
                <w:sz w:val="18"/>
              </w:rPr>
              <w:t xml:space="preserve"> (en los cimientos)</w:t>
            </w:r>
          </w:p>
        </w:tc>
        <w:tc>
          <w:tcPr>
            <w:tcW w:type="dxa" w:w="3061"/>
          </w:tcPr>
          <w:p>
            <w:pPr>
              <w:spacing w:after="20" w:line="264" w:lineRule="auto"/>
            </w:pPr>
            <w:r/>
            <w:r>
              <w:rPr>
                <w:rFonts w:ascii="Segoe UI" w:hAnsi="Segoe UI" w:eastAsia="Segoe UI" w:cs="Segoe UI"/>
                <w:color w:val="1F1D1A"/>
                <w:sz w:val="18"/>
              </w:rPr>
              <w:t>pide la competencia, los hechos, los motivos y el fundamento de las presunciones, con la cláusula de la responsabilidad de quien tramita</w:t>
            </w:r>
          </w:p>
        </w:tc>
      </w:tr>
      <w:tr>
        <w:tc>
          <w:tcPr>
            <w:tcW w:type="dxa" w:w="3061"/>
          </w:tcPr>
          <w:p>
            <w:pPr>
              <w:spacing w:after="20" w:line="264" w:lineRule="auto"/>
            </w:pPr>
            <w:r/>
            <w:r>
              <w:rPr>
                <w:rFonts w:ascii="Segoe UI" w:hAnsi="Segoe UI" w:eastAsia="Segoe UI" w:cs="Segoe UI"/>
                <w:color w:val="1F1D1A"/>
                <w:sz w:val="18"/>
              </w:rPr>
              <w:t>3. Recordar</w:t>
            </w:r>
          </w:p>
        </w:tc>
        <w:tc>
          <w:tcPr>
            <w:tcW w:type="dxa" w:w="3061"/>
          </w:tcPr>
          <w:p>
            <w:pPr>
              <w:spacing w:after="20" w:line="264" w:lineRule="auto"/>
            </w:pPr>
            <w:r/>
            <w:r>
              <w:rPr>
                <w:rFonts w:ascii="Segoe UI" w:hAnsi="Segoe UI" w:eastAsia="Segoe UI" w:cs="Segoe UI"/>
                <w:color w:val="1F1D1A"/>
                <w:sz w:val="18"/>
              </w:rPr>
              <w:t>D.10</w:t>
            </w:r>
          </w:p>
        </w:tc>
        <w:tc>
          <w:tcPr>
            <w:tcW w:type="dxa" w:w="3061"/>
          </w:tcPr>
          <w:p>
            <w:pPr>
              <w:spacing w:after="20" w:line="264" w:lineRule="auto"/>
            </w:pPr>
            <w:r/>
            <w:r>
              <w:rPr>
                <w:rFonts w:ascii="Segoe UI" w:hAnsi="Segoe UI" w:eastAsia="Segoe UI" w:cs="Segoe UI"/>
                <w:color w:val="1F1D1A"/>
                <w:sz w:val="18"/>
              </w:rPr>
              <w:t>recuerda la obligación de resolver, cita el escrito anterior por su fecha y su número de registro, sin repetirlo, y lleva la cláusula</w:t>
            </w:r>
          </w:p>
        </w:tc>
      </w:tr>
    </w:tbl>
    <w:p>
      <w:pPr>
        <w:spacing w:after="80"/>
      </w:pPr>
    </w:p>
    <w:p>
      <w:r>
        <w:t xml:space="preserve">Hay dos alturas. En el caso concreto (una multa, una liquidación, un requerimiento), los escritos van al órgano que tramita: </w:t>
      </w:r>
      <w:r>
        <w:t>D.8</w:t>
      </w:r>
      <w:r>
        <w:t xml:space="preserve"> y, si calla, D.10. Los cimientos, en qué se apoya la autoridad misma, no los puede contestar quien tramita una multa: van a quien puede responder por ellos, la Presidencia del Gobierno o el órgano que se elija, con el </w:t>
      </w:r>
      <w:r>
        <w:t>D.9</w:t>
      </w:r>
      <w:r>
        <w:t xml:space="preserve"> y su relación de presunciones (</w:t>
      </w:r>
      <w:r>
        <w:t>D.13</w:t>
      </w:r>
      <w:r>
        <w:t xml:space="preserve">). </w:t>
      </w:r>
      <w:r>
        <w:t>[parlamento con Kiko, 7-oct-2026]</w:t>
      </w:r>
    </w:p>
    <w:p>
      <w:r>
        <w:t xml:space="preserve">Por qué se pide cada cosa, qué hacer si no contestan, las vías que ya han funcionado, cómo defenderse juntos y las cinco respuestas probables al escrito de petición se explican en </w:t>
      </w:r>
      <w:r>
        <w:t>10.4</w:t>
      </w:r>
      <w:r>
        <w:t xml:space="preserve">; los plazos de las multas, del apremio y del embargo, en </w:t>
      </w:r>
      <w:r>
        <w:t>10.5</w:t>
      </w:r>
      <w:r>
        <w:t>. Aquí no se repiten.</w:t>
      </w:r>
    </w:p>
    <w:p>
      <w:r>
        <w:rPr>
          <w:b/>
        </w:rPr>
        <w:t>Lectura del autor:</w:t>
      </w:r>
      <w:r>
        <w:t xml:space="preserve"> un ente sin aliento de vida no tiene cuerpo, ni voz, ni alma; quien habla por él es siempre una persona (</w:t>
      </w:r>
      <w:r>
        <w:t>2.1</w:t>
      </w:r>
      <w:r>
        <w:t xml:space="preserve">). El escrito no discute con esa persona ni la amenaza: le pide, en su propio lenguaje, el fundamento de lo que exige. He buscado en toda la arquitectura de sus leyes, y lo único que encuentro es la norma que se lo atribuye a sí misma. Por eso el escrito pregunta, y la respuesta, o el silencio, queda a la vista de todos. </w:t>
      </w:r>
      <w:r>
        <w:t>[Kiko, parlamento del 7-oct-2026]</w:t>
      </w:r>
    </w:p>
    <w:p>
      <w:pPr>
        <w:pStyle w:val="Heading2"/>
      </w:pPr>
      <w:r>
        <w:t>D.1 El escrito de petición</w:t>
      </w:r>
    </w:p>
    <w:p>
      <w:pPr>
        <w:pBdr>
          <w:left w:val="single" w:sz="24" w:space="6" w:color="E2DED6"/>
        </w:pBdr>
        <w:shd w:val="clear" w:color="auto" w:fill="F1EEE8"/>
        <w:spacing w:before="80" w:after="160"/>
        <w:ind w:left="142" w:right="142"/>
      </w:pPr>
      <w:r>
        <w:rPr>
          <w:b/>
        </w:rPr>
        <w:t xml:space="preserve">La idea: es el escrito de la pregunta de </w:t>
      </w:r>
      <w:r>
        <w:rPr>
          <w:b/>
        </w:rPr>
        <w:t>10.4</w:t>
      </w:r>
      <w:r>
        <w:rPr>
          <w:b/>
        </w:rPr>
        <w:t>, completo: pide la norma, la resolución y la identidad de quien tramita, y deja constancia de buena fe.</w:t>
      </w:r>
    </w:p>
    <w:p>
      <w:pPr>
        <w:pStyle w:val="ListBullet"/>
      </w:pPr>
      <w:r>
        <w:rPr>
          <w:b/>
        </w:rPr>
        <w:t>Dónde vale:</w:t>
      </w:r>
      <w:r>
        <w:t xml:space="preserve"> en la jurisdicción del Estado. </w:t>
      </w:r>
      <w:r>
        <w:t>[36.00-1.1]</w:t>
      </w:r>
    </w:p>
    <w:p>
      <w:pPr>
        <w:pStyle w:val="ListBullet"/>
      </w:pPr>
      <w:r>
        <w:rPr>
          <w:b/>
        </w:rPr>
        <w:t>Cuándo usarlo:</w:t>
      </w:r>
      <w:r>
        <w:t xml:space="preserve"> para pedir cualquier cosa a cualquier autoridad, sobre asuntos de interés propio o general, cuando no exista otro procedimiento específico; y ante una exigencia o una actuación material sin un expediente abierto en el que alegar. Si hay un procedimiento abierto, el escrito va dentro de él: D.8. </w:t>
      </w:r>
      <w:r>
        <w:t>[36.00-1.2; 10.4, respuesta 1]</w:t>
      </w:r>
    </w:p>
    <w:p>
      <w:pPr>
        <w:pStyle w:val="ListBullet"/>
      </w:pPr>
      <w:r>
        <w:rPr>
          <w:b/>
        </w:rPr>
        <w:t>Base legal:</w:t>
      </w:r>
      <w:r>
        <w:t xml:space="preserve"> Constitución, art. 29; Ley Orgánica 4/2001, reguladora del derecho de petición, arts. 4, 9 y 11. </w:t>
      </w:r>
      <w:r>
        <w:t>[36.00-1.3]</w:t>
      </w:r>
    </w:p>
    <w:p>
      <w:pPr>
        <w:pStyle w:val="ListBullet"/>
      </w:pPr>
      <w:r>
        <w:rPr>
          <w:b/>
        </w:rPr>
        <w:t>Plazos y advertencias:</w:t>
      </w:r>
      <w:r>
        <w:t xml:space="preserve"> si no se admite, la inadmisión tiene que ser motivada y notificarse en los cuarenta y cinco días hábiles siguientes a la presentación (art. 9.1). Si se admite, la autoridad está obligada a contestar en el plazo máximo de tres meses desde la presentación (art. 11.1). Una petición colectiva la firman todos los peticionarios, con su nombre y apellidos junto a cada firma (art. 4.2). </w:t>
      </w:r>
      <w:r>
        <w:t>[36.00-1.4]</w:t>
      </w:r>
    </w:p>
    <w:p>
      <w:pPr>
        <w:pStyle w:val="ListBullet"/>
      </w:pPr>
      <w:r>
        <w:rPr>
          <w:b/>
        </w:rPr>
        <w:t>Lo que lo sostiene</w:t>
      </w:r>
      <w:r>
        <w:t>, cada petición y cada derecho, está en 10.4: aquí va solo el escrito.</w:t>
      </w:r>
    </w:p>
    <w:p>
      <w:r>
        <w:rPr>
          <w:b/>
        </w:rPr>
        <w:t>Modelo para rellenar:</w:t>
      </w:r>
    </w:p>
    <w:p>
      <w:pPr>
        <w:pBdr>
          <w:left w:val="single" w:sz="18" w:space="8" w:color="E2DED6"/>
        </w:pBdr>
        <w:ind w:left="567" w:right="340"/>
      </w:pPr>
      <w:r>
        <w:rPr>
          <w:i/>
          <w:color w:val="6B665E"/>
        </w:rPr>
        <w:t xml:space="preserve">A la atención de: </w:t>
      </w:r>
      <w:r>
        <w:rPr>
          <w:i/>
          <w:color w:val="6B665E"/>
        </w:rPr>
        <w:t>[órgano o unidad administrativa concreta; no «a quien corresponda»]</w:t>
      </w:r>
      <w:r>
        <w:rPr>
          <w:i/>
          <w:color w:val="6B665E"/>
        </w:rPr>
        <w:t xml:space="preserve"> Expediente o referencia: </w:t>
      </w:r>
      <w:r>
        <w:rPr>
          <w:i/>
          <w:color w:val="6B665E"/>
        </w:rPr>
        <w:t>[si existe]</w:t>
      </w:r>
      <w:r>
        <w:rPr>
          <w:i/>
          <w:color w:val="6B665E"/>
        </w:rPr>
        <w:t xml:space="preserve"> Remitente: [nombre y apellidos completos, tal como constan en el DNI] · DNI [número] · Domicilio a efectos de notificaciones: </w:t>
      </w:r>
      <w:r>
        <w:rPr>
          <w:i/>
          <w:color w:val="6B665E"/>
        </w:rPr>
        <w:t>[dirección completa]</w:t>
      </w:r>
      <w:r>
        <w:rPr>
          <w:i/>
          <w:color w:val="6B665E"/>
        </w:rPr>
        <w:t xml:space="preserve"> Fecha: [día, mes, año] · Lugar: </w:t>
      </w:r>
      <w:r>
        <w:rPr>
          <w:i/>
          <w:color w:val="6B665E"/>
        </w:rPr>
        <w:t>[localidad]</w:t>
      </w:r>
    </w:p>
    <w:p>
      <w:pPr>
        <w:pBdr>
          <w:left w:val="single" w:sz="18" w:space="8" w:color="E2DED6"/>
        </w:pBdr>
        <w:ind w:left="567" w:right="340"/>
      </w:pPr>
      <w:r>
        <w:rPr>
          <w:i/>
          <w:color w:val="6B665E"/>
        </w:rPr>
        <w:t>[Nombre y apellidos], con DNI [número], de nacionalidad [nacionalidad], y con domicilio a efectos de notificaciones en [dirección postal o medio electrónico], al amparo del artículo 29 de la Constitución y de la Ley Orgánica 4/2001, reguladora del derecho de petición, formulo la siguiente</w:t>
      </w:r>
    </w:p>
    <w:p>
      <w:pPr>
        <w:pBdr>
          <w:left w:val="single" w:sz="18" w:space="8" w:color="E2DED6"/>
        </w:pBdr>
        <w:ind w:left="567" w:right="340"/>
      </w:pPr>
      <w:r>
        <w:rPr>
          <w:b/>
          <w:i/>
          <w:color w:val="6B665E"/>
        </w:rPr>
        <w:t>PETICIÓN</w:t>
      </w:r>
    </w:p>
    <w:p>
      <w:pPr>
        <w:pBdr>
          <w:left w:val="single" w:sz="18" w:space="8" w:color="E2DED6"/>
        </w:pBdr>
        <w:ind w:left="567" w:right="340"/>
      </w:pPr>
      <w:r>
        <w:rPr>
          <w:i/>
          <w:color w:val="6B665E"/>
        </w:rPr>
        <w:t>En relación con [la actuación, la exigencia o el requerimiento recibido, con su fecha], solicito que se me explique qué es lo que legitima a esa Administración para solicitarme lo indicado, y en concreto:</w:t>
      </w:r>
    </w:p>
    <w:p>
      <w:pPr>
        <w:spacing w:after="60"/>
        <w:ind w:left="510" w:hanging="397"/>
      </w:pPr>
      <w:r>
        <w:rPr>
          <w:b w:val="0"/>
        </w:rPr>
        <w:t xml:space="preserve">1. </w:t>
      </w:r>
      <w:r>
        <w:t>Que se indique la norma concreta, con su rango, número y artículo, que ampara la actuación.</w:t>
      </w:r>
    </w:p>
    <w:p>
      <w:pPr>
        <w:spacing w:after="60"/>
        <w:ind w:left="510" w:hanging="397"/>
      </w:pPr>
      <w:r>
        <w:rPr>
          <w:b w:val="0"/>
        </w:rPr>
        <w:t xml:space="preserve">2. </w:t>
      </w:r>
      <w:r>
        <w:t>Que se acredite la resolución previa que le sirve de fundamento (Ley 39/2015, art. 97.1).</w:t>
      </w:r>
    </w:p>
    <w:p>
      <w:pPr>
        <w:spacing w:after="60"/>
        <w:ind w:left="510" w:hanging="397"/>
      </w:pPr>
      <w:r>
        <w:rPr>
          <w:b w:val="0"/>
        </w:rPr>
        <w:t xml:space="preserve">3. </w:t>
      </w:r>
      <w:r>
        <w:t>Que se motive por qué se descartaron medidas menos gravosas.</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 (Ley 39/2015, art. 53.1.a).</w:t>
      </w:r>
    </w:p>
    <w:p>
      <w:pPr>
        <w:spacing w:after="60"/>
        <w:ind w:left="510" w:hanging="397"/>
      </w:pPr>
      <w:r>
        <w:rPr>
          <w:b w:val="0"/>
        </w:rPr>
        <w:t xml:space="preserve">6. </w:t>
      </w:r>
      <w:r>
        <w:t>Que se identifique a las autoridades y al personal bajo cuya responsabilidad se tramita (art. 53.1.b) y que, si se continúa, se haga constar por escrito con la norma y la resolución que lo amparan.</w:t>
      </w:r>
    </w:p>
    <w:p>
      <w:pPr>
        <w:pBdr>
          <w:left w:val="single" w:sz="18" w:space="8" w:color="E2DED6"/>
        </w:pBdr>
        <w:ind w:left="567" w:right="340"/>
      </w:pPr>
      <w:r>
        <w:rPr>
          <w:b/>
          <w:i/>
          <w:color w:val="6B665E"/>
        </w:rPr>
        <w:t>FUNDAMENTO.</w:t>
      </w:r>
      <w:r>
        <w:rPr>
          <w:i/>
          <w:color w:val="6B665E"/>
        </w:rPr>
        <w:t xml:space="preserve"> Las fuentes del ordenamiento jurídico español son la ley, la costumbre y los principios generales del derecho (art. 1.1 del Código Civil). La coacción y la inercia administrativa ejecutan el Derecho, pero no lo crean. Por ello, y sin desconocer autoridad alguna, se solicita únicamente aquello que el propio ordenamiento impone: que toda actuación material que limite derechos venga precedida de la resolución que le sirva de fundamento jurídico (art. 97.1 de la Ley 39/2015), y que esa resolución esté motivada (art. 35).</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i/>
          <w:color w:val="6B665E"/>
        </w:rPr>
        <w:t>Solicito que se admita a trámite y que se me conteste por escrito y de forma motivada en el plazo legal. Si no se contesta en ese plazo, presentaré recordatorio de la obligación de resolver.</w:t>
      </w:r>
    </w:p>
    <w:p>
      <w:pPr>
        <w:pBdr>
          <w:left w:val="single" w:sz="18" w:space="8" w:color="E2DED6"/>
        </w:pBdr>
        <w:ind w:left="567" w:right="340"/>
      </w:pPr>
      <w:r>
        <w:rPr>
          <w:i/>
          <w:color w:val="6B665E"/>
        </w:rPr>
        <w:t xml:space="preserve">En [lugar], a [fecha]. Firma: </w:t>
      </w:r>
      <w:r>
        <w:rPr>
          <w:i/>
          <w:color w:val="6B665E"/>
        </w:rPr>
        <w:t>[nombre legal completo y firma habitual, sin anotaciones, siglas, huella ni tinta de color]</w:t>
      </w:r>
    </w:p>
    <w:p>
      <w:r>
        <w:t>[32.00-3.1 a 3.4; 36.00-1.5 a 1.13; las seis peticiones, de 10.4 (32.00-6.1 a 6.9); 32.00-8.1; la buena fe y la firma, de 10.4 (32.00-7.1 y 9.1)]</w:t>
      </w:r>
    </w:p>
    <w:p>
      <w:r>
        <w:rPr>
          <w:b/>
        </w:rPr>
        <w:t>La respuesta probable de la Administración:</w:t>
      </w:r>
      <w:r>
        <w:t xml:space="preserve"> que no se admite porque lo pedido tiene otro procedimiento específico o es ajeno a sus atribuciones</w:t>
      </w:r>
      <w:r>
        <w:t xml:space="preserve"> (Ley Orgánica 4/2001, art. 8)</w:t>
      </w:r>
      <w:r>
        <w:t xml:space="preserve">, o una contestación genérica que no responde a lo pedido. Las cinco respuestas posibles, con lo que contesta la obra, están en </w:t>
      </w:r>
      <w:r>
        <w:t>10.4</w:t>
      </w:r>
      <w:r>
        <w:t xml:space="preserve">. </w:t>
      </w:r>
      <w:r>
        <w:t>[36.00-1.14]</w:t>
      </w:r>
    </w:p>
    <w:p>
      <w:r>
        <w:rPr>
          <w:i/>
        </w:rPr>
        <w:t>La respuesta de la obra:</w:t>
      </w:r>
    </w:p>
    <w:p>
      <w:pPr>
        <w:spacing w:after="60"/>
        <w:ind w:left="510" w:hanging="397"/>
      </w:pPr>
      <w:r>
        <w:rPr>
          <w:b w:val="0"/>
        </w:rPr>
        <w:t xml:space="preserve">1. </w:t>
      </w:r>
      <w:r>
        <w:t>La inadmisión tiene que ser motivada, notificarse en cuarenta y cinco días hábiles y, si se debe a otro procedimiento, indicar expresamente las disposiciones de ese procedimiento</w:t>
      </w:r>
      <w:r>
        <w:t xml:space="preserve"> (ídem, art. 9.1)</w:t>
      </w:r>
      <w:r>
        <w:t>: si no lo hace, no cumple su propia ley.</w:t>
      </w:r>
    </w:p>
    <w:p>
      <w:pPr>
        <w:spacing w:after="60"/>
        <w:ind w:left="510" w:hanging="397"/>
      </w:pPr>
      <w:r>
        <w:rPr>
          <w:b w:val="0"/>
        </w:rPr>
        <w:t xml:space="preserve">2. </w:t>
      </w:r>
      <w:r>
        <w:t>Si se admite y la petición es fundada, la autoridad «vendrá obligado a atenderla» y a adoptar medidas para su plena efectividad</w:t>
      </w:r>
      <w:r>
        <w:t xml:space="preserve"> (ídem, art. 11.2)</w:t>
      </w:r>
      <w:r>
        <w:t>.</w:t>
      </w:r>
    </w:p>
    <w:p>
      <w:pPr>
        <w:spacing w:after="60"/>
        <w:ind w:left="510" w:hanging="397"/>
      </w:pPr>
      <w:r>
        <w:rPr>
          <w:b w:val="0"/>
        </w:rPr>
        <w:t xml:space="preserve">3. </w:t>
      </w:r>
      <w:r>
        <w:t>Una contestación que no responde a lo pedido, o el silencio, se archivan en el Registro (</w:t>
      </w:r>
      <w:r>
        <w:t>10.8</w:t>
      </w:r>
      <w:r>
        <w:t>); después cabe el recordatorio (</w:t>
      </w:r>
      <w:r>
        <w:t>D.10</w:t>
      </w:r>
      <w:r>
        <w:t>).</w:t>
      </w:r>
    </w:p>
    <w:p>
      <w:r>
        <w:t>[36.00-2.1 a 2.3]</w:t>
      </w:r>
    </w:p>
    <w:p>
      <w:pPr>
        <w:pStyle w:val="Heading2"/>
      </w:pPr>
      <w:r>
        <w:t>D.2 La solicitud de acceso a la información pública</w:t>
      </w:r>
    </w:p>
    <w:p>
      <w:pPr>
        <w:pBdr>
          <w:left w:val="single" w:sz="24" w:space="6" w:color="E2DED6"/>
        </w:pBdr>
        <w:shd w:val="clear" w:color="auto" w:fill="F1EEE8"/>
        <w:spacing w:before="80" w:after="160"/>
        <w:ind w:left="142" w:right="142"/>
      </w:pPr>
      <w:r>
        <w:rPr>
          <w:b/>
        </w:rPr>
        <w:t>La idea: para pedir los datos que tiene la Administración, sin decir para qué se quieren.</w:t>
      </w:r>
    </w:p>
    <w:p>
      <w:pPr>
        <w:pStyle w:val="ListBullet"/>
      </w:pPr>
      <w:r>
        <w:rPr>
          <w:b/>
        </w:rPr>
        <w:t>Dónde vale:</w:t>
      </w:r>
      <w:r>
        <w:t xml:space="preserve"> en la jurisdicción del Estado. </w:t>
      </w:r>
      <w:r>
        <w:t>[36.00-3.1]</w:t>
      </w:r>
    </w:p>
    <w:p>
      <w:pPr>
        <w:pStyle w:val="ListBullet"/>
      </w:pPr>
      <w:r>
        <w:rPr>
          <w:b/>
        </w:rPr>
        <w:t>Cuándo usarlo:</w:t>
      </w:r>
      <w:r>
        <w:t xml:space="preserve"> para pedir datos que tiene la Administración: cuánto cuesta algo, a quién se paga, qué se ha hecho. Sirve para enviar ya cualquiera de las preguntas de </w:t>
      </w:r>
      <w:r>
        <w:t>11.5</w:t>
      </w:r>
      <w:r>
        <w:t xml:space="preserve">. </w:t>
      </w:r>
      <w:r>
        <w:t>[36.00-3.2]</w:t>
      </w:r>
    </w:p>
    <w:p>
      <w:pPr>
        <w:pStyle w:val="ListBullet"/>
      </w:pPr>
      <w:r>
        <w:rPr>
          <w:b/>
        </w:rPr>
        <w:t>Base legal:</w:t>
      </w:r>
      <w:r>
        <w:t xml:space="preserve"> Ley 19/2013, de transparencia, acceso a la información pública y buen gobierno, arts. 12, 17, 20 y 24. </w:t>
      </w:r>
      <w:r>
        <w:t>[36.00-3.3]</w:t>
      </w:r>
    </w:p>
    <w:p>
      <w:pPr>
        <w:pStyle w:val="ListBullet"/>
      </w:pPr>
      <w:r>
        <w:rPr>
          <w:b/>
        </w:rPr>
        <w:t>Plazos y advertencias:</w:t>
      </w:r>
      <w:r>
        <w:t xml:space="preserve"> no hace falta explicar para qué se quiere la información (art. 17.3). La Administración debe resolver en el plazo máximo de un mes, ampliable a otro si la información es voluminosa o compleja (art. 20.1). Si no contesta, la solicitud se entiende desestimada (art. 20.4). Contra la respuesta o el silencio cabe reclamación ante el Consejo de Transparencia y Buen Gobierno en el plazo de un mes (art. 24.2); algunas comunidades autónomas tienen su propio órgano. </w:t>
      </w:r>
      <w:r>
        <w:t>[36.00-3.4]</w:t>
      </w:r>
    </w:p>
    <w:p>
      <w:r>
        <w:rPr>
          <w:b/>
        </w:rPr>
        <w:t>Modelo para rellenar:</w:t>
      </w:r>
    </w:p>
    <w:p>
      <w:pPr>
        <w:pBdr>
          <w:left w:val="single" w:sz="18" w:space="8" w:color="E2DED6"/>
        </w:pBdr>
        <w:ind w:left="567" w:right="340"/>
      </w:pPr>
      <w:r>
        <w:rPr>
          <w:i/>
          <w:color w:val="6B665E"/>
        </w:rPr>
        <w:t xml:space="preserve">A </w:t>
      </w:r>
      <w:r>
        <w:rPr>
          <w:i/>
          <w:color w:val="6B665E"/>
        </w:rPr>
        <w:t>[titular del órgano o entidad que tiene la información]</w:t>
      </w:r>
    </w:p>
    <w:p>
      <w:pPr>
        <w:pBdr>
          <w:left w:val="single" w:sz="18" w:space="8" w:color="E2DED6"/>
        </w:pBdr>
        <w:ind w:left="567" w:right="340"/>
      </w:pPr>
      <w:r>
        <w:rPr>
          <w:i/>
          <w:color w:val="6B665E"/>
        </w:rPr>
        <w:t>[Nombre y apellidos], con DNI [número], y con dirección a efectos de comunicaciones en [dirección postal o correo electrónico], al amparo de los artículos 12 y 17 de la Ley 19/2013, de transparencia, acceso a la información pública y buen gobierno,</w:t>
      </w:r>
    </w:p>
    <w:p>
      <w:pPr>
        <w:pBdr>
          <w:left w:val="single" w:sz="18" w:space="8" w:color="E2DED6"/>
        </w:pBdr>
        <w:ind w:left="567" w:right="340"/>
      </w:pPr>
      <w:r>
        <w:rPr>
          <w:b/>
          <w:i/>
          <w:color w:val="6B665E"/>
        </w:rPr>
        <w:t>SOLICITO</w:t>
      </w:r>
      <w:r>
        <w:rPr>
          <w:i/>
          <w:color w:val="6B665E"/>
        </w:rPr>
        <w:t xml:space="preserve"> acceso a la siguiente información:</w:t>
      </w:r>
    </w:p>
    <w:p>
      <w:pPr>
        <w:pBdr>
          <w:left w:val="single" w:sz="18" w:space="8" w:color="E2DED6"/>
        </w:pBdr>
        <w:ind w:left="567" w:right="340"/>
      </w:pPr>
      <w:r>
        <w:rPr>
          <w:i/>
          <w:color w:val="6B665E"/>
        </w:rPr>
        <w:t xml:space="preserve">[pregunta concreta; por ejemplo, una de las preguntas de </w:t>
      </w:r>
      <w:r>
        <w:rPr>
          <w:i/>
          <w:color w:val="6B665E"/>
        </w:rPr>
        <w:t>11.5</w:t>
      </w:r>
      <w:r>
        <w:rPr>
          <w:i/>
          <w:color w:val="6B665E"/>
        </w:rPr>
        <w:t>].</w:t>
      </w:r>
    </w:p>
    <w:p>
      <w:pPr>
        <w:pBdr>
          <w:left w:val="single" w:sz="18" w:space="8" w:color="E2DED6"/>
        </w:pBdr>
        <w:ind w:left="567" w:right="340"/>
      </w:pPr>
      <w:r>
        <w:rPr>
          <w:i/>
          <w:color w:val="6B665E"/>
        </w:rPr>
        <w:t>Modalidad preferida de acceso: [copia en formato electrónico a la dirección indicada].</w:t>
      </w:r>
    </w:p>
    <w:p>
      <w:pPr>
        <w:pBdr>
          <w:left w:val="single" w:sz="18" w:space="8" w:color="E2DED6"/>
        </w:pBdr>
        <w:ind w:left="567" w:right="340"/>
      </w:pPr>
      <w:r>
        <w:rPr>
          <w:i/>
          <w:color w:val="6B665E"/>
        </w:rPr>
        <w:t>Si no se resuelve en plazo, presentaré reclamación ante el Consejo de Transparencia y Buen Gobierno.</w:t>
      </w:r>
    </w:p>
    <w:p>
      <w:pPr>
        <w:pBdr>
          <w:left w:val="single" w:sz="18" w:space="8" w:color="E2DED6"/>
        </w:pBdr>
        <w:ind w:left="567" w:right="340"/>
      </w:pPr>
      <w:r>
        <w:rPr>
          <w:i/>
          <w:color w:val="6B665E"/>
        </w:rPr>
        <w:t xml:space="preserve">En [lugar], a [fecha]. Firma: </w:t>
      </w:r>
      <w:r>
        <w:rPr>
          <w:i/>
          <w:color w:val="6B665E"/>
        </w:rPr>
        <w:t>[firma]</w:t>
      </w:r>
    </w:p>
    <w:p>
      <w:r>
        <w:t>[36.00-3.5 a 3.12]</w:t>
      </w:r>
    </w:p>
    <w:p>
      <w:r>
        <w:rPr>
          <w:b/>
        </w:rPr>
        <w:t>La respuesta probable de la Administración:</w:t>
      </w:r>
      <w:r>
        <w:t xml:space="preserve"> que la información está protegida por algún límite legal</w:t>
      </w:r>
      <w:r>
        <w:t xml:space="preserve"> (Ley 19/2013, art. 14)</w:t>
      </w:r>
      <w:r>
        <w:t>, que exige una «reelaboración»</w:t>
      </w:r>
      <w:r>
        <w:t xml:space="preserve"> (ídem, art. 18.1.c)</w:t>
      </w:r>
      <w:r>
        <w:t xml:space="preserve"> o que ya está publicada en otro sitio. </w:t>
      </w:r>
      <w:r>
        <w:t>[36.00-3.13]</w:t>
      </w:r>
    </w:p>
    <w:p>
      <w:r>
        <w:rPr>
          <w:i/>
        </w:rPr>
        <w:t>La respuesta de la obra:</w:t>
      </w:r>
    </w:p>
    <w:p>
      <w:pPr>
        <w:spacing w:after="60"/>
        <w:ind w:left="510" w:hanging="397"/>
      </w:pPr>
      <w:r>
        <w:rPr>
          <w:b w:val="0"/>
        </w:rPr>
        <w:t xml:space="preserve">1. </w:t>
      </w:r>
      <w:r>
        <w:t>Los límites tienen que aplicarse de forma «justificada y proporcionada», atendiendo al caso concreto y al interés público en el acceso</w:t>
      </w:r>
      <w:r>
        <w:t xml:space="preserve"> (ídem, art. 14.2)</w:t>
      </w:r>
      <w:r>
        <w:t>, y la denegación debe ser motivada</w:t>
      </w:r>
      <w:r>
        <w:t xml:space="preserve"> (ídem, art. 20.2)</w:t>
      </w:r>
      <w:r>
        <w:t>.</w:t>
      </w:r>
    </w:p>
    <w:p>
      <w:pPr>
        <w:spacing w:after="60"/>
        <w:ind w:left="510" w:hanging="397"/>
      </w:pPr>
      <w:r>
        <w:rPr>
          <w:b w:val="0"/>
        </w:rPr>
        <w:t xml:space="preserve">2. </w:t>
      </w:r>
      <w:r>
        <w:t>Si el límite afecta solo a una parte, hay que dar acceso al resto</w:t>
      </w:r>
      <w:r>
        <w:t xml:space="preserve"> (ídem, art. 16)</w:t>
      </w:r>
      <w:r>
        <w:t>.</w:t>
      </w:r>
    </w:p>
    <w:p>
      <w:pPr>
        <w:spacing w:after="60"/>
        <w:ind w:left="510" w:hanging="397"/>
      </w:pPr>
      <w:r>
        <w:rPr>
          <w:b w:val="0"/>
        </w:rPr>
        <w:t xml:space="preserve">3. </w:t>
      </w:r>
      <w:r>
        <w:t>Contra la denegación o el silencio cabe reclamación ante el Consejo de Transparencia en un mes</w:t>
      </w:r>
      <w:r>
        <w:t xml:space="preserve"> (ídem, art. 24.2)</w:t>
      </w:r>
      <w:r>
        <w:t>. La obra ya documentó el patrón: cada dato publicado por separado, nunca la suma (</w:t>
      </w:r>
      <w:r>
        <w:t>8.6</w:t>
      </w:r>
      <w:r>
        <w:t>).</w:t>
      </w:r>
    </w:p>
    <w:p>
      <w:r>
        <w:t>[36.00-4.1 a 4.3]</w:t>
      </w:r>
    </w:p>
    <w:p>
      <w:pPr>
        <w:pStyle w:val="Heading2"/>
      </w:pPr>
      <w:r>
        <w:t>D.3 Las alegaciones y el recurso contra una multa o una sanción</w:t>
      </w:r>
    </w:p>
    <w:p>
      <w:pPr>
        <w:pBdr>
          <w:left w:val="single" w:sz="24" w:space="6" w:color="E2DED6"/>
        </w:pBdr>
        <w:shd w:val="clear" w:color="auto" w:fill="F1EEE8"/>
        <w:spacing w:before="80" w:after="160"/>
        <w:ind w:left="142" w:right="142"/>
      </w:pPr>
      <w:r>
        <w:rPr>
          <w:b/>
        </w:rPr>
        <w:t>La idea: ante una denuncia o una sanción, alegar en plazo y pedir la prueba; la presunción, aquí, juega a favor del ciudadano.</w:t>
      </w:r>
    </w:p>
    <w:p>
      <w:pPr>
        <w:pStyle w:val="ListBullet"/>
      </w:pPr>
      <w:r>
        <w:rPr>
          <w:b/>
        </w:rPr>
        <w:t>Dónde vale:</w:t>
      </w:r>
      <w:r>
        <w:t xml:space="preserve"> en la jurisdicción del Estado. </w:t>
      </w:r>
      <w:r>
        <w:t>[36.00-5.1]</w:t>
      </w:r>
    </w:p>
    <w:p>
      <w:pPr>
        <w:pStyle w:val="ListBullet"/>
      </w:pPr>
      <w:r>
        <w:rPr>
          <w:b/>
        </w:rPr>
        <w:t>Cuándo usarlo:</w:t>
      </w:r>
      <w:r>
        <w:t xml:space="preserve"> cuando llega una denuncia o una sanción, por ejemplo de tráfico, y se considera injusta o mal tramitada. </w:t>
      </w:r>
      <w:r>
        <w:t>[36.00-5.2]</w:t>
      </w:r>
    </w:p>
    <w:p>
      <w:pPr>
        <w:pStyle w:val="ListBullet"/>
      </w:pPr>
      <w:r>
        <w:rPr>
          <w:b/>
        </w:rPr>
        <w:t>Base legal:</w:t>
      </w:r>
      <w:r>
        <w:t xml:space="preserve"> Real Decreto Legislativo 6/2015, texto refundido de la Ley de Tráfico, arts. 94, 95 y 96; Ley 39/2015, del Procedimiento Administrativo Común, arts. 30 y 124. </w:t>
      </w:r>
      <w:r>
        <w:t>[36.00-5.3]</w:t>
      </w:r>
    </w:p>
    <w:p>
      <w:pPr>
        <w:pStyle w:val="ListBullet"/>
      </w:pPr>
      <w:r>
        <w:rPr>
          <w:b/>
        </w:rPr>
        <w:t>Plazos y advertencias:</w:t>
      </w:r>
      <w:r>
        <w:t xml:space="preserve"> en las multas de tráfico, veinte días naturales desde la notificación para presentar alegaciones y pruebas (art. 95.1). Pagar en ese plazo reduce la multa a la mitad, pero supone renunciar a las alegaciones (art. 94; </w:t>
      </w:r>
      <w:r>
        <w:t>10.5</w:t>
      </w:r>
      <w:r>
        <w:t xml:space="preserve">): hay que decidir antes. Contra la resolución sancionadora cabe recurso de reposición en el plazo de un mes (art. 96.2). En otras sanciones, el plazo de alegaciones es el que indique la notificación, y el recurso de reposición, de un mes (Ley 39/2015, art. 124.1). Salvo que se diga otra cosa, los días son hábiles: no cuentan sábados, domingos ni festivos (art. 30.2). </w:t>
      </w:r>
      <w:r>
        <w:t>[36.00-5.4]</w:t>
      </w:r>
    </w:p>
    <w:p>
      <w:r>
        <w:rPr>
          <w:b/>
        </w:rPr>
        <w:t>Modelo para rellenar:</w:t>
      </w:r>
    </w:p>
    <w:p>
      <w:pPr>
        <w:pBdr>
          <w:left w:val="single" w:sz="18" w:space="8" w:color="E2DED6"/>
        </w:pBdr>
        <w:ind w:left="567" w:right="340"/>
      </w:pPr>
      <w:r>
        <w:rPr>
          <w:i/>
          <w:color w:val="6B665E"/>
        </w:rPr>
        <w:t xml:space="preserve">A </w:t>
      </w:r>
      <w:r>
        <w:rPr>
          <w:i/>
          <w:color w:val="6B665E"/>
        </w:rPr>
        <w:t>[órgano que tramita el expediente]</w:t>
      </w:r>
    </w:p>
    <w:p>
      <w:pPr>
        <w:pBdr>
          <w:left w:val="single" w:sz="18" w:space="8" w:color="E2DED6"/>
        </w:pBdr>
        <w:ind w:left="567" w:right="340"/>
      </w:pPr>
      <w:r>
        <w:rPr>
          <w:i/>
          <w:color w:val="6B665E"/>
        </w:rPr>
        <w:t>Expediente número: [número]. Fecha de notificación: [fecha].</w:t>
      </w:r>
    </w:p>
    <w:p>
      <w:pPr>
        <w:pBdr>
          <w:left w:val="single" w:sz="18" w:space="8" w:color="E2DED6"/>
        </w:pBdr>
        <w:ind w:left="567" w:right="340"/>
      </w:pPr>
      <w:r>
        <w:rPr>
          <w:i/>
          <w:color w:val="6B665E"/>
        </w:rPr>
        <w:t>[Nombre y apellidos], con DNI [número], y domicilio a efectos de notificaciones en [dirección], en relación con el expediente indicado, dentro del plazo legal,</w:t>
      </w:r>
    </w:p>
    <w:p>
      <w:pPr>
        <w:pBdr>
          <w:left w:val="single" w:sz="18" w:space="8" w:color="E2DED6"/>
        </w:pBdr>
        <w:ind w:left="567" w:right="340"/>
      </w:pPr>
      <w:r>
        <w:rPr>
          <w:b/>
          <w:i/>
          <w:color w:val="6B665E"/>
        </w:rPr>
        <w:t>EXPONGO</w:t>
      </w:r>
      <w:r>
        <w:rPr>
          <w:i/>
          <w:color w:val="6B665E"/>
        </w:rPr>
        <w:t xml:space="preserve"> las siguientes </w:t>
      </w:r>
      <w:r>
        <w:rPr>
          <w:b/>
          <w:i/>
          <w:color w:val="6B665E"/>
        </w:rPr>
        <w:t>ALEGACIONES</w:t>
      </w:r>
      <w:r>
        <w:rPr>
          <w:i/>
          <w:color w:val="6B665E"/>
        </w:rPr>
        <w:t>:</w:t>
      </w:r>
    </w:p>
    <w:p>
      <w:pPr>
        <w:spacing w:after="60"/>
        <w:ind w:left="510" w:hanging="397"/>
      </w:pPr>
      <w:r>
        <w:rPr>
          <w:b w:val="0"/>
        </w:rPr>
        <w:t xml:space="preserve">1. </w:t>
      </w:r>
      <w:r>
        <w:t>[Hechos: qué ocurrió realmente.]</w:t>
      </w:r>
    </w:p>
    <w:p>
      <w:pPr>
        <w:spacing w:after="60"/>
        <w:ind w:left="510" w:hanging="397"/>
      </w:pPr>
      <w:r>
        <w:rPr>
          <w:b w:val="0"/>
        </w:rPr>
        <w:t xml:space="preserve">2. </w:t>
      </w:r>
      <w:r>
        <w:t>[Motivos: por ejemplo, falta de prueba de la infracción, error en la identificación del vehículo o de la persona, defecto en la notificación o prescripción.]</w:t>
      </w:r>
    </w:p>
    <w:p>
      <w:pPr>
        <w:pBdr>
          <w:left w:val="single" w:sz="18" w:space="8" w:color="E2DED6"/>
        </w:pBdr>
        <w:ind w:left="567" w:right="340"/>
      </w:pPr>
      <w:r>
        <w:rPr>
          <w:b/>
          <w:i/>
          <w:color w:val="6B665E"/>
        </w:rPr>
        <w:t>PROPONGO</w:t>
      </w:r>
      <w:r>
        <w:rPr>
          <w:i/>
          <w:color w:val="6B665E"/>
        </w:rPr>
        <w:t xml:space="preserve"> las siguientes </w:t>
      </w:r>
      <w:r>
        <w:rPr>
          <w:b/>
          <w:i/>
          <w:color w:val="6B665E"/>
        </w:rPr>
        <w:t>PRUEBAS</w:t>
      </w:r>
      <w:r>
        <w:rPr>
          <w:i/>
          <w:color w:val="6B665E"/>
        </w:rPr>
        <w:t>: [documentos, fotografías, testigos].</w:t>
      </w:r>
    </w:p>
    <w:p>
      <w:pPr>
        <w:pBdr>
          <w:left w:val="single" w:sz="18" w:space="8" w:color="E2DED6"/>
        </w:pBdr>
        <w:ind w:left="567" w:right="340"/>
      </w:pPr>
      <w:r>
        <w:rPr>
          <w:b/>
          <w:i/>
          <w:color w:val="6B665E"/>
        </w:rPr>
        <w:t>SOLICITO</w:t>
      </w:r>
      <w:r>
        <w:rPr>
          <w:i/>
          <w:color w:val="6B665E"/>
        </w:rPr>
        <w:t xml:space="preserve"> que se tengan por presentadas estas alegaciones, se practiquen las pruebas propuestas y se acuerde el archivo del expediente.</w:t>
      </w:r>
    </w:p>
    <w:p>
      <w:pPr>
        <w:pBdr>
          <w:left w:val="single" w:sz="18" w:space="8" w:color="E2DED6"/>
        </w:pBdr>
        <w:ind w:left="567" w:right="340"/>
      </w:pPr>
      <w:r>
        <w:rPr>
          <w:i/>
          <w:color w:val="6B665E"/>
        </w:rPr>
        <w:t xml:space="preserve">En [lugar], a [fecha]. Firma: </w:t>
      </w:r>
      <w:r>
        <w:rPr>
          <w:i/>
          <w:color w:val="6B665E"/>
        </w:rPr>
        <w:t>[firma]</w:t>
      </w:r>
    </w:p>
    <w:p>
      <w:r>
        <w:t>[36.00-5.5 a 5.15]</w:t>
      </w:r>
    </w:p>
    <w:p>
      <w:r>
        <w:rPr>
          <w:b/>
        </w:rPr>
        <w:t>La respuesta probable de la Administración:</w:t>
      </w:r>
      <w:r>
        <w:t xml:space="preserve"> que la denuncia del agente tiene valor probatorio</w:t>
      </w:r>
      <w:r>
        <w:t xml:space="preserve"> (Ley de Tráfico, art. 88; Ley 39/2015, art. 77.5)</w:t>
      </w:r>
      <w:r>
        <w:t xml:space="preserve"> y que las alegaciones no lo desvirtúan. </w:t>
      </w:r>
      <w:r>
        <w:t>[36.00-5.16]</w:t>
      </w:r>
    </w:p>
    <w:p>
      <w:r>
        <w:rPr>
          <w:i/>
        </w:rPr>
        <w:t>La respuesta de la obra:</w:t>
      </w:r>
    </w:p>
    <w:p>
      <w:pPr>
        <w:spacing w:after="60"/>
        <w:ind w:left="510" w:hanging="397"/>
      </w:pPr>
      <w:r>
        <w:rPr>
          <w:b w:val="0"/>
        </w:rPr>
        <w:t xml:space="preserve">1. </w:t>
      </w:r>
      <w:r>
        <w:t>Ese valor probatorio es «salvo prueba en contrario»</w:t>
      </w:r>
      <w:r>
        <w:t xml:space="preserve"> (Ley de Tráfico, art. 88)</w:t>
      </w:r>
      <w:r>
        <w:br/>
      </w:r>
      <w:r>
        <w:rPr>
          <w:b/>
        </w:rPr>
        <w:t>pasaje guardado</w:t>
      </w:r>
      <w:r>
        <w:br/>
      </w:r>
      <w:r>
        <w:rPr>
          <w:b/>
        </w:rPr>
        <w:t>Archivo leído:</w:t>
      </w:r>
      <w:r>
        <w:t xml:space="preserve"> 8.5_15a_Codigo_Penal_BOE-A-1995-25444.html (c8c\8.5_15a_Codigo_Penal_BOE-A-1995-25444.html) · contraste del archivo de pasajes: ✔</w:t>
      </w:r>
      <w:r>
        <w:br/>
      </w:r>
      <w:r>
        <w:rPr>
          <w:b/>
        </w:rPr>
        <w:t>Lugar:</w:t>
      </w:r>
      <w:r>
        <w:t xml:space="preserve"> Art. 127 quater.1 (#a127quater)</w:t>
      </w:r>
      <w:r>
        <w:br/>
      </w:r>
      <w:r>
        <w:rPr>
          <w:b/>
        </w:rPr>
        <w:t>Dirección:</w:t>
      </w:r>
      <w:r>
        <w:t xml:space="preserve"> </w:t>
      </w:r>
      <w:r>
        <w:t>https://www.boe.es/buscar/act.php?id=BOE-A-1995-25444</w:t>
      </w:r>
      <w:r>
        <w:br/>
      </w:r>
      <w:r>
        <w:rPr>
          <w:b/>
        </w:rPr>
        <w:t>Tal como está en la fuente:</w:t>
      </w:r>
      <w:r>
        <w:t xml:space="preserve"> 2. Se presumirá, salvo prueba en contrario, que el tercero ha conocido o ha tenido motivos para sospechar que se trataba de bienes procedentes de una actividad ilícita o que eran transferidos para evitar su decomiso, cuando los bienes o efectos le hubieran sido transferidos a título gratuito o por un precio inferior al real de mercado.</w:t>
      </w:r>
      <w:r>
        <w:t>, y en todo procedimiento sancionador el ciudadano tiene derecho a «la presunción de no existencia de responsabilidad administrativa mientras no se demuestre lo contrario»</w:t>
      </w:r>
      <w:r>
        <w:t xml:space="preserve"> (Ley 39/2015, art. 53.2.b)</w:t>
      </w:r>
      <w:r>
        <w:br/>
      </w:r>
      <w:r>
        <w:rPr>
          <w:b/>
        </w:rPr>
        <w:t>leída en su fuente · Ley 39/2015, art. 53.2.b</w:t>
      </w:r>
      <w:r>
        <w:br/>
      </w:r>
      <w:r>
        <w:rPr>
          <w:b/>
        </w:rPr>
        <w:t>Archivo leído:</w:t>
      </w:r>
      <w:r>
        <w:t xml:space="preserve"> ley39_2015_procedimiento.html; 19.00_STC_18-1981_HJ.html; 19.00_STC_42-1989_HJ.html (c5\ley39_2015_procedimiento.html) · contraste del archivo de pasajes: ✔</w:t>
      </w:r>
      <w:r>
        <w:br/>
      </w:r>
      <w:r>
        <w:rPr>
          <w:b/>
        </w:rPr>
        <w:t>Lugar:</w:t>
      </w:r>
      <w:r>
        <w:t xml:space="preserve"> Art. 53.2.b</w:t>
      </w:r>
      <w:r>
        <w:br/>
      </w:r>
      <w:r>
        <w:rPr>
          <w:b/>
        </w:rPr>
        <w:t>Dirección:</w:t>
      </w:r>
      <w:r>
        <w:t xml:space="preserve"> </w:t>
      </w:r>
      <w:r>
        <w:t>https://www.boe.es/buscar/act.php?id=BOE-A-2015-10565</w:t>
      </w:r>
      <w:r>
        <w:t xml:space="preserve"> ; </w:t>
      </w:r>
      <w:r>
        <w:t>https://hj.tribunalconstitucional.es/es/Resolucion/Show/18</w:t>
      </w:r>
      <w:r>
        <w:t xml:space="preserve"> ; </w:t>
      </w:r>
      <w:r>
        <w:t>…/Show/1248</w:t>
      </w:r>
      <w:r>
        <w:br/>
      </w:r>
      <w:r>
        <w:rPr>
          <w:b/>
        </w:rPr>
        <w:t>Tal como está en la fuente:</w:t>
      </w:r>
      <w:r>
        <w:t xml:space="preserve"> A la presunción de no existencia de responsabilidad administrativa mientras no se demuestre lo contrario.</w:t>
      </w:r>
      <w:r>
        <w:t>: la presunción, aquí, juega a su favor.</w:t>
      </w:r>
    </w:p>
    <w:p>
      <w:pPr>
        <w:spacing w:after="60"/>
        <w:ind w:left="510" w:hanging="397"/>
      </w:pPr>
      <w:r>
        <w:rPr>
          <w:b w:val="0"/>
        </w:rPr>
        <w:t xml:space="preserve">2. </w:t>
      </w:r>
      <w:r>
        <w:t>Tiene derecho a que se le notifiquen los hechos, la infracción, la identidad del instructor y la norma que atribuye la competencia</w:t>
      </w:r>
      <w:r>
        <w:t xml:space="preserve"> (ídem, art. 53.2.a)</w:t>
      </w:r>
      <w:r>
        <w:t>, y a copia del expediente, con las pruebas en que se basa</w:t>
      </w:r>
      <w:r>
        <w:t xml:space="preserve"> (ídem, art. 53.1.a)</w:t>
      </w:r>
      <w:r>
        <w:t>. Si no contestan a esto, D.8.</w:t>
      </w:r>
    </w:p>
    <w:p>
      <w:pPr>
        <w:spacing w:after="60"/>
        <w:ind w:left="510" w:hanging="397"/>
      </w:pPr>
      <w:r>
        <w:rPr>
          <w:b w:val="0"/>
        </w:rPr>
        <w:t xml:space="preserve">3. </w:t>
      </w:r>
      <w:r>
        <w:t>La multa también es un ingreso presupuestado: en Madrid, lo reconocido por multas de circulación superó lo previsto un 4,1 % en 2024 y un 7,1 % en 2023 (</w:t>
      </w:r>
      <w:r>
        <w:t>9.1</w:t>
      </w:r>
      <w:r>
        <w:t>). Las tradiciones separaron el castigo del negocio (</w:t>
      </w:r>
      <w:r>
        <w:t>3.2</w:t>
      </w:r>
      <w:r>
        <w:t>, P8).</w:t>
      </w:r>
    </w:p>
    <w:p>
      <w:r>
        <w:t>[36.00-6.1 a 6.3]</w:t>
      </w:r>
    </w:p>
    <w:p>
      <w:pPr>
        <w:pStyle w:val="Heading2"/>
      </w:pPr>
      <w:r>
        <w:t>D.4 El recurso contra una liquidación, una providencia de apremio o un embargo de Hacienda</w:t>
      </w:r>
    </w:p>
    <w:p>
      <w:pPr>
        <w:pBdr>
          <w:left w:val="single" w:sz="24" w:space="6" w:color="E2DED6"/>
        </w:pBdr>
        <w:shd w:val="clear" w:color="auto" w:fill="F1EEE8"/>
        <w:spacing w:before="80" w:after="160"/>
        <w:ind w:left="142" w:right="142"/>
      </w:pPr>
      <w:r>
        <w:rPr>
          <w:b/>
        </w:rPr>
        <w:t>La idea: contra lo que cobra Hacienda, recurso en un mes y por los motivos que la ley admite; pedir siempre la prueba de la notificación.</w:t>
      </w:r>
    </w:p>
    <w:p>
      <w:pPr>
        <w:pStyle w:val="ListBullet"/>
      </w:pPr>
      <w:r>
        <w:rPr>
          <w:b/>
        </w:rPr>
        <w:t>Dónde vale:</w:t>
      </w:r>
      <w:r>
        <w:t xml:space="preserve"> en la jurisdicción del Estado. </w:t>
      </w:r>
      <w:r>
        <w:t>[36.00-7.1]</w:t>
      </w:r>
    </w:p>
    <w:p>
      <w:pPr>
        <w:pStyle w:val="ListBullet"/>
      </w:pPr>
      <w:r>
        <w:rPr>
          <w:b/>
        </w:rPr>
        <w:t>Cuándo usarlo:</w:t>
      </w:r>
      <w:r>
        <w:t xml:space="preserve"> cuando Hacienda reclama una deuda tributaria, la pasa a apremio o embarga bienes o cuentas. </w:t>
      </w:r>
      <w:r>
        <w:t>[36.00-7.2]</w:t>
      </w:r>
    </w:p>
    <w:p>
      <w:pPr>
        <w:pStyle w:val="ListBullet"/>
      </w:pPr>
      <w:r>
        <w:rPr>
          <w:b/>
        </w:rPr>
        <w:t>Base legal:</w:t>
      </w:r>
      <w:r>
        <w:t xml:space="preserve"> Ley 58/2003, General Tributaria, arts. 167.3, 170.3, 223, 224 y 235. </w:t>
      </w:r>
      <w:r>
        <w:t>[36.00-7.3]</w:t>
      </w:r>
    </w:p>
    <w:p>
      <w:pPr>
        <w:pStyle w:val="ListBullet"/>
      </w:pPr>
      <w:r>
        <w:rPr>
          <w:b/>
        </w:rPr>
        <w:t>Plazos y advertencias:</w:t>
      </w:r>
      <w:r>
        <w:t xml:space="preserve"> recurso de reposición en el plazo de un mes desde la notificación (art. 223.1), o reclamación económico-administrativa, también en un mes (art. 235.1). Contra la providencia de apremio solo se admiten estos motivos: deuda extinguida o prescrita; aplazamiento, fraccionamiento o compensación pedidos en periodo voluntario u otras causas de suspensión; falta de notificación de la liquidación; anulación de la liquidación; o error en la providencia que impida identificar al deudor o la deuda (art. 167.3). Contra la diligencia de embargo, solo: deuda extinguida o prescrita; falta de notificación de la providencia de apremio; incumplimiento de las normas del embargo; o suspensión del procedimiento (art. 170.3). Recurrir no detiene el cobro, salvo que se pida la suspensión aportando garantía (art. 224). </w:t>
      </w:r>
      <w:r>
        <w:t>[36.00-7.4]</w:t>
      </w:r>
    </w:p>
    <w:p>
      <w:r>
        <w:rPr>
          <w:b/>
        </w:rPr>
        <w:t>Modelo para rellenar:</w:t>
      </w:r>
    </w:p>
    <w:p>
      <w:pPr>
        <w:pBdr>
          <w:left w:val="single" w:sz="18" w:space="8" w:color="E2DED6"/>
        </w:pBdr>
        <w:ind w:left="567" w:right="340"/>
      </w:pPr>
      <w:r>
        <w:rPr>
          <w:i/>
          <w:color w:val="6B665E"/>
        </w:rPr>
        <w:t xml:space="preserve">A </w:t>
      </w:r>
      <w:r>
        <w:rPr>
          <w:i/>
          <w:color w:val="6B665E"/>
        </w:rPr>
        <w:t>[órgano de la Agencia Tributaria que dictó el acto]</w:t>
      </w:r>
    </w:p>
    <w:p>
      <w:pPr>
        <w:pBdr>
          <w:left w:val="single" w:sz="18" w:space="8" w:color="E2DED6"/>
        </w:pBdr>
        <w:ind w:left="567" w:right="340"/>
      </w:pPr>
      <w:r>
        <w:rPr>
          <w:i/>
          <w:color w:val="6B665E"/>
        </w:rPr>
        <w:t>Acto recurrido: [liquidación / providencia de apremio / diligencia de embargo], número [referencia], notificado el [fecha].</w:t>
      </w:r>
    </w:p>
    <w:p>
      <w:pPr>
        <w:pBdr>
          <w:left w:val="single" w:sz="18" w:space="8" w:color="E2DED6"/>
        </w:pBdr>
        <w:ind w:left="567" w:right="340"/>
      </w:pPr>
      <w:r>
        <w:rPr>
          <w:i/>
          <w:color w:val="6B665E"/>
        </w:rPr>
        <w:t>[Nombre y apellidos], con NIF [número], y domicilio a efectos de notificaciones en [dirección], dentro del plazo de un mes,</w:t>
      </w:r>
    </w:p>
    <w:p>
      <w:pPr>
        <w:pBdr>
          <w:left w:val="single" w:sz="18" w:space="8" w:color="E2DED6"/>
        </w:pBdr>
        <w:ind w:left="567" w:right="340"/>
      </w:pPr>
      <w:r>
        <w:rPr>
          <w:b/>
          <w:i/>
          <w:color w:val="6B665E"/>
        </w:rPr>
        <w:t>INTERPONGO RECURSO DE REPOSICIÓN</w:t>
      </w:r>
      <w:r>
        <w:rPr>
          <w:i/>
          <w:color w:val="6B665E"/>
        </w:rPr>
        <w:t xml:space="preserve"> contra el acto indicado, por los siguientes </w:t>
      </w:r>
      <w:r>
        <w:rPr>
          <w:b/>
          <w:i/>
          <w:color w:val="6B665E"/>
        </w:rPr>
        <w:t>MOTIVOS</w:t>
      </w:r>
      <w:r>
        <w:rPr>
          <w:i/>
          <w:color w:val="6B665E"/>
        </w:rPr>
        <w:t>:</w:t>
      </w:r>
    </w:p>
    <w:p>
      <w:pPr>
        <w:spacing w:after="60"/>
        <w:ind w:left="510" w:hanging="397"/>
      </w:pPr>
      <w:r>
        <w:rPr>
          <w:b w:val="0"/>
        </w:rPr>
        <w:t xml:space="preserve">1. </w:t>
      </w:r>
      <w:r>
        <w:t>[Elegir el motivo admitido por la ley para este acto (arts. 167.3 o 170.3) y explicarlo.]</w:t>
      </w:r>
    </w:p>
    <w:p>
      <w:pPr>
        <w:spacing w:after="60"/>
        <w:ind w:left="510" w:hanging="397"/>
      </w:pPr>
      <w:r>
        <w:rPr>
          <w:b w:val="0"/>
        </w:rPr>
        <w:t xml:space="preserve">2. </w:t>
      </w:r>
      <w:r>
        <w:t>[Documentos que lo acreditan.]</w:t>
      </w:r>
    </w:p>
    <w:p>
      <w:pPr>
        <w:pBdr>
          <w:left w:val="single" w:sz="18" w:space="8" w:color="E2DED6"/>
        </w:pBdr>
        <w:ind w:left="567" w:right="340"/>
      </w:pPr>
      <w:r>
        <w:rPr>
          <w:b/>
          <w:i/>
          <w:color w:val="6B665E"/>
        </w:rPr>
        <w:t>SOLICITO</w:t>
      </w:r>
      <w:r>
        <w:rPr>
          <w:i/>
          <w:color w:val="6B665E"/>
        </w:rPr>
        <w:t xml:space="preserve"> que se anule el acto recurrido [y, en su caso: que se suspenda su ejecución, para lo que aporto la garantía que se acompaña].</w:t>
      </w:r>
    </w:p>
    <w:p>
      <w:pPr>
        <w:pBdr>
          <w:left w:val="single" w:sz="18" w:space="8" w:color="E2DED6"/>
        </w:pBdr>
        <w:ind w:left="567" w:right="340"/>
      </w:pPr>
      <w:r>
        <w:rPr>
          <w:i/>
          <w:color w:val="6B665E"/>
        </w:rPr>
        <w:t xml:space="preserve">En [lugar], a [fecha]. Firma: </w:t>
      </w:r>
      <w:r>
        <w:rPr>
          <w:i/>
          <w:color w:val="6B665E"/>
        </w:rPr>
        <w:t>[firma]</w:t>
      </w:r>
    </w:p>
    <w:p>
      <w:r>
        <w:t>[36.00-7.5 a 7.14]</w:t>
      </w:r>
    </w:p>
    <w:p>
      <w:r>
        <w:rPr>
          <w:b/>
        </w:rPr>
        <w:t>La respuesta probable de la Administración:</w:t>
      </w:r>
      <w:r>
        <w:t xml:space="preserve"> que el motivo alegado no está entre los admitidos por la ley</w:t>
      </w:r>
      <w:r>
        <w:t xml:space="preserve"> (Ley General Tributaria, arts. 167.3 y 170.3)</w:t>
      </w:r>
      <w:r>
        <w:t xml:space="preserve">, que el recurso no suspende el cobro y que el embargo sigue adelante. </w:t>
      </w:r>
      <w:r>
        <w:t>[36.00-7.15]</w:t>
      </w:r>
    </w:p>
    <w:p>
      <w:r>
        <w:rPr>
          <w:i/>
        </w:rPr>
        <w:t>La respuesta de la obra:</w:t>
      </w:r>
    </w:p>
    <w:p>
      <w:pPr>
        <w:spacing w:after="60"/>
        <w:ind w:left="510" w:hanging="397"/>
      </w:pPr>
      <w:r>
        <w:rPr>
          <w:b w:val="0"/>
        </w:rPr>
        <w:t xml:space="preserve">1. </w:t>
      </w:r>
      <w:r>
        <w:t>Si el acto recurrido es una sanción tributaria, su ejecución queda suspendida automáticamente sin aportar garantía</w:t>
      </w:r>
      <w:r>
        <w:t xml:space="preserve"> (ídem, art. 224.1)</w:t>
      </w:r>
      <w:r>
        <w:t>; en lo demás, la suspensión es automática si se garantiza la deuda.</w:t>
      </w:r>
    </w:p>
    <w:p>
      <w:pPr>
        <w:spacing w:after="60"/>
        <w:ind w:left="510" w:hanging="397"/>
      </w:pPr>
      <w:r>
        <w:rPr>
          <w:b w:val="0"/>
        </w:rPr>
        <w:t xml:space="preserve">2. </w:t>
      </w:r>
      <w:r>
        <w:t>La falta de notificación de la liquidación o de la providencia de apremio es motivo admitido</w:t>
      </w:r>
      <w:r>
        <w:t xml:space="preserve"> (ídem, arts. 167.3.c y 170.3.b)</w:t>
      </w:r>
      <w:r>
        <w:t>: pedir siempre la prueba de la notificación.</w:t>
      </w:r>
    </w:p>
    <w:p>
      <w:pPr>
        <w:spacing w:after="60"/>
        <w:ind w:left="510" w:hanging="397"/>
      </w:pPr>
      <w:r>
        <w:rPr>
          <w:b w:val="0"/>
        </w:rPr>
        <w:t xml:space="preserve">3. </w:t>
      </w:r>
      <w:r>
        <w:t>El espejo: si Hacienda devuelve tarde, debe intereses sin que se le pidan</w:t>
      </w:r>
      <w:r>
        <w:t xml:space="preserve"> (ídem, art. 31.2)</w:t>
      </w:r>
      <w:r>
        <w:t xml:space="preserve"> (</w:t>
      </w:r>
      <w:r>
        <w:t>D.11</w:t>
      </w:r>
      <w:r>
        <w:t>), y el recargo se aplica solo al ciudadano, sin que la obra haya hallado una justificación oficial de por qué existe en una sola dirección (</w:t>
      </w:r>
      <w:r>
        <w:t>7.6</w:t>
      </w:r>
      <w:r>
        <w:t xml:space="preserve">; </w:t>
      </w:r>
      <w:r>
        <w:t>cargo 13</w:t>
      </w:r>
      <w:r>
        <w:t>).</w:t>
      </w:r>
    </w:p>
    <w:p>
      <w:r>
        <w:t>[36.00-8.1 a 8.3]</w:t>
      </w:r>
    </w:p>
    <w:p>
      <w:pPr>
        <w:pStyle w:val="Heading2"/>
      </w:pPr>
      <w:r>
        <w:t>D.5 La reclamación por inactividad de la Administración</w:t>
      </w:r>
    </w:p>
    <w:p>
      <w:pPr>
        <w:pBdr>
          <w:left w:val="single" w:sz="24" w:space="6" w:color="E2DED6"/>
        </w:pBdr>
        <w:shd w:val="clear" w:color="auto" w:fill="F1EEE8"/>
        <w:spacing w:before="80" w:after="160"/>
        <w:ind w:left="142" w:right="142"/>
      </w:pPr>
      <w:r>
        <w:rPr>
          <w:b/>
        </w:rPr>
        <w:t>La idea: cuando la Administración debe algo concreto y no lo da, se le reclama; a los tres meses queda abierto el recurso.</w:t>
      </w:r>
    </w:p>
    <w:p>
      <w:pPr>
        <w:pStyle w:val="ListBullet"/>
      </w:pPr>
      <w:r>
        <w:rPr>
          <w:b/>
        </w:rPr>
        <w:t>Dónde vale:</w:t>
      </w:r>
      <w:r>
        <w:t xml:space="preserve"> en la jurisdicción del Estado. </w:t>
      </w:r>
      <w:r>
        <w:t>[36.00-9.1]</w:t>
      </w:r>
    </w:p>
    <w:p>
      <w:pPr>
        <w:pStyle w:val="ListBullet"/>
      </w:pPr>
      <w:r>
        <w:rPr>
          <w:b/>
        </w:rPr>
        <w:t>Cuándo usarlo:</w:t>
      </w:r>
      <w:r>
        <w:t xml:space="preserve"> cuando la Administración está obligada a dar algo concreto a una persona, por una norma, un acto o un contrato, y no lo da. </w:t>
      </w:r>
      <w:r>
        <w:t>[36.00-9.2]</w:t>
      </w:r>
    </w:p>
    <w:p>
      <w:pPr>
        <w:pStyle w:val="ListBullet"/>
      </w:pPr>
      <w:r>
        <w:rPr>
          <w:b/>
        </w:rPr>
        <w:t>Base legal:</w:t>
      </w:r>
      <w:r>
        <w:t xml:space="preserve"> Ley 29/1998, de la Jurisdicción Contencioso-administrativa, art. 29.1; Ley 39/2015, art. 21 (obligación de resolver). </w:t>
      </w:r>
      <w:r>
        <w:t>[36.00-9.3]</w:t>
      </w:r>
    </w:p>
    <w:p>
      <w:pPr>
        <w:pStyle w:val="ListBullet"/>
      </w:pPr>
      <w:r>
        <w:rPr>
          <w:b/>
        </w:rPr>
        <w:t>Plazos y advertencias:</w:t>
      </w:r>
      <w:r>
        <w:t xml:space="preserve"> se reclama primero a la propia Administración. Si en tres meses no cumple ni llega a un acuerdo, queda abierto el recurso contencioso-administrativo contra su inactividad (art. 29.1). Para ese recurso suele ser necesario abogado. </w:t>
      </w:r>
      <w:r>
        <w:t>[36.00-9.4]</w:t>
      </w:r>
    </w:p>
    <w:p>
      <w:r>
        <w:rPr>
          <w:b/>
        </w:rPr>
        <w:t>Modelo para rellenar:</w:t>
      </w:r>
    </w:p>
    <w:p>
      <w:pPr>
        <w:pBdr>
          <w:left w:val="single" w:sz="18" w:space="8" w:color="E2DED6"/>
        </w:pBdr>
        <w:ind w:left="567" w:right="340"/>
      </w:pPr>
      <w:r>
        <w:rPr>
          <w:i/>
          <w:color w:val="6B665E"/>
        </w:rPr>
        <w:t xml:space="preserve">A </w:t>
      </w:r>
      <w:r>
        <w:rPr>
          <w:i/>
          <w:color w:val="6B665E"/>
        </w:rPr>
        <w:t>[órgano obligado]</w:t>
      </w:r>
    </w:p>
    <w:p>
      <w:pPr>
        <w:pBdr>
          <w:left w:val="single" w:sz="18" w:space="8" w:color="E2DED6"/>
        </w:pBdr>
        <w:ind w:left="567" w:right="340"/>
      </w:pPr>
      <w:r>
        <w:rPr>
          <w:i/>
          <w:color w:val="6B665E"/>
        </w:rPr>
        <w:t>[Nombre y apellidos], con DNI [número], y domicilio a efectos de notificaciones en [dirección], al amparo del artículo 29.1 de la Ley 29/1998,</w:t>
      </w:r>
    </w:p>
    <w:p>
      <w:pPr>
        <w:pBdr>
          <w:left w:val="single" w:sz="18" w:space="8" w:color="E2DED6"/>
        </w:pBdr>
        <w:ind w:left="567" w:right="340"/>
      </w:pPr>
      <w:r>
        <w:rPr>
          <w:b/>
          <w:i/>
          <w:color w:val="6B665E"/>
        </w:rPr>
        <w:t>RECLAMO</w:t>
      </w:r>
      <w:r>
        <w:rPr>
          <w:i/>
          <w:color w:val="6B665E"/>
        </w:rPr>
        <w:t xml:space="preserve"> el cumplimiento de la siguiente obligación: [prestación concreta que se debe], que nace de [norma, acto, contrato o convenio, con su referencia].</w:t>
      </w:r>
    </w:p>
    <w:p>
      <w:pPr>
        <w:pBdr>
          <w:left w:val="single" w:sz="18" w:space="8" w:color="E2DED6"/>
        </w:pBdr>
        <w:ind w:left="567" w:right="340"/>
      </w:pPr>
      <w:r>
        <w:rPr>
          <w:i/>
          <w:color w:val="6B665E"/>
        </w:rPr>
        <w:t>Hago constar que, si en el plazo de tres meses no se cumple lo reclamado, quedará abierta la vía del recurso contencioso-administrativo contra la inactividad de la Administración.</w:t>
      </w:r>
    </w:p>
    <w:p>
      <w:pPr>
        <w:pBdr>
          <w:left w:val="single" w:sz="18" w:space="8" w:color="E2DED6"/>
        </w:pBdr>
        <w:ind w:left="567" w:right="340"/>
      </w:pPr>
      <w:r>
        <w:rPr>
          <w:i/>
          <w:color w:val="6B665E"/>
        </w:rPr>
        <w:t xml:space="preserve">En [lugar], a [fecha]. Firma: </w:t>
      </w:r>
      <w:r>
        <w:rPr>
          <w:i/>
          <w:color w:val="6B665E"/>
        </w:rPr>
        <w:t>[firma]</w:t>
      </w:r>
    </w:p>
    <w:p>
      <w:r>
        <w:t>[36.00-9.5 a 9.11]</w:t>
      </w:r>
    </w:p>
    <w:p>
      <w:r>
        <w:rPr>
          <w:b/>
        </w:rPr>
        <w:t>La respuesta probable de la Administración:</w:t>
      </w:r>
      <w:r>
        <w:t xml:space="preserve"> silencio, o que no existe una «prestación concreta» a la que la Administración esté obligada. </w:t>
      </w:r>
      <w:r>
        <w:t>[36.00-9.12]</w:t>
      </w:r>
    </w:p>
    <w:p>
      <w:r>
        <w:rPr>
          <w:i/>
        </w:rPr>
        <w:t>La respuesta de la obra:</w:t>
      </w:r>
    </w:p>
    <w:p>
      <w:pPr>
        <w:spacing w:after="60"/>
        <w:ind w:left="510" w:hanging="397"/>
      </w:pPr>
      <w:r>
        <w:rPr>
          <w:b w:val="0"/>
        </w:rPr>
        <w:t xml:space="preserve">1. </w:t>
      </w:r>
      <w:r>
        <w:t>El art. 29.1 exige una prestación concreta a favor de personas determinadas, nacida de una norma, un acto, un contrato o un convenio: el escrito tiene que citar de dónde nace y qué se debe exactamente.</w:t>
      </w:r>
    </w:p>
    <w:p>
      <w:pPr>
        <w:spacing w:after="60"/>
        <w:ind w:left="510" w:hanging="397"/>
      </w:pPr>
      <w:r>
        <w:rPr>
          <w:b w:val="0"/>
        </w:rPr>
        <w:t xml:space="preserve">2. </w:t>
      </w:r>
      <w:r>
        <w:t>La Administración está obligada a resolver de forma expresa</w:t>
      </w:r>
      <w:r>
        <w:t xml:space="preserve"> (Ley 39/2015, art. 21.1)</w:t>
      </w:r>
      <w:r>
        <w:t>, y quien despacha el asunto es directamente responsable de hacerlo en plazo</w:t>
      </w:r>
      <w:r>
        <w:t xml:space="preserve"> (ídem, art. 21.6)</w:t>
      </w:r>
      <w:r>
        <w:t>.</w:t>
      </w:r>
    </w:p>
    <w:p>
      <w:pPr>
        <w:spacing w:after="60"/>
        <w:ind w:left="510" w:hanging="397"/>
      </w:pPr>
      <w:r>
        <w:rPr>
          <w:b w:val="0"/>
        </w:rPr>
        <w:t xml:space="preserve">3. </w:t>
      </w:r>
      <w:r>
        <w:t>Pasados tres meses, queda el recurso contencioso contra la inactividad</w:t>
      </w:r>
      <w:r>
        <w:t xml:space="preserve"> (Ley 29/1998, art. 29.1)</w:t>
      </w:r>
      <w:r>
        <w:t>, y el silencio se archiva en el Registro (</w:t>
      </w:r>
      <w:r>
        <w:t>10.8</w:t>
      </w:r>
      <w:r>
        <w:t>).</w:t>
      </w:r>
    </w:p>
    <w:p>
      <w:r>
        <w:t>[36.00-10.1 a 10.3]</w:t>
      </w:r>
    </w:p>
    <w:p>
      <w:pPr>
        <w:pStyle w:val="Heading2"/>
      </w:pPr>
      <w:r>
        <w:t>D.6 La queja al Defensor del Pueblo</w:t>
      </w:r>
    </w:p>
    <w:p>
      <w:pPr>
        <w:pBdr>
          <w:left w:val="single" w:sz="24" w:space="6" w:color="E2DED6"/>
        </w:pBdr>
        <w:shd w:val="clear" w:color="auto" w:fill="F1EEE8"/>
        <w:spacing w:before="80" w:after="160"/>
        <w:ind w:left="142" w:right="142"/>
      </w:pPr>
      <w:r>
        <w:rPr>
          <w:b/>
        </w:rPr>
        <w:t>La idea: una institución independiente investiga la actuación de la Administración; es gratis y no hace falta abogado.</w:t>
      </w:r>
    </w:p>
    <w:p>
      <w:pPr>
        <w:pStyle w:val="ListBullet"/>
      </w:pPr>
      <w:r>
        <w:rPr>
          <w:b/>
        </w:rPr>
        <w:t>Dónde vale:</w:t>
      </w:r>
      <w:r>
        <w:t xml:space="preserve"> en la jurisdicción del Estado. </w:t>
      </w:r>
      <w:r>
        <w:t>[36.00-11.1]</w:t>
      </w:r>
    </w:p>
    <w:p>
      <w:pPr>
        <w:pStyle w:val="ListBullet"/>
      </w:pPr>
      <w:r>
        <w:rPr>
          <w:b/>
        </w:rPr>
        <w:t>Cuándo usarlo:</w:t>
      </w:r>
      <w:r>
        <w:t xml:space="preserve"> cuando una administración ha actuado mal o no ha respondido, y se quiere que una institución independiente lo investigue. </w:t>
      </w:r>
      <w:r>
        <w:t>[36.00-11.2]</w:t>
      </w:r>
    </w:p>
    <w:p>
      <w:pPr>
        <w:pStyle w:val="ListBullet"/>
      </w:pPr>
      <w:r>
        <w:rPr>
          <w:b/>
        </w:rPr>
        <w:t>Base legal:</w:t>
      </w:r>
      <w:r>
        <w:t xml:space="preserve"> Ley Orgánica 3/1981, del Defensor del Pueblo, art. 15. </w:t>
      </w:r>
      <w:r>
        <w:t>[36.00-11.3]</w:t>
      </w:r>
    </w:p>
    <w:p>
      <w:pPr>
        <w:pStyle w:val="ListBullet"/>
      </w:pPr>
      <w:r>
        <w:rPr>
          <w:b/>
        </w:rPr>
        <w:t>Plazos y advertencias:</w:t>
      </w:r>
      <w:r>
        <w:t xml:space="preserve"> la queja se presenta firmada, con nombre, apellidos y domicilio, en escrito razonado y en el plazo máximo de un año desde que se conocieron los hechos (art. 15.1). Es gratuita y no hace falta abogado ni procurador; siempre se acusa recibo (art. 15.2). </w:t>
      </w:r>
      <w:r>
        <w:t>[36.00-11.4]</w:t>
      </w:r>
    </w:p>
    <w:p>
      <w:r>
        <w:rPr>
          <w:b/>
        </w:rPr>
        <w:t>Modelo para rellenar:</w:t>
      </w:r>
    </w:p>
    <w:p>
      <w:pPr>
        <w:pBdr>
          <w:left w:val="single" w:sz="18" w:space="8" w:color="E2DED6"/>
        </w:pBdr>
        <w:ind w:left="567" w:right="340"/>
      </w:pPr>
      <w:r>
        <w:rPr>
          <w:i/>
          <w:color w:val="6B665E"/>
        </w:rPr>
        <w:t>Al Defensor del Pueblo</w:t>
      </w:r>
    </w:p>
    <w:p>
      <w:pPr>
        <w:pBdr>
          <w:left w:val="single" w:sz="18" w:space="8" w:color="E2DED6"/>
        </w:pBdr>
        <w:ind w:left="567" w:right="340"/>
      </w:pPr>
      <w:r>
        <w:rPr>
          <w:i/>
          <w:color w:val="6B665E"/>
        </w:rPr>
        <w:t xml:space="preserve">[Nombre y apellidos], con DNI [número], y domicilio en [dirección], presento la siguiente </w:t>
      </w:r>
      <w:r>
        <w:rPr>
          <w:b/>
          <w:i/>
          <w:color w:val="6B665E"/>
        </w:rPr>
        <w:t>QUEJA</w:t>
      </w:r>
      <w:r>
        <w:rPr>
          <w:i/>
          <w:color w:val="6B665E"/>
        </w:rPr>
        <w:t>:</w:t>
      </w:r>
    </w:p>
    <w:p>
      <w:pPr>
        <w:spacing w:after="60"/>
        <w:ind w:left="510" w:hanging="397"/>
      </w:pPr>
      <w:r>
        <w:rPr>
          <w:b w:val="0"/>
        </w:rPr>
        <w:t xml:space="preserve">1. </w:t>
      </w:r>
      <w:r>
        <w:t>Administración afectada: [órgano].</w:t>
      </w:r>
    </w:p>
    <w:p>
      <w:pPr>
        <w:spacing w:after="60"/>
        <w:ind w:left="510" w:hanging="397"/>
      </w:pPr>
      <w:r>
        <w:rPr>
          <w:b w:val="0"/>
        </w:rPr>
        <w:t xml:space="preserve">2. </w:t>
      </w:r>
      <w:r>
        <w:t>Hechos: [qué ocurrió, con fechas; si se presentó un escrito, cuándo y qué se respondió, o que no hubo respuesta].</w:t>
      </w:r>
    </w:p>
    <w:p>
      <w:pPr>
        <w:spacing w:after="60"/>
        <w:ind w:left="510" w:hanging="397"/>
      </w:pPr>
      <w:r>
        <w:rPr>
          <w:b w:val="0"/>
        </w:rPr>
        <w:t xml:space="preserve">3. </w:t>
      </w:r>
      <w:r>
        <w:t>Por qué considero que la actuación es incorrecta: [razones y documentos].</w:t>
      </w:r>
    </w:p>
    <w:p>
      <w:pPr>
        <w:pBdr>
          <w:left w:val="single" w:sz="18" w:space="8" w:color="E2DED6"/>
        </w:pBdr>
        <w:ind w:left="567" w:right="340"/>
      </w:pPr>
      <w:r>
        <w:rPr>
          <w:i/>
          <w:color w:val="6B665E"/>
        </w:rPr>
        <w:t>Solicito que se investigue y se me informe del resultado.</w:t>
      </w:r>
    </w:p>
    <w:p>
      <w:pPr>
        <w:pBdr>
          <w:left w:val="single" w:sz="18" w:space="8" w:color="E2DED6"/>
        </w:pBdr>
        <w:ind w:left="567" w:right="340"/>
      </w:pPr>
      <w:r>
        <w:rPr>
          <w:i/>
          <w:color w:val="6B665E"/>
        </w:rPr>
        <w:t xml:space="preserve">En [lugar], a [fecha]. Firma: </w:t>
      </w:r>
      <w:r>
        <w:rPr>
          <w:i/>
          <w:color w:val="6B665E"/>
        </w:rPr>
        <w:t>[firma]</w:t>
      </w:r>
    </w:p>
    <w:p>
      <w:r>
        <w:t>[36.00-11.5 a 11.13]</w:t>
      </w:r>
    </w:p>
    <w:p>
      <w:r>
        <w:rPr>
          <w:b/>
        </w:rPr>
        <w:t>La respuesta probable de la Administración:</w:t>
      </w:r>
      <w:r>
        <w:t xml:space="preserve"> que no entra en el caso porque está pendiente de resolución judicial</w:t>
      </w:r>
      <w:r>
        <w:t xml:space="preserve"> (Ley Orgánica 3/1981, art. 17.2)</w:t>
      </w:r>
      <w:r>
        <w:t xml:space="preserve">, o que lo remite a la administración afectada. </w:t>
      </w:r>
      <w:r>
        <w:t>[36.00-11.14]</w:t>
      </w:r>
    </w:p>
    <w:p>
      <w:r>
        <w:rPr>
          <w:i/>
        </w:rPr>
        <w:t>La respuesta de la obra:</w:t>
      </w:r>
    </w:p>
    <w:p>
      <w:pPr>
        <w:spacing w:after="60"/>
        <w:ind w:left="510" w:hanging="397"/>
      </w:pPr>
      <w:r>
        <w:rPr>
          <w:b w:val="0"/>
        </w:rPr>
        <w:t xml:space="preserve">1. </w:t>
      </w:r>
      <w:r>
        <w:t>El rechazo tiene que hacerse por escrito motivado, y puede informar de las vías más oportunas</w:t>
      </w:r>
      <w:r>
        <w:t xml:space="preserve"> (ídem, art. 17.1)</w:t>
      </w:r>
      <w:r>
        <w:t>: pedir siempre esa motivación.</w:t>
      </w:r>
    </w:p>
    <w:p>
      <w:pPr>
        <w:spacing w:after="60"/>
        <w:ind w:left="510" w:hanging="397"/>
      </w:pPr>
      <w:r>
        <w:rPr>
          <w:b w:val="0"/>
        </w:rPr>
        <w:t xml:space="preserve">2. </w:t>
      </w:r>
      <w:r>
        <w:t>La queja es gratuita, no necesita abogado y siempre se acusa recibo</w:t>
      </w:r>
      <w:r>
        <w:t xml:space="preserve"> (ídem, art. 15.2)</w:t>
      </w:r>
      <w:r>
        <w:t>: no tiene coste presentarla.</w:t>
      </w:r>
    </w:p>
    <w:p>
      <w:pPr>
        <w:spacing w:after="60"/>
        <w:ind w:left="510" w:hanging="397"/>
      </w:pPr>
      <w:r>
        <w:rPr>
          <w:b w:val="0"/>
        </w:rPr>
        <w:t xml:space="preserve">3. </w:t>
      </w:r>
      <w:r>
        <w:t>Su recomendación, o su archivo, se guarda en el Registro (</w:t>
      </w:r>
      <w:r>
        <w:t>10.8</w:t>
      </w:r>
      <w:r>
        <w:t>): es la respuesta de la institución que debía defender al ciudadano frente a la Administración, y que no sanciona (</w:t>
      </w:r>
      <w:r>
        <w:t>7.3</w:t>
      </w:r>
      <w:r>
        <w:t>).</w:t>
      </w:r>
    </w:p>
    <w:p>
      <w:r>
        <w:t>[36.00-12.1 a 12.3]</w:t>
      </w:r>
    </w:p>
    <w:p>
      <w:pPr>
        <w:pStyle w:val="Heading2"/>
      </w:pPr>
      <w:r>
        <w:t>D.7 La constancia de no consentimiento</w:t>
      </w:r>
    </w:p>
    <w:p>
      <w:pPr>
        <w:pBdr>
          <w:left w:val="single" w:sz="24" w:space="6" w:color="E2DED6"/>
        </w:pBdr>
        <w:shd w:val="clear" w:color="auto" w:fill="F1EEE8"/>
        <w:spacing w:before="80" w:after="160"/>
        <w:ind w:left="142" w:right="142"/>
      </w:pPr>
      <w:r>
        <w:rPr>
          <w:b/>
        </w:rPr>
        <w:t>La idea: dejar escrito que el consentimiento que se presume nunca se ha dado; no produce efectos legales, y lo dice él mismo.</w:t>
      </w:r>
    </w:p>
    <w:p>
      <w:pPr>
        <w:pStyle w:val="ListBullet"/>
      </w:pPr>
      <w:r>
        <w:rPr>
          <w:b/>
        </w:rPr>
        <w:t>Dónde vale:</w:t>
      </w:r>
      <w:r>
        <w:t xml:space="preserve"> en la jurisdicción de la verdad (</w:t>
      </w:r>
      <w:r>
        <w:t>1</w:t>
      </w:r>
      <w:r>
        <w:t xml:space="preserve">). </w:t>
      </w:r>
      <w:r>
        <w:t>[36.00-13.1]</w:t>
      </w:r>
    </w:p>
    <w:p>
      <w:pPr>
        <w:pStyle w:val="ListBullet"/>
      </w:pPr>
      <w:r>
        <w:rPr>
          <w:b/>
        </w:rPr>
        <w:t>Cuándo usarlo:</w:t>
      </w:r>
      <w:r>
        <w:t xml:space="preserve"> para dejar escrito que el consentimiento que el sistema presume nunca se ha dado, y archivarlo en el Registro (</w:t>
      </w:r>
      <w:r>
        <w:t>10.8</w:t>
      </w:r>
      <w:r>
        <w:t xml:space="preserve">). </w:t>
      </w:r>
      <w:r>
        <w:t>[36.00-13.2]</w:t>
      </w:r>
    </w:p>
    <w:p>
      <w:pPr>
        <w:pStyle w:val="ListBullet"/>
      </w:pPr>
      <w:r>
        <w:rPr>
          <w:b/>
        </w:rPr>
        <w:t>Base legal:</w:t>
      </w:r>
      <w:r>
        <w:t xml:space="preserve"> Código Civil, art. 1261 (sin consentimiento no hay contrato); Constitución, art. 10 (la dignidad y los derechos inviolables que son inherentes a la persona); Declaración Universal de los Derechos Humanos. Su fundamento en esta obra: el contrato social (</w:t>
      </w:r>
      <w:r>
        <w:t>6.1</w:t>
      </w:r>
      <w:r>
        <w:t>), el consentimiento presunto (</w:t>
      </w:r>
      <w:r>
        <w:t>5.2</w:t>
      </w:r>
      <w:r>
        <w:t xml:space="preserve"> y </w:t>
      </w:r>
      <w:r>
        <w:t>5.4</w:t>
      </w:r>
      <w:r>
        <w:t xml:space="preserve">) y las preguntas de </w:t>
      </w:r>
      <w:r>
        <w:t>11.5</w:t>
      </w:r>
      <w:r>
        <w:t xml:space="preserve">. </w:t>
      </w:r>
      <w:r>
        <w:t>[36.00-13.3]</w:t>
      </w:r>
    </w:p>
    <w:p>
      <w:pPr>
        <w:pStyle w:val="ListBullet"/>
      </w:pPr>
      <w:r>
        <w:rPr>
          <w:b/>
        </w:rPr>
        <w:t>Plazos y advertencias:</w:t>
      </w:r>
      <w:r>
        <w:t xml:space="preserve"> no tiene plazo. Advertencia que forma parte del documento: no produce efectos legales ante la Administración ni ante los tribunales, y no exime de ninguna obligación vigente (Constitución, art. 9.1). Presentarlo como excusa para no pagar o no cumplir es el error de las afirmaciones sin documento que recoge el </w:t>
      </w:r>
      <w:r>
        <w:t>anexo E</w:t>
      </w:r>
      <w:r>
        <w:t>, con consecuencias reales (</w:t>
      </w:r>
      <w:r>
        <w:t>2.6</w:t>
      </w:r>
      <w:r>
        <w:t xml:space="preserve">). Su valor es documental y moral, en la jurisdicción de la verdad. </w:t>
      </w:r>
      <w:r>
        <w:t>[36.00-13.4]</w:t>
      </w:r>
    </w:p>
    <w:p>
      <w:r>
        <w:rPr>
          <w:b/>
        </w:rPr>
        <w:t>Modelo para rellenar:</w:t>
      </w:r>
    </w:p>
    <w:p>
      <w:pPr>
        <w:pBdr>
          <w:left w:val="single" w:sz="18" w:space="8" w:color="E2DED6"/>
        </w:pBdr>
        <w:ind w:left="567" w:right="340"/>
      </w:pPr>
      <w:r>
        <w:rPr>
          <w:b/>
          <w:i/>
          <w:color w:val="6B665E"/>
        </w:rPr>
        <w:t>CONSTANCIA DE NO CONSENTIMIENTO</w:t>
      </w:r>
    </w:p>
    <w:p>
      <w:pPr>
        <w:pBdr>
          <w:left w:val="single" w:sz="18" w:space="8" w:color="E2DED6"/>
        </w:pBdr>
        <w:ind w:left="567" w:right="340"/>
      </w:pPr>
      <w:r>
        <w:rPr>
          <w:i/>
          <w:color w:val="6B665E"/>
        </w:rPr>
        <w:t>Yo, [nombre y apellidos], dejo constancia por escrito de lo siguiente:</w:t>
      </w:r>
    </w:p>
    <w:p>
      <w:pPr>
        <w:spacing w:after="60"/>
        <w:ind w:left="510" w:hanging="397"/>
      </w:pPr>
      <w:r>
        <w:rPr>
          <w:b w:val="0"/>
        </w:rPr>
        <w:t xml:space="preserve">1. </w:t>
      </w:r>
      <w:r>
        <w:t>Nunca he firmado ni prestado consentimiento expreso a un contrato social. El consentimiento que se me presume no lo he dado, y sin consentimiento no hay contrato (Código Civil, art. 1261).</w:t>
      </w:r>
    </w:p>
    <w:p>
      <w:pPr>
        <w:spacing w:after="60"/>
        <w:ind w:left="510" w:hanging="397"/>
      </w:pPr>
      <w:r>
        <w:rPr>
          <w:b w:val="0"/>
        </w:rPr>
        <w:t xml:space="preserve">2. </w:t>
      </w:r>
      <w:r>
        <w:t>No he consentido un sistema monetario en el que el dinero pierde su valor sin que nadie lo vote, ni la pérdida de mis ahorros por esa vía.</w:t>
      </w:r>
    </w:p>
    <w:p>
      <w:pPr>
        <w:spacing w:after="60"/>
        <w:ind w:left="510" w:hanging="397"/>
      </w:pPr>
      <w:r>
        <w:rPr>
          <w:b w:val="0"/>
        </w:rPr>
        <w:t xml:space="preserve">3. </w:t>
      </w:r>
      <w:r>
        <w:t>Los derechos inherentes a la persona no nacen de ningún contrato: la Constitución los reconoce (art. 10.1) y los recoge la Declaración Universal de los Derechos Humanos.</w:t>
      </w:r>
    </w:p>
    <w:p>
      <w:pPr>
        <w:spacing w:after="60"/>
        <w:ind w:left="510" w:hanging="397"/>
      </w:pPr>
      <w:r>
        <w:rPr>
          <w:b w:val="0"/>
        </w:rPr>
        <w:t xml:space="preserve">4. </w:t>
      </w:r>
      <w:r>
        <w:t>Actúo de buena fe y estoy dispuesto a cumplir toda obligación legítima y a corregir cualquier error.</w:t>
      </w:r>
    </w:p>
    <w:p>
      <w:pPr>
        <w:pBdr>
          <w:left w:val="single" w:sz="18" w:space="8" w:color="E2DED6"/>
        </w:pBdr>
        <w:ind w:left="567" w:right="340"/>
      </w:pPr>
      <w:r>
        <w:rPr>
          <w:i/>
          <w:color w:val="6B665E"/>
        </w:rPr>
        <w:t>Esta constancia no produce efectos legales ante la Administración ni ante los tribunales, y no me exime de ninguna obligación vigente (Constitución, art. 9.1). Su valor es documental: queda archivada en el Registro como prueba de que el consentimiento presunto no existe.</w:t>
      </w:r>
    </w:p>
    <w:p>
      <w:pPr>
        <w:pBdr>
          <w:left w:val="single" w:sz="18" w:space="8" w:color="E2DED6"/>
        </w:pBdr>
        <w:ind w:left="567" w:right="340"/>
      </w:pPr>
      <w:r>
        <w:rPr>
          <w:i/>
          <w:color w:val="6B665E"/>
        </w:rPr>
        <w:t xml:space="preserve">En [lugar], a [fecha]. Firma: </w:t>
      </w:r>
      <w:r>
        <w:rPr>
          <w:i/>
          <w:color w:val="6B665E"/>
        </w:rPr>
        <w:t>[firma]</w:t>
      </w:r>
    </w:p>
    <w:p>
      <w:r>
        <w:t>[36.00-13.5 a 13.14; el punto 3, sin la fórmula «me reservo» (decisión de Kiko, 7-oct: 10.4 y 2.6); el punto 2, en 8.3 y 5.1, n.º 11]</w:t>
      </w:r>
    </w:p>
    <w:p>
      <w:r>
        <w:rPr>
          <w:b/>
        </w:rPr>
        <w:t>La respuesta probable de la Administración:</w:t>
      </w:r>
      <w:r>
        <w:t xml:space="preserve"> ninguna respuesta, o que el documento «carece de efectos jurídicos», o tratarlo como un escrito pseudolegal. </w:t>
      </w:r>
      <w:r>
        <w:t>[36.00-13.15]</w:t>
      </w:r>
    </w:p>
    <w:p>
      <w:r>
        <w:rPr>
          <w:i/>
        </w:rPr>
        <w:t>La respuesta de la obra:</w:t>
      </w:r>
    </w:p>
    <w:p>
      <w:pPr>
        <w:spacing w:after="60"/>
        <w:ind w:left="510" w:hanging="397"/>
      </w:pPr>
      <w:r>
        <w:rPr>
          <w:b w:val="0"/>
        </w:rPr>
        <w:t xml:space="preserve">1. </w:t>
      </w:r>
      <w:r>
        <w:t>El propio documento ya declara que no tiene efectos legales ni exime de obligaciones: no pretende lo que el sistema le atribuirá, y por eso no se le puede descalificar como una de esas afirmaciones sin documento (</w:t>
      </w:r>
      <w:r>
        <w:t>2.6</w:t>
      </w:r>
      <w:r>
        <w:t xml:space="preserve">; </w:t>
      </w:r>
      <w:r>
        <w:t>anexo E</w:t>
      </w:r>
      <w:r>
        <w:t>).</w:t>
      </w:r>
    </w:p>
    <w:p>
      <w:pPr>
        <w:spacing w:after="60"/>
        <w:ind w:left="510" w:hanging="397"/>
      </w:pPr>
      <w:r>
        <w:rPr>
          <w:b w:val="0"/>
        </w:rPr>
        <w:t xml:space="preserve">2. </w:t>
      </w:r>
      <w:r>
        <w:t>Su valor es documental: prueba que el consentimiento que se presume no se ha dado. Sin consentimiento no hay contrato (Código Civil, art. 1261), el contrato social nadie lo firmó (</w:t>
      </w:r>
      <w:r>
        <w:t>6.1</w:t>
      </w:r>
      <w:r>
        <w:t>), y quienes no votaron en 1978 nunca ratificaron la Constitución (</w:t>
      </w:r>
      <w:r>
        <w:t>5.2</w:t>
      </w:r>
      <w:r>
        <w:t xml:space="preserve">; </w:t>
      </w:r>
      <w:r>
        <w:t>cargo 3</w:t>
      </w:r>
      <w:r>
        <w:t>).</w:t>
      </w:r>
    </w:p>
    <w:p>
      <w:pPr>
        <w:spacing w:after="60"/>
        <w:ind w:left="510" w:hanging="397"/>
      </w:pPr>
      <w:r>
        <w:rPr>
          <w:b w:val="0"/>
        </w:rPr>
        <w:t xml:space="preserve">3. </w:t>
      </w:r>
      <w:r>
        <w:rPr>
          <w:b/>
        </w:rPr>
        <w:t>Lectura del autor (propuesta):</w:t>
      </w:r>
      <w:r>
        <w:t xml:space="preserve"> sumado a los de otros en el Registro (</w:t>
      </w:r>
      <w:r>
        <w:t>10.8</w:t>
      </w:r>
      <w:r>
        <w:t>), será la prueba viva de que la presunción no se sostiene.</w:t>
      </w:r>
    </w:p>
    <w:p>
      <w:r>
        <w:t>[36.00-14.1 a 14.3]</w:t>
      </w:r>
    </w:p>
    <w:p>
      <w:pPr>
        <w:pStyle w:val="Heading2"/>
      </w:pPr>
      <w:r>
        <w:t>D.8 La solicitud de acreditación de la competencia, de los hechos y de la motivación</w:t>
      </w:r>
    </w:p>
    <w:p>
      <w:pPr>
        <w:pBdr>
          <w:left w:val="single" w:sz="24" w:space="6" w:color="E2DED6"/>
        </w:pBdr>
        <w:shd w:val="clear" w:color="auto" w:fill="F1EEE8"/>
        <w:spacing w:before="80" w:after="160"/>
        <w:ind w:left="142" w:right="142"/>
      </w:pPr>
      <w:r>
        <w:rPr>
          <w:b/>
        </w:rPr>
        <w:t>La idea: dentro de un expediente abierto, antes de discutir el fondo, se pide con qué competencia, con qué hechos probados y con qué motivos se actúa, y quién responde de tramitarlo.</w:t>
      </w:r>
    </w:p>
    <w:p>
      <w:pPr>
        <w:pStyle w:val="ListBullet"/>
      </w:pPr>
      <w:r>
        <w:rPr>
          <w:b/>
        </w:rPr>
        <w:t>Dónde vale:</w:t>
      </w:r>
      <w:r>
        <w:t xml:space="preserve"> en la jurisdicción del Estado. </w:t>
      </w:r>
      <w:r>
        <w:t>[36.00-15.1]</w:t>
      </w:r>
    </w:p>
    <w:p>
      <w:pPr>
        <w:pStyle w:val="ListBullet"/>
      </w:pPr>
      <w:r>
        <w:rPr>
          <w:b/>
        </w:rPr>
        <w:t>Cuándo usarlo:</w:t>
      </w:r>
      <w:r>
        <w:t xml:space="preserve"> cuando llega cualquier requerimiento, liquidación, sanción o actuación que limite un derecho, con un expediente abierto: antes de discutir el fondo, se pide que la Administración acredite con qué competencia actúa, en qué hechos probados se basa y con qué motivos, y quién es responsable de tramitarlo. Es el escrito de </w:t>
      </w:r>
      <w:r>
        <w:t>10.4</w:t>
      </w:r>
      <w:r>
        <w:t xml:space="preserve"> dentro de un procedimiento (</w:t>
      </w:r>
      <w:r>
        <w:t>10.4</w:t>
      </w:r>
      <w:r>
        <w:t xml:space="preserve">, respuesta 1). </w:t>
      </w:r>
      <w:r>
        <w:t>[36.00-15.2]</w:t>
      </w:r>
    </w:p>
    <w:p>
      <w:pPr>
        <w:pStyle w:val="ListBullet"/>
      </w:pPr>
      <w:r>
        <w:rPr>
          <w:b/>
        </w:rPr>
        <w:t>Base legal:</w:t>
      </w:r>
      <w:r>
        <w:t xml:space="preserve"> Ley 39/2015, arts. 20.1 y 21.6 (responsabilidad directa de quien tramita y de quien resuelve), 34.1 (los actos se dictan por el órgano competente), 35.1 (motivación, con referencia de hechos y fundamentos de derecho, de los actos que limiten derechos), 47.1.b (nulidad de los actos de órgano manifiestamente incompetente) y 53.1.a y b (derecho a conocer el estado del procedimiento, a obtener copia del expediente y a identificar a las autoridades y al personal responsables); Ley 40/2015, art. 36.2. </w:t>
      </w:r>
      <w:r>
        <w:t>[36.00-15.3]</w:t>
      </w:r>
    </w:p>
    <w:p>
      <w:pPr>
        <w:pStyle w:val="ListBullet"/>
      </w:pPr>
      <w:r>
        <w:rPr>
          <w:b/>
        </w:rPr>
        <w:t>Plazos y advertencias:</w:t>
      </w:r>
      <w:r>
        <w:t xml:space="preserve"> esta solicitud </w:t>
      </w:r>
      <w:r>
        <w:rPr>
          <w:b/>
        </w:rPr>
        <w:t>no</w:t>
      </w:r>
      <w:r>
        <w:t xml:space="preserve"> suspende los plazos ni las obligaciones: si contra el acto cabe recurso o alegaciones, hay que presentarlos también dentro de su plazo (</w:t>
      </w:r>
      <w:r>
        <w:t>D.3</w:t>
      </w:r>
      <w:r>
        <w:t xml:space="preserve"> y </w:t>
      </w:r>
      <w:r>
        <w:t>D.4</w:t>
      </w:r>
      <w:r>
        <w:t xml:space="preserve">), y se puede adjuntar esta solicitud. La Administración está obligada a resolver de forma expresa (art. 21). El funcionario no responde personalmente ante el ciudadano por los daños: el ciudadano los reclama a la Administración, y esta exige después a su personal la responsabilidad por dolo o culpa grave (Ley 40/2015, art. 36). La responsabilidad directa de quien tramita es disciplinaria (art. 21.6). </w:t>
      </w:r>
      <w:r>
        <w:t>[36.00-15.4]</w:t>
      </w:r>
    </w:p>
    <w:p>
      <w:r>
        <w:rPr>
          <w:b/>
        </w:rPr>
        <w:t>Modelo para rellenar:</w:t>
      </w:r>
    </w:p>
    <w:p>
      <w:pPr>
        <w:pBdr>
          <w:left w:val="single" w:sz="18" w:space="8" w:color="E2DED6"/>
        </w:pBdr>
        <w:ind w:left="567" w:right="340"/>
      </w:pPr>
      <w:r>
        <w:rPr>
          <w:i/>
          <w:color w:val="6B665E"/>
        </w:rPr>
        <w:t xml:space="preserve">A </w:t>
      </w:r>
      <w:r>
        <w:rPr>
          <w:i/>
          <w:color w:val="6B665E"/>
        </w:rPr>
        <w:t>[órgano que dictó el acto o tramita el expediente]</w:t>
      </w:r>
    </w:p>
    <w:p>
      <w:pPr>
        <w:pBdr>
          <w:left w:val="single" w:sz="18" w:space="8" w:color="E2DED6"/>
        </w:pBdr>
        <w:ind w:left="567" w:right="340"/>
      </w:pPr>
      <w:r>
        <w:rPr>
          <w:i/>
          <w:color w:val="6B665E"/>
        </w:rPr>
        <w:t>Expediente o acto: [referencia], notificado el [fecha].</w:t>
      </w:r>
    </w:p>
    <w:p>
      <w:pPr>
        <w:pBdr>
          <w:left w:val="single" w:sz="18" w:space="8" w:color="E2DED6"/>
        </w:pBdr>
        <w:ind w:left="567" w:right="340"/>
      </w:pPr>
      <w:r>
        <w:rPr>
          <w:i/>
          <w:color w:val="6B665E"/>
        </w:rPr>
        <w:t>[Nombre y apellidos], con DNI [número], y domicilio a efectos de notificaciones en [dirección], como interesado en el expediente indicado,</w:t>
      </w:r>
    </w:p>
    <w:p>
      <w:pPr>
        <w:pBdr>
          <w:left w:val="single" w:sz="18" w:space="8" w:color="E2DED6"/>
        </w:pBdr>
        <w:ind w:left="567" w:right="340"/>
      </w:pPr>
      <w:r>
        <w:rPr>
          <w:b/>
          <w:i/>
          <w:color w:val="6B665E"/>
        </w:rPr>
        <w:t>SOLICITO</w:t>
      </w:r>
      <w:r>
        <w:rPr>
          <w:i/>
          <w:color w:val="6B665E"/>
        </w:rPr>
        <w:t xml:space="preserve"> que, por escrito, se me comunique:</w:t>
      </w:r>
    </w:p>
    <w:p>
      <w:pPr>
        <w:spacing w:after="60"/>
        <w:ind w:left="510" w:hanging="397"/>
      </w:pPr>
      <w:r>
        <w:rPr>
          <w:b w:val="0"/>
        </w:rPr>
        <w:t xml:space="preserve">1. </w:t>
      </w:r>
      <w:r>
        <w:t>La identidad del órgano y de las autoridades y el personal bajo cuya responsabilidad se tramita este procedimiento (Ley 39/2015, art. 53.1.b).</w:t>
      </w:r>
    </w:p>
    <w:p>
      <w:pPr>
        <w:spacing w:after="60"/>
        <w:ind w:left="510" w:hanging="397"/>
      </w:pPr>
      <w:r>
        <w:rPr>
          <w:b w:val="0"/>
        </w:rPr>
        <w:t xml:space="preserve">2. </w:t>
      </w:r>
      <w:r>
        <w:t>La norma concreta, con su artículo, que atribuye a ese órgano la competencia para dictar este acto respecto de mi persona (art. 34.1).</w:t>
      </w:r>
    </w:p>
    <w:p>
      <w:pPr>
        <w:spacing w:after="60"/>
        <w:ind w:left="510" w:hanging="397"/>
      </w:pPr>
      <w:r>
        <w:rPr>
          <w:b w:val="0"/>
        </w:rPr>
        <w:t xml:space="preserve">3. </w:t>
      </w:r>
      <w:r>
        <w:t>Los hechos probados en que se basa el acto y los medios de prueba que los acreditan, sin limitarse a la presunción de validez de los actos (art. 39) ni a la presunción de certeza de los documentos de la autoridad (art. 77.5).</w:t>
      </w:r>
    </w:p>
    <w:p>
      <w:pPr>
        <w:spacing w:after="60"/>
        <w:ind w:left="510" w:hanging="397"/>
      </w:pPr>
      <w:r>
        <w:rPr>
          <w:b w:val="0"/>
        </w:rPr>
        <w:t xml:space="preserve">4. </w:t>
      </w:r>
      <w:r>
        <w:t>La motivación del acto, con referencia a esos hechos y a sus fundamentos de derecho (art. 35.1).</w:t>
      </w:r>
    </w:p>
    <w:p>
      <w:pPr>
        <w:spacing w:after="60"/>
        <w:ind w:left="510" w:hanging="397"/>
      </w:pPr>
      <w:r>
        <w:rPr>
          <w:b w:val="0"/>
        </w:rPr>
        <w:t xml:space="preserve">5. </w:t>
      </w:r>
      <w:r>
        <w:t>Copia íntegra del expediente (art. 53.1.a).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no se contesta en plazo, presentaré recordatorio de la obligación de resolver.</w:t>
      </w:r>
    </w:p>
    <w:p>
      <w:pPr>
        <w:pBdr>
          <w:left w:val="single" w:sz="18" w:space="8" w:color="E2DED6"/>
        </w:pBdr>
        <w:ind w:left="567" w:right="340"/>
      </w:pPr>
      <w:r>
        <w:rPr>
          <w:i/>
          <w:color w:val="6B665E"/>
        </w:rPr>
        <w:t xml:space="preserve">En [lugar], a [fecha]. Firma: </w:t>
      </w:r>
      <w:r>
        <w:rPr>
          <w:i/>
          <w:color w:val="6B665E"/>
        </w:rPr>
        <w:t>[firma]</w:t>
      </w:r>
    </w:p>
    <w:p>
      <w:r>
        <w:t>[36.00-15.5 a 15.18; la buena fe, de 10.4 (32.00-7.1); el siguiente paso, decisión de Kiko del 7-oct]</w:t>
      </w:r>
    </w:p>
    <w:p>
      <w:r>
        <w:rPr>
          <w:b/>
        </w:rPr>
        <w:t>La respuesta probable de la Administración:</w:t>
      </w:r>
      <w:r>
        <w:t xml:space="preserve"> que la competencia resulta de una ley que se cita de forma genérica, que el acto es válido</w:t>
      </w:r>
      <w:r>
        <w:t xml:space="preserve"> (Ley 39/2015, art. 39)</w:t>
      </w:r>
      <w:r>
        <w:t xml:space="preserve"> y que no procede dar más información. </w:t>
      </w:r>
      <w:r>
        <w:t>[36.00-15.19]</w:t>
      </w:r>
    </w:p>
    <w:p>
      <w:r>
        <w:rPr>
          <w:i/>
        </w:rPr>
        <w:t>La respuesta de la obra:</w:t>
      </w:r>
    </w:p>
    <w:p>
      <w:pPr>
        <w:spacing w:after="60"/>
        <w:ind w:left="510" w:hanging="397"/>
      </w:pPr>
      <w:r>
        <w:rPr>
          <w:b w:val="0"/>
        </w:rPr>
        <w:t xml:space="preserve">1. </w:t>
      </w:r>
      <w:r>
        <w:t>Los actos que limitan derechos tienen que motivarse con referencia a hechos y fundamentos de derecho</w:t>
      </w:r>
      <w:r>
        <w:t xml:space="preserve"> (ídem, art. 35.1)</w:t>
      </w:r>
      <w:r>
        <w:t>; una cita genérica no es motivación.</w:t>
      </w:r>
    </w:p>
    <w:p>
      <w:pPr>
        <w:spacing w:after="60"/>
        <w:ind w:left="510" w:hanging="397"/>
      </w:pPr>
      <w:r>
        <w:rPr>
          <w:b w:val="0"/>
        </w:rPr>
        <w:t xml:space="preserve">2. </w:t>
      </w:r>
      <w:r>
        <w:t>En procedimientos sancionadores, la ley obliga a notificar la identidad del instructor y la norma que atribuye la competencia</w:t>
      </w:r>
      <w:r>
        <w:t xml:space="preserve"> (ídem, art. 53.2.a)</w:t>
      </w:r>
      <w:r>
        <w:t>; y en todos, a identificar al personal responsable y a dar copia del expediente</w:t>
      </w:r>
      <w:r>
        <w:t xml:space="preserve"> (ídem, art. 53.1.a y b)</w:t>
      </w:r>
      <w:r>
        <w:t>.</w:t>
      </w:r>
    </w:p>
    <w:p>
      <w:pPr>
        <w:spacing w:after="60"/>
        <w:ind w:left="510" w:hanging="397"/>
      </w:pPr>
      <w:r>
        <w:rPr>
          <w:b w:val="0"/>
        </w:rPr>
        <w:t xml:space="preserve">3. </w:t>
      </w:r>
      <w:r>
        <w:t>La presunción de validez admite prueba en contrario, y los actos de un órgano manifiestamente incompetente son nulos</w:t>
      </w:r>
      <w:r>
        <w:t xml:space="preserve"> (ídem, art. 47.1.b)</w:t>
      </w:r>
      <w:r>
        <w:t>. Si no contesta, D.10.</w:t>
      </w:r>
    </w:p>
    <w:p>
      <w:r>
        <w:t>[36.00-16.1 a 16.3]</w:t>
      </w:r>
    </w:p>
    <w:p>
      <w:pPr>
        <w:pStyle w:val="Heading2"/>
      </w:pPr>
      <w:r>
        <w:t>D.9 La petición de motivación extensa</w:t>
      </w:r>
    </w:p>
    <w:p>
      <w:pPr>
        <w:pBdr>
          <w:left w:val="single" w:sz="24" w:space="6" w:color="E2DED6"/>
        </w:pBdr>
        <w:shd w:val="clear" w:color="auto" w:fill="F1EEE8"/>
        <w:spacing w:before="80" w:after="160"/>
        <w:ind w:left="142" w:right="142"/>
      </w:pPr>
      <w:r>
        <w:rPr>
          <w:b/>
        </w:rPr>
        <w:t>La idea: la pregunta de los cimientos: en qué se apoya la presunción por la que el Estado ejerce autoridad sobre la persona, con la relación de presunciones (</w:t>
      </w:r>
      <w:r>
        <w:rPr>
          <w:b/>
        </w:rPr>
        <w:t>D.13</w:t>
      </w:r>
      <w:r>
        <w:rPr>
          <w:b/>
        </w:rPr>
        <w:t>) adjunta.</w:t>
      </w:r>
    </w:p>
    <w:p>
      <w:pPr>
        <w:pStyle w:val="ListBullet"/>
      </w:pPr>
      <w:r>
        <w:rPr>
          <w:b/>
        </w:rPr>
        <w:t>Dónde vale:</w:t>
      </w:r>
      <w:r>
        <w:t xml:space="preserve"> en la jurisdicción del Estado y en la de la verdad. </w:t>
      </w:r>
      <w:r>
        <w:t>[36.00-17.1]</w:t>
      </w:r>
    </w:p>
    <w:p>
      <w:pPr>
        <w:pStyle w:val="ListBullet"/>
      </w:pPr>
      <w:r>
        <w:rPr>
          <w:b/>
        </w:rPr>
        <w:t>Cuándo usarlo:</w:t>
      </w:r>
      <w:r>
        <w:t xml:space="preserve"> para pedir, por escrito y una a una, la justificación de las presunciones en que el Estado funda su autoridad sobre una persona. Se dirige a la Presidencia del Gobierno o al órgano que se elija, no a quien tramita un expediente concreto (</w:t>
      </w:r>
      <w:r>
        <w:t>D.0</w:t>
      </w:r>
      <w:r>
        <w:t>). La respuesta, o el silencio, se archiva en el Registro (</w:t>
      </w:r>
      <w:r>
        <w:t>10.8</w:t>
      </w:r>
      <w:r>
        <w:t>) y forma parte de las preguntas para el juicio (</w:t>
      </w:r>
      <w:r>
        <w:t>capítulo 11</w:t>
      </w:r>
      <w:r>
        <w:t xml:space="preserve">). </w:t>
      </w:r>
      <w:r>
        <w:t>[36.00-17.2]</w:t>
      </w:r>
    </w:p>
    <w:p>
      <w:pPr>
        <w:pStyle w:val="ListBullet"/>
      </w:pPr>
      <w:r>
        <w:rPr>
          <w:b/>
        </w:rPr>
        <w:t>Base legal:</w:t>
      </w:r>
      <w:r>
        <w:t xml:space="preserve"> Constitución, art. 29, y Ley Orgánica 4/2001, arts. 4, 9 y 11 (derecho de petición); Ley 39/2015, arts. 20.1 y 21.6. Las presunciones, con su fuente, están en el edificio de </w:t>
      </w:r>
      <w:r>
        <w:t>5.2</w:t>
      </w:r>
      <w:r>
        <w:t xml:space="preserve"> y en la relación del D.13. </w:t>
      </w:r>
      <w:r>
        <w:t>[36.00-17.3]</w:t>
      </w:r>
    </w:p>
    <w:p>
      <w:pPr>
        <w:pStyle w:val="ListBullet"/>
      </w:pPr>
      <w:r>
        <w:rPr>
          <w:b/>
        </w:rPr>
        <w:t>Plazos y advertencias:</w:t>
      </w:r>
      <w:r>
        <w:t xml:space="preserve"> inadmisión motivada en cuarenta y cinco días hábiles; contestación en tres meses si se admite (Ley Orgánica 4/2001, arts. 9.1 y 11.1). Advertencia: el Estado responderá con su propio derecho, la Constitución y las leyes, y esta petición no exime de ninguna obligación vigente (Constitución, art. 9.1). Su fuerza es dejar constancia de qué se responde y qué se calla. </w:t>
      </w:r>
      <w:r>
        <w:t>[36.00-17.4]</w:t>
      </w:r>
    </w:p>
    <w:p>
      <w:r>
        <w:rPr>
          <w:b/>
        </w:rPr>
        <w:t>Qué es una presunción, en el lenguaje del Derecho.</w:t>
      </w:r>
      <w:r>
        <w:t xml:space="preserve"> El diccionario jurídico de la Real Academia la define así: «Aceptación de un hecho del que no se tiene prueba y que se infiere de otro hecho demostrado»</w:t>
      </w:r>
      <w:r>
        <w:t xml:space="preserve"> (RAE, Diccionario panhispánico del español jurídico, «presunción»)</w:t>
      </w:r>
      <w:r>
        <w:br/>
      </w:r>
      <w:r>
        <w:rPr>
          <w:b/>
        </w:rPr>
        <w:t>leída en su fuente · RAE, Diccionario panhispánico del español jurídico, «presunción»</w:t>
      </w:r>
      <w:r>
        <w:br/>
      </w:r>
      <w:r>
        <w:rPr>
          <w:b/>
        </w:rPr>
        <w:t>Archivo leído:</w:t>
      </w:r>
      <w:r>
        <w:t xml:space="preserve"> DPEJ_RAE_presuncion.txt (d_botiquin\DPEJ_RAE_presuncion.txt) · contraste del archivo de pasajes: ✔</w:t>
      </w:r>
      <w:r>
        <w:br/>
      </w:r>
      <w:r>
        <w:rPr>
          <w:b/>
        </w:rPr>
        <w:t>Tal como está en la fuente:</w:t>
      </w:r>
      <w:r>
        <w:t xml:space="preserve"> Aceptación de un hecho del que no se tiene prueba y que se infiere de otro hecho demostrado.</w:t>
      </w:r>
      <w:r>
        <w:t>. Y la ley dice cuándo vale: las presunciones que la ley establece eximen de probar el hecho presunto, pero «sólo serán admisibles cuando la certeza del hecho indicio del que parte la presunción haya quedado establecida mediante admisión o prueba»</w:t>
      </w:r>
      <w:r>
        <w:t xml:space="preserve"> (Ley de Enjuiciamiento Civil, art. 385.1)</w:t>
      </w:r>
      <w:r>
        <w:br/>
      </w:r>
      <w:r>
        <w:rPr>
          <w:b/>
        </w:rPr>
        <w:t>leída en su fuente · Ley de Enjuiciamiento Civil, art. 385.1</w:t>
      </w:r>
      <w:r>
        <w:br/>
      </w:r>
      <w:r>
        <w:rPr>
          <w:b/>
        </w:rPr>
        <w:t>Archivo leído:</w:t>
      </w:r>
      <w:r>
        <w:t xml:space="preserve"> lec_ley1_2000.html (c5\lec_ley1_2000.html) · contraste del archivo de pasajes: ✔</w:t>
      </w:r>
      <w:r>
        <w:br/>
      </w:r>
      <w:r>
        <w:rPr>
          <w:b/>
        </w:rPr>
        <w:t>Lugar:</w:t>
      </w:r>
      <w:r>
        <w:t xml:space="preserve"> Ley de Enjuiciamiento Civil, art. 385.1</w:t>
      </w:r>
      <w:r>
        <w:br/>
      </w:r>
      <w:r>
        <w:rPr>
          <w:b/>
        </w:rPr>
        <w:t>Tal como está en la fuente:</w:t>
      </w:r>
      <w:r>
        <w:t xml:space="preserve"> sólo serán admisibles cuando la certeza del hecho indicio del que parte la presunción haya quedado establecida mediante admisión o prueba</w:t>
      </w:r>
      <w:r>
        <w:t>, y admiten prueba en contrario, salvo que la ley lo prohíba expresamente</w:t>
      </w:r>
      <w:r>
        <w:t xml:space="preserve"> (ídem, art. 385.3)</w:t>
      </w:r>
      <w:r>
        <w:t>. Esa ley se aplica también, en lo que no regulen las suyas, a los procesos contencioso-administrativos</w:t>
      </w:r>
      <w:r>
        <w:t xml:space="preserve"> (ídem, art. 4)</w:t>
      </w:r>
      <w:r>
        <w:t xml:space="preserve">. En pocas palabras: una presunción necesita un hecho de partida admitido o probado. El escrito pide ese hecho. </w:t>
      </w:r>
      <w:r>
        <w:t>[parlamento con Kiko, 7-oct-2026; leído hoy]</w:t>
      </w:r>
    </w:p>
    <w:p>
      <w:r>
        <w:rPr>
          <w:b/>
        </w:rPr>
        <w:t>Modelo para rellenar:</w:t>
      </w:r>
    </w:p>
    <w:p>
      <w:pPr>
        <w:pBdr>
          <w:left w:val="single" w:sz="18" w:space="8" w:color="E2DED6"/>
        </w:pBdr>
        <w:ind w:left="567" w:right="340"/>
      </w:pPr>
      <w:r>
        <w:rPr>
          <w:i/>
          <w:color w:val="6B665E"/>
        </w:rPr>
        <w:t xml:space="preserve">A </w:t>
      </w:r>
      <w:r>
        <w:rPr>
          <w:i/>
          <w:color w:val="6B665E"/>
        </w:rPr>
        <w:t>[Presidencia del Gobierno u órgano al que se dirige]</w:t>
      </w:r>
    </w:p>
    <w:p>
      <w:pPr>
        <w:pBdr>
          <w:left w:val="single" w:sz="18" w:space="8" w:color="E2DED6"/>
        </w:pBdr>
        <w:ind w:left="567" w:right="340"/>
      </w:pPr>
      <w:r>
        <w:rPr>
          <w:i/>
          <w:color w:val="6B665E"/>
        </w:rPr>
        <w:t>[Nombre y apellidos], con DNI [número], de nacionalidad [nacionalidad], y con domicilio a efectos de notificaciones en [dirección], al amparo del artículo 29 de la Constitución y de la Ley Orgánica 4/2001, formulo la siguiente</w:t>
      </w:r>
    </w:p>
    <w:p>
      <w:pPr>
        <w:pBdr>
          <w:left w:val="single" w:sz="18" w:space="8" w:color="E2DED6"/>
        </w:pBdr>
        <w:ind w:left="567" w:right="340"/>
      </w:pPr>
      <w:r>
        <w:rPr>
          <w:b/>
          <w:i/>
          <w:color w:val="6B665E"/>
        </w:rPr>
        <w:t>PETICIÓN DE MOTIVACIÓN EXTENSA</w:t>
      </w:r>
    </w:p>
    <w:p>
      <w:pPr>
        <w:pBdr>
          <w:left w:val="single" w:sz="18" w:space="8" w:color="E2DED6"/>
        </w:pBdr>
        <w:ind w:left="567" w:right="340"/>
      </w:pPr>
      <w:r>
        <w:rPr>
          <w:i/>
          <w:color w:val="6B665E"/>
        </w:rPr>
        <w:t>Solicito que se me explique, por escrito y de forma motivada, en qué se apoya la presunción por la que el Estado ejerce autoridad sobre mi persona, y en concreto el fundamento de cada una de las presunciones en que se sostiene, más allá de la norma que la establece, según la relación que se adjunta.</w:t>
      </w:r>
    </w:p>
    <w:p>
      <w:pPr>
        <w:pBdr>
          <w:left w:val="single" w:sz="18" w:space="8" w:color="E2DED6"/>
        </w:pBdr>
        <w:ind w:left="567" w:right="340"/>
      </w:pPr>
      <w:r>
        <w:rPr>
          <w:b/>
          <w:i/>
          <w:color w:val="6B665E"/>
        </w:rPr>
        <w:t>SOBRE LA PRESUNCIÓN.</w:t>
      </w:r>
      <w:r>
        <w:rPr>
          <w:i/>
          <w:color w:val="6B665E"/>
        </w:rPr>
        <w:t xml:space="preserve"> El Diccionario panhispánico del español jurídico de la Real Academia Española define la presunción como la «Aceptación de un hecho del que no se tiene prueba y que se infiere de otro hecho demostrado». Según la ley, las presunciones «sólo serán admisibles cuando la certeza del hecho indicio del que parte la presunción haya quedado establecida mediante admisión o prueba» (Ley de Enjuiciamiento Civil, art. 385.1), y admiten prueba en contrario (art. 385.3). No he admitido el hecho del que parte la autoridad que se ejerce sobre mi persona, ni me consta prueba de él. Dejo constancia de que, desde la recepción de este escrito, quien lo tramita conoce esta petición y el sentido legal de la presunción.</w:t>
      </w:r>
    </w:p>
    <w:p>
      <w:pPr>
        <w:pBdr>
          <w:left w:val="single" w:sz="18" w:space="8" w:color="E2DED6"/>
        </w:pBdr>
        <w:ind w:left="567" w:right="340"/>
      </w:pPr>
      <w:r>
        <w:rPr>
          <w:i/>
          <w:color w:val="6B665E"/>
        </w:rPr>
        <w:t>Para cada presunción de la relación adjunta, solicito que se me indique el hecho demostrado o admitido del que parte respecto de mi persona y el documento que lo acredita, o la norma en que se funda; cada punto puede contestarse con un documento o con una cita normativa.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 con mucho gusto.</w:t>
      </w:r>
    </w:p>
    <w:p>
      <w:pPr>
        <w:pBdr>
          <w:left w:val="single" w:sz="18" w:space="8" w:color="E2DED6"/>
        </w:pBdr>
        <w:ind w:left="567" w:right="340"/>
      </w:pPr>
      <w:r>
        <w:rPr>
          <w:b/>
          <w:i/>
          <w:color w:val="6B665E"/>
        </w:rPr>
        <w:t>LO QUE HARÉ SI NO SE CONTESTA.</w:t>
      </w:r>
      <w:r>
        <w:rPr>
          <w:i/>
          <w:color w:val="6B665E"/>
        </w:rPr>
        <w:t xml:space="preserve"> Si la contestación no cumple la motivación que exige la ley (Ley 39/2015, art. 35; Ley Orgánica 4/2001, art. 11), ejerceré los recursos y acciones que el ordenamiento me reconoce, entre ellos la tutela judicial del derecho de petición (Ley Orgánica 4/2001, art. 12) y la queja al Defensor del Pueblo, y la respuesta, o su falta, quedará archivada en el Registro de los frutos.</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Se adjunta: relación de presunciones (</w:t>
      </w:r>
      <w:r>
        <w:rPr>
          <w:i/>
          <w:color w:val="6B665E"/>
        </w:rPr>
        <w:t>D.13</w:t>
      </w:r>
      <w:r>
        <w:rPr>
          <w:i/>
          <w:color w:val="6B665E"/>
        </w:rPr>
        <w:t>).</w:t>
      </w:r>
    </w:p>
    <w:p>
      <w:pPr>
        <w:pBdr>
          <w:left w:val="single" w:sz="18" w:space="8" w:color="E2DED6"/>
        </w:pBdr>
        <w:ind w:left="567" w:right="340"/>
      </w:pPr>
      <w:r>
        <w:rPr>
          <w:i/>
          <w:color w:val="6B665E"/>
        </w:rPr>
        <w:t xml:space="preserve">En [lugar], a [fecha]. Firma: </w:t>
      </w:r>
      <w:r>
        <w:rPr>
          <w:i/>
          <w:color w:val="6B665E"/>
        </w:rPr>
        <w:t>[firma]</w:t>
      </w:r>
    </w:p>
    <w:p>
      <w:r>
        <w:t>[36.00-17.5 a 17.9 y 17.17 a 17.20; los siete puntos de 36.00-17.10 a 17.16 pasan a la relación del D.13, con las 894 normas de 2024 en lugar de las 259 (cargo 8); la definición, la constancia, la buena fe y «Lo que haré si no se contesta», decididos con Kiko el 7-oct, sin la fórmula «me reservo todos los derechos» (10.4 y 2.6)]</w:t>
      </w:r>
    </w:p>
    <w:p>
      <w:r>
        <w:rPr>
          <w:b/>
        </w:rPr>
        <w:t>La respuesta probable de la Administración:</w:t>
      </w:r>
      <w:r>
        <w:t xml:space="preserve"> que no se admite porque plantea cuestiones generales y no una petición concreta, o una respuesta que remite a la Constitución y a las leyes vigentes</w:t>
      </w:r>
      <w:r>
        <w:t xml:space="preserve"> (Constitución, art. 9.1; Código Civil, art. 1.2)</w:t>
      </w:r>
      <w:r>
        <w:t xml:space="preserve">. </w:t>
      </w:r>
      <w:r>
        <w:t>[36.00-17.21]</w:t>
      </w:r>
    </w:p>
    <w:p>
      <w:r>
        <w:rPr>
          <w:i/>
        </w:rPr>
        <w:t>La respuesta de la obra:</w:t>
      </w:r>
    </w:p>
    <w:p>
      <w:pPr>
        <w:spacing w:after="60"/>
        <w:ind w:left="510" w:hanging="397"/>
      </w:pPr>
      <w:r>
        <w:rPr>
          <w:b w:val="0"/>
        </w:rPr>
        <w:t xml:space="preserve">1. </w:t>
      </w:r>
      <w:r>
        <w:t>La inadmisión tiene que ser motivada y en cuarenta y cinco días hábiles</w:t>
      </w:r>
      <w:r>
        <w:t xml:space="preserve"> (Ley Orgánica 4/2001, art. 9.1)</w:t>
      </w:r>
      <w:r>
        <w:t>. Y cada punto de la relación pide un hecho, un documento o una norma, no una opinión.</w:t>
      </w:r>
    </w:p>
    <w:p>
      <w:pPr>
        <w:spacing w:after="60"/>
        <w:ind w:left="510" w:hanging="397"/>
      </w:pPr>
      <w:r>
        <w:rPr>
          <w:b w:val="0"/>
        </w:rPr>
        <w:t xml:space="preserve">2. </w:t>
      </w:r>
      <w:r>
        <w:t>Si la respuesta es «porque lo dice la Constitución», el sistema se justifica a sí mismo con su propia norma: es exactamente la presunción que se pregunta (</w:t>
      </w:r>
      <w:r>
        <w:t>5.2</w:t>
      </w:r>
      <w:r>
        <w:t>). Y queda escrito.</w:t>
      </w:r>
    </w:p>
    <w:p>
      <w:pPr>
        <w:spacing w:after="60"/>
        <w:ind w:left="510" w:hanging="397"/>
      </w:pPr>
      <w:r>
        <w:rPr>
          <w:b w:val="0"/>
        </w:rPr>
        <w:t xml:space="preserve">3. </w:t>
      </w:r>
      <w:r>
        <w:t>Cada punto sin responder se archiva en el Registro (</w:t>
      </w:r>
      <w:r>
        <w:t>10.8</w:t>
      </w:r>
      <w:r>
        <w:t>) y se oirá en el juicio (</w:t>
      </w:r>
      <w:r>
        <w:t>capítulo 11</w:t>
      </w:r>
      <w:r>
        <w:t>), junto con la mejor defensa del Estado.</w:t>
      </w:r>
    </w:p>
    <w:p>
      <w:r>
        <w:t>[36.00-18.1 a 18.3]</w:t>
      </w:r>
    </w:p>
    <w:p>
      <w:pPr>
        <w:pStyle w:val="Heading2"/>
      </w:pPr>
      <w:r>
        <w:t>D.10 El recordatorio de responsabilidad por falta de respuesta</w:t>
      </w:r>
    </w:p>
    <w:p>
      <w:pPr>
        <w:pBdr>
          <w:left w:val="single" w:sz="24" w:space="6" w:color="E2DED6"/>
        </w:pBdr>
        <w:shd w:val="clear" w:color="auto" w:fill="F1EEE8"/>
        <w:spacing w:before="80" w:after="160"/>
        <w:ind w:left="142" w:right="142"/>
      </w:pPr>
      <w:r>
        <w:rPr>
          <w:b/>
        </w:rPr>
        <w:t>La idea: cuando un escrito no se ha resuelto en plazo, se recuerda por escrito la obligación de resolver y la responsabilidad de quien tramita, citando el escrito anterior sin repetirlo.</w:t>
      </w:r>
    </w:p>
    <w:p>
      <w:pPr>
        <w:pStyle w:val="ListBullet"/>
      </w:pPr>
      <w:r>
        <w:rPr>
          <w:b/>
        </w:rPr>
        <w:t>Dónde vale:</w:t>
      </w:r>
      <w:r>
        <w:t xml:space="preserve"> en la jurisdicción del Estado. </w:t>
      </w:r>
      <w:r>
        <w:t>[36.00-19.1]</w:t>
      </w:r>
    </w:p>
    <w:p>
      <w:pPr>
        <w:pStyle w:val="ListBullet"/>
      </w:pPr>
      <w:r>
        <w:rPr>
          <w:b/>
        </w:rPr>
        <w:t>Cuándo usarlo:</w:t>
      </w:r>
      <w:r>
        <w:t xml:space="preserve"> cuando se presentó un escrito y no se ha resuelto en plazo: se recuerda, por escrito y con respeto, la obligación de resolver y la responsabilidad directa de quien tramita, y se deja constancia. Es el tercer escalón (</w:t>
      </w:r>
      <w:r>
        <w:t>D.0</w:t>
      </w:r>
      <w:r>
        <w:t xml:space="preserve">). </w:t>
      </w:r>
      <w:r>
        <w:t>[36.00-19.2]</w:t>
      </w:r>
    </w:p>
    <w:p>
      <w:pPr>
        <w:pStyle w:val="ListBullet"/>
      </w:pPr>
      <w:r>
        <w:rPr>
          <w:b/>
        </w:rPr>
        <w:t>Base legal:</w:t>
      </w:r>
      <w:r>
        <w:t xml:space="preserve"> Ley 39/2015, arts. 20.1, 20.2, 21.1, 21.6 y 53.1.a y b; Ley 29/1998, art. 29 (si la Administración está obligada a una prestación concreta, </w:t>
      </w:r>
      <w:r>
        <w:t>D.5</w:t>
      </w:r>
      <w:r>
        <w:t xml:space="preserve">). </w:t>
      </w:r>
      <w:r>
        <w:t>[36.00-19.3]</w:t>
      </w:r>
    </w:p>
    <w:p>
      <w:pPr>
        <w:pStyle w:val="ListBullet"/>
      </w:pPr>
      <w:r>
        <w:rPr>
          <w:b/>
        </w:rPr>
        <w:t>Plazos y advertencias:</w:t>
      </w:r>
      <w:r>
        <w:t xml:space="preserve"> puede presentarse en cuanto venza el plazo para resolver. No sustituye al recurso: si el silencio tiene efecto desestimatorio, el plazo para recurrir sigue corriendo. Los interesados pueden pedir la exigencia de esa responsabilidad a la Administración de la que dependa el personal afectado (art. 20.2). </w:t>
      </w:r>
      <w:r>
        <w:t>[36.00-19.4]</w:t>
      </w:r>
    </w:p>
    <w:p>
      <w:r>
        <w:rPr>
          <w:b/>
        </w:rPr>
        <w:t>Modelo para rellenar:</w:t>
      </w:r>
    </w:p>
    <w:p>
      <w:pPr>
        <w:pBdr>
          <w:left w:val="single" w:sz="18" w:space="8" w:color="E2DED6"/>
        </w:pBdr>
        <w:ind w:left="567" w:right="340"/>
      </w:pPr>
      <w:r>
        <w:rPr>
          <w:i/>
          <w:color w:val="6B665E"/>
        </w:rPr>
        <w:t xml:space="preserve">A </w:t>
      </w:r>
      <w:r>
        <w:rPr>
          <w:i/>
          <w:color w:val="6B665E"/>
        </w:rPr>
        <w:t>[titular de la unidad administrativa que tramita el expediente]</w:t>
      </w:r>
    </w:p>
    <w:p>
      <w:pPr>
        <w:pBdr>
          <w:left w:val="single" w:sz="18" w:space="8" w:color="E2DED6"/>
        </w:pBdr>
        <w:ind w:left="567" w:right="340"/>
      </w:pPr>
      <w:r>
        <w:rPr>
          <w:i/>
          <w:color w:val="6B665E"/>
        </w:rPr>
        <w:t>Escrito presentado el [fecha], con número de registro [número], sobre [asunto].</w:t>
      </w:r>
    </w:p>
    <w:p>
      <w:pPr>
        <w:pBdr>
          <w:left w:val="single" w:sz="18" w:space="8" w:color="E2DED6"/>
        </w:pBdr>
        <w:ind w:left="567" w:right="340"/>
      </w:pPr>
      <w:r>
        <w:rPr>
          <w:i/>
          <w:color w:val="6B665E"/>
        </w:rPr>
        <w:t>[Nombre y apellidos], con DNI [número], y domicilio a efectos de notificaciones en [dirección],</w:t>
      </w:r>
    </w:p>
    <w:p>
      <w:pPr>
        <w:pBdr>
          <w:left w:val="single" w:sz="18" w:space="8" w:color="E2DED6"/>
        </w:pBdr>
        <w:ind w:left="567" w:right="340"/>
      </w:pPr>
      <w:r>
        <w:rPr>
          <w:b/>
          <w:i/>
          <w:color w:val="6B665E"/>
        </w:rPr>
        <w:t>EXPONGO</w:t>
      </w:r>
      <w:r>
        <w:rPr>
          <w:i/>
          <w:color w:val="6B665E"/>
        </w:rPr>
        <w:t xml:space="preserve"> que ha vencido el plazo para resolver el escrito indicado sin que se me haya notificado resolución expresa, pese a que la Administración «está obligada a dictar resolución expresa y a notificarla en todos los procedimientos cualquiera que sea su forma de iniciación» (Ley 39/2015, art. 21.1).</w:t>
      </w:r>
    </w:p>
    <w:p>
      <w:pPr>
        <w:pBdr>
          <w:left w:val="single" w:sz="18" w:space="8" w:color="E2DED6"/>
        </w:pBdr>
        <w:ind w:left="567" w:right="340"/>
      </w:pPr>
      <w:r>
        <w:rPr>
          <w:b/>
          <w:i/>
          <w:color w:val="6B665E"/>
        </w:rPr>
        <w:t>SOLICITO:</w:t>
      </w:r>
    </w:p>
    <w:p>
      <w:pPr>
        <w:spacing w:after="60"/>
        <w:ind w:left="510" w:hanging="397"/>
      </w:pPr>
      <w:r>
        <w:rPr>
          <w:b w:val="0"/>
        </w:rPr>
        <w:t xml:space="preserve">1. </w:t>
      </w:r>
      <w:r>
        <w:t>Que se me informe del estado de la tramitación y de la identidad del personal responsable (art. 53.1.a y b).</w:t>
      </w:r>
    </w:p>
    <w:p>
      <w:pPr>
        <w:spacing w:after="60"/>
        <w:ind w:left="510" w:hanging="397"/>
      </w:pPr>
      <w:r>
        <w:rPr>
          <w:b w:val="0"/>
        </w:rPr>
        <w:t xml:space="preserve">2. </w:t>
      </w:r>
      <w:r>
        <w:t>Que se dicte y notifique la resolución expresa.</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tampoco se resuelve, presentaré queja ante el Defensor del Pueblo y solicitaré a la Administración de la que dependa el personal responsable que exija esa responsabilidad (Ley 39/2015, art. 20.2).</w:t>
      </w:r>
    </w:p>
    <w:p>
      <w:pPr>
        <w:pBdr>
          <w:left w:val="single" w:sz="18" w:space="8" w:color="E2DED6"/>
        </w:pBdr>
        <w:ind w:left="567" w:right="340"/>
      </w:pPr>
      <w:r>
        <w:rPr>
          <w:i/>
          <w:color w:val="6B665E"/>
        </w:rPr>
        <w:t xml:space="preserve">En [lugar], a [fecha]. Firma: </w:t>
      </w:r>
      <w:r>
        <w:rPr>
          <w:i/>
          <w:color w:val="6B665E"/>
        </w:rPr>
        <w:t>[firma]</w:t>
      </w:r>
    </w:p>
    <w:p>
      <w:r>
        <w:t>[36.00-19.5 a 19.16; el siguiente paso, de 36.00-20.2]</w:t>
      </w:r>
    </w:p>
    <w:p>
      <w:r>
        <w:rPr>
          <w:b/>
        </w:rPr>
        <w:t>La respuesta probable de la Administración:</w:t>
      </w:r>
      <w:r>
        <w:t xml:space="preserve"> que el retraso se debe a la carga de trabajo, o seguir en silencio. </w:t>
      </w:r>
      <w:r>
        <w:t>[36.00-19.17]</w:t>
      </w:r>
    </w:p>
    <w:p>
      <w:r>
        <w:rPr>
          <w:i/>
        </w:rPr>
        <w:t>La respuesta de la obra:</w:t>
      </w:r>
    </w:p>
    <w:p>
      <w:pPr>
        <w:spacing w:after="60"/>
        <w:ind w:left="510" w:hanging="397"/>
      </w:pPr>
      <w:r>
        <w:rPr>
          <w:b w:val="0"/>
        </w:rPr>
        <w:t xml:space="preserve">1. </w:t>
      </w:r>
      <w:r>
        <w:t>La obligación de resolver no tiene excepción por carga de trabajo</w:t>
      </w:r>
      <w:r>
        <w:t xml:space="preserve"> (Ley 39/2015, art. 21.1)</w:t>
      </w:r>
      <w:r>
        <w:t>, y su incumplimiento da lugar a responsabilidad disciplinaria</w:t>
      </w:r>
      <w:r>
        <w:t xml:space="preserve"> (ídem, art. 21.6)</w:t>
      </w:r>
      <w:r>
        <w:t>.</w:t>
      </w:r>
    </w:p>
    <w:p>
      <w:pPr>
        <w:spacing w:after="60"/>
        <w:ind w:left="510" w:hanging="397"/>
      </w:pPr>
      <w:r>
        <w:rPr>
          <w:b w:val="0"/>
        </w:rPr>
        <w:t xml:space="preserve">2. </w:t>
      </w:r>
      <w:r>
        <w:t>Se puede pedir a la Administración de la que depende el personal que exija esa responsabilidad</w:t>
      </w:r>
      <w:r>
        <w:t xml:space="preserve"> (ídem, art. 20.2)</w:t>
      </w:r>
      <w:r>
        <w:t>, y presentar queja al Defensor del Pueblo (</w:t>
      </w:r>
      <w:r>
        <w:t>D.6</w:t>
      </w:r>
      <w:r>
        <w:t>).</w:t>
      </w:r>
    </w:p>
    <w:p>
      <w:pPr>
        <w:spacing w:after="60"/>
        <w:ind w:left="510" w:hanging="397"/>
      </w:pPr>
      <w:r>
        <w:rPr>
          <w:b w:val="0"/>
        </w:rPr>
        <w:t xml:space="preserve">3. </w:t>
      </w:r>
      <w:r>
        <w:t>Mientras tanto, si el silencio es desestimatorio, el plazo para recurrir sigue corriendo: no esperar.</w:t>
      </w:r>
    </w:p>
    <w:p>
      <w:r>
        <w:t>[36.00-20.1 a 20.3]</w:t>
      </w:r>
    </w:p>
    <w:p>
      <w:pPr>
        <w:pStyle w:val="Heading2"/>
      </w:pPr>
      <w:r>
        <w:t>D.11 La reclamación de los intereses de demora que Hacienda debe al ciudadano</w:t>
      </w:r>
    </w:p>
    <w:p>
      <w:pPr>
        <w:pBdr>
          <w:left w:val="single" w:sz="24" w:space="6" w:color="E2DED6"/>
        </w:pBdr>
        <w:shd w:val="clear" w:color="auto" w:fill="F1EEE8"/>
        <w:spacing w:before="80" w:after="160"/>
        <w:ind w:left="142" w:right="142"/>
      </w:pPr>
      <w:r>
        <w:rPr>
          <w:b/>
        </w:rPr>
        <w:t>La idea: el espejo del recargo: si el ciudadano paga tarde, paga intereses; si Hacienda devuelve tarde, también los debe, sin que se le pidan.</w:t>
      </w:r>
    </w:p>
    <w:p>
      <w:pPr>
        <w:pStyle w:val="ListBullet"/>
      </w:pPr>
      <w:r>
        <w:rPr>
          <w:b/>
        </w:rPr>
        <w:t>Dónde vale:</w:t>
      </w:r>
      <w:r>
        <w:t xml:space="preserve"> en la jurisdicción del Estado (el espejo). </w:t>
      </w:r>
      <w:r>
        <w:t>[36.00-21.1]</w:t>
      </w:r>
    </w:p>
    <w:p>
      <w:pPr>
        <w:pStyle w:val="ListBullet"/>
      </w:pPr>
      <w:r>
        <w:rPr>
          <w:b/>
        </w:rPr>
        <w:t>Cuándo usarlo:</w:t>
      </w:r>
      <w:r>
        <w:t xml:space="preserve"> cuando Hacienda devuelve tarde una cantidad, o devuelve algo cobrado de forma indebida, sin pagar los intereses de demora. </w:t>
      </w:r>
      <w:r>
        <w:t>[36.00-21.2]</w:t>
      </w:r>
    </w:p>
    <w:p>
      <w:pPr>
        <w:pStyle w:val="ListBullet"/>
      </w:pPr>
      <w:r>
        <w:rPr>
          <w:b/>
        </w:rPr>
        <w:t>Base legal:</w:t>
      </w:r>
      <w:r>
        <w:t xml:space="preserve"> Ley 58/2003, General Tributaria, arts. 26, 31.2, 32.2 y 223.1. </w:t>
      </w:r>
      <w:r>
        <w:t>[36.00-21.3]</w:t>
      </w:r>
    </w:p>
    <w:p>
      <w:pPr>
        <w:pStyle w:val="ListBullet"/>
      </w:pPr>
      <w:r>
        <w:rPr>
          <w:b/>
        </w:rPr>
        <w:t>Plazos y advertencias:</w:t>
      </w:r>
      <w:r>
        <w:t xml:space="preserve"> en las devoluciones de cada tributo, pasado el plazo de su norma y, en todo caso, seis meses sin ordenar el pago por causa imputable a Hacienda, esta «abonará el interés de demora [...] sin necesidad de que el obligado lo solicite» (art. 31.2). En la devolución de ingresos indebidos, el interés se debe desde el día del ingreso (art. 32.2). Si la devolución llegó sin intereses, se reclaman por escrito; contra la resolución cabe recurso de reposición en un mes (art. 223.1). </w:t>
      </w:r>
      <w:r>
        <w:t>[36.00-21.4]</w:t>
      </w:r>
    </w:p>
    <w:p>
      <w:r>
        <w:rPr>
          <w:b/>
        </w:rPr>
        <w:t>Modelo para rellenar:</w:t>
      </w:r>
    </w:p>
    <w:p>
      <w:pPr>
        <w:pBdr>
          <w:left w:val="single" w:sz="18" w:space="8" w:color="E2DED6"/>
        </w:pBdr>
        <w:ind w:left="567" w:right="340"/>
      </w:pPr>
      <w:r>
        <w:rPr>
          <w:i/>
          <w:color w:val="6B665E"/>
        </w:rPr>
        <w:t xml:space="preserve">A </w:t>
      </w:r>
      <w:r>
        <w:rPr>
          <w:i/>
          <w:color w:val="6B665E"/>
        </w:rPr>
        <w:t>[órgano de la Agencia Tributaria que acordó la devolución]</w:t>
      </w:r>
    </w:p>
    <w:p>
      <w:pPr>
        <w:pBdr>
          <w:left w:val="single" w:sz="18" w:space="8" w:color="E2DED6"/>
        </w:pBdr>
        <w:ind w:left="567" w:right="340"/>
      </w:pPr>
      <w:r>
        <w:rPr>
          <w:i/>
          <w:color w:val="6B665E"/>
        </w:rPr>
        <w:t>Devolución: [concepto, ejercicio e importe], solicitada o ingresada el [fecha] y pagada el [fecha].</w:t>
      </w:r>
    </w:p>
    <w:p>
      <w:pPr>
        <w:pBdr>
          <w:left w:val="single" w:sz="18" w:space="8" w:color="E2DED6"/>
        </w:pBdr>
        <w:ind w:left="567" w:right="340"/>
      </w:pPr>
      <w:r>
        <w:rPr>
          <w:i/>
          <w:color w:val="6B665E"/>
        </w:rPr>
        <w:t>[Nombre y apellidos], con NIF [número], y domicilio a efectos de notificaciones en [dirección],</w:t>
      </w:r>
    </w:p>
    <w:p>
      <w:pPr>
        <w:pBdr>
          <w:left w:val="single" w:sz="18" w:space="8" w:color="E2DED6"/>
        </w:pBdr>
        <w:ind w:left="567" w:right="340"/>
      </w:pPr>
      <w:r>
        <w:rPr>
          <w:b/>
          <w:i/>
          <w:color w:val="6B665E"/>
        </w:rPr>
        <w:t>EXPONGO</w:t>
      </w:r>
      <w:r>
        <w:rPr>
          <w:i/>
          <w:color w:val="6B665E"/>
        </w:rPr>
        <w:t xml:space="preserve"> que la devolución indicada se ha pagado sin los intereses de demora que la ley obliga a abonar sin necesidad de solicitarlos (Ley General Tributaria, art. [31.2 o 32.2]), por el periodo comprendido entre el [fecha de inicio del devengo] y el [fecha de la orden de pago].</w:t>
      </w:r>
    </w:p>
    <w:p>
      <w:pPr>
        <w:pBdr>
          <w:left w:val="single" w:sz="18" w:space="8" w:color="E2DED6"/>
        </w:pBdr>
        <w:ind w:left="567" w:right="340"/>
      </w:pPr>
      <w:r>
        <w:rPr>
          <w:b/>
          <w:i/>
          <w:color w:val="6B665E"/>
        </w:rPr>
        <w:t>SOLICITO</w:t>
      </w:r>
      <w:r>
        <w:rPr>
          <w:i/>
          <w:color w:val="6B665E"/>
        </w:rPr>
        <w:t xml:space="preserve"> que se liquiden y se me abonen esos intereses de demora, calculados al tipo legal de cada año (art. 26), y que se me notifique el cálculo.</w:t>
      </w:r>
    </w:p>
    <w:p>
      <w:pPr>
        <w:pBdr>
          <w:left w:val="single" w:sz="18" w:space="8" w:color="E2DED6"/>
        </w:pBdr>
        <w:ind w:left="567" w:right="340"/>
      </w:pPr>
      <w:r>
        <w:rPr>
          <w:i/>
          <w:color w:val="6B665E"/>
        </w:rPr>
        <w:t>Si no se resuelve en plazo, presentaré recordatorio de la obligación de resolver.</w:t>
      </w:r>
    </w:p>
    <w:p>
      <w:pPr>
        <w:pBdr>
          <w:left w:val="single" w:sz="18" w:space="8" w:color="E2DED6"/>
        </w:pBdr>
        <w:ind w:left="567" w:right="340"/>
      </w:pPr>
      <w:r>
        <w:rPr>
          <w:i/>
          <w:color w:val="6B665E"/>
        </w:rPr>
        <w:t xml:space="preserve">En [lugar], a [fecha]. Firma: </w:t>
      </w:r>
      <w:r>
        <w:rPr>
          <w:i/>
          <w:color w:val="6B665E"/>
        </w:rPr>
        <w:t>[firma]</w:t>
      </w:r>
    </w:p>
    <w:p>
      <w:r>
        <w:t>[36.00-21.5 a 21.12]</w:t>
      </w:r>
    </w:p>
    <w:p>
      <w:r>
        <w:rPr>
          <w:b/>
        </w:rPr>
        <w:t>La respuesta probable de la Administración:</w:t>
      </w:r>
      <w:r>
        <w:t xml:space="preserve"> que no procede porque la demora no es imputable a la Administración</w:t>
      </w:r>
      <w:r>
        <w:t xml:space="preserve"> (Ley General Tributaria, art. 31.2)</w:t>
      </w:r>
      <w:r>
        <w:t xml:space="preserve">, o que los intereses ya se incluyeron. </w:t>
      </w:r>
      <w:r>
        <w:t>[36.00-21.13]</w:t>
      </w:r>
    </w:p>
    <w:p>
      <w:r>
        <w:rPr>
          <w:i/>
        </w:rPr>
        <w:t>La respuesta de la obra:</w:t>
      </w:r>
    </w:p>
    <w:p>
      <w:pPr>
        <w:spacing w:after="60"/>
        <w:ind w:left="510" w:hanging="397"/>
      </w:pPr>
      <w:r>
        <w:rPr>
          <w:b w:val="0"/>
        </w:rPr>
        <w:t xml:space="preserve">1. </w:t>
      </w:r>
      <w:r>
        <w:t>El interés se debe «sin necesidad de que el obligado lo solicite»</w:t>
      </w:r>
      <w:r>
        <w:t xml:space="preserve"> (ídem, arts. 31.2 y 32.2)</w:t>
      </w:r>
      <w:r>
        <w:br/>
      </w:r>
      <w:r>
        <w:rPr>
          <w:b/>
        </w:rPr>
        <w:t>leída en su fuente · ídem, arts. 31.2 y 32.2</w:t>
      </w:r>
      <w:r>
        <w:br/>
      </w:r>
      <w:r>
        <w:rPr>
          <w:b/>
        </w:rPr>
        <w:t>Archivo leído:</w:t>
      </w:r>
      <w:r>
        <w:t xml:space="preserve"> lgt_ley58_2003.html (c5\lgt_ley58_2003.html) · contraste del archivo de pasajes: ✔</w:t>
      </w:r>
      <w:r>
        <w:br/>
      </w:r>
      <w:r>
        <w:rPr>
          <w:b/>
        </w:rPr>
        <w:t>Lugar:</w:t>
      </w:r>
      <w:r>
        <w:t xml:space="preserve"> Ley General Tributaria, art. 31.2</w:t>
      </w:r>
      <w:r>
        <w:br/>
      </w:r>
      <w:r>
        <w:rPr>
          <w:b/>
        </w:rPr>
        <w:t>Tal como está en la fuente:</w:t>
      </w:r>
      <w:r>
        <w:t xml:space="preserve"> sin necesidad de que el obligado lo solicite</w:t>
      </w:r>
      <w:r>
        <w:t>: si se niega, la Administración tiene que explicar por escrito la causa no imputable.</w:t>
      </w:r>
    </w:p>
    <w:p>
      <w:pPr>
        <w:spacing w:after="60"/>
        <w:ind w:left="510" w:hanging="397"/>
      </w:pPr>
      <w:r>
        <w:rPr>
          <w:b w:val="0"/>
        </w:rPr>
        <w:t xml:space="preserve">2. </w:t>
      </w:r>
      <w:r>
        <w:t>Pedir el cálculo detallado: fechas de inicio y de fin del devengo y tipo aplicado cada año</w:t>
      </w:r>
      <w:r>
        <w:t xml:space="preserve"> (ídem, art. 26)</w:t>
      </w:r>
      <w:r>
        <w:t>.</w:t>
      </w:r>
    </w:p>
    <w:p>
      <w:pPr>
        <w:spacing w:after="60"/>
        <w:ind w:left="510" w:hanging="397"/>
      </w:pPr>
      <w:r>
        <w:rPr>
          <w:b w:val="0"/>
        </w:rPr>
        <w:t xml:space="preserve">3. </w:t>
      </w:r>
      <w:r>
        <w:t>El espejo: al ciudadano el recargo se le aplica sin preguntar por qué pagó tarde</w:t>
      </w:r>
      <w:r>
        <w:t xml:space="preserve"> (ídem, art. 28)</w:t>
      </w:r>
      <w:r>
        <w:t xml:space="preserve"> (</w:t>
      </w:r>
      <w:r>
        <w:t>7.6</w:t>
      </w:r>
      <w:r>
        <w:t>). Contra la negativa, recurso de reposición en un mes</w:t>
      </w:r>
      <w:r>
        <w:t xml:space="preserve"> (ídem, art. 223.1)</w:t>
      </w:r>
      <w:r>
        <w:t>.</w:t>
      </w:r>
    </w:p>
    <w:p>
      <w:r>
        <w:t>[36.00-22.1 a 22.3]</w:t>
      </w:r>
    </w:p>
    <w:p>
      <w:pPr>
        <w:pStyle w:val="Heading2"/>
      </w:pPr>
      <w:r>
        <w:t>D.12 La reclamación de responsabilidad patrimonial</w:t>
      </w:r>
    </w:p>
    <w:p>
      <w:pPr>
        <w:pBdr>
          <w:left w:val="single" w:sz="24" w:space="6" w:color="E2DED6"/>
        </w:pBdr>
        <w:shd w:val="clear" w:color="auto" w:fill="F1EEE8"/>
        <w:spacing w:before="80" w:after="160"/>
        <w:ind w:left="142" w:right="142"/>
      </w:pPr>
      <w:r>
        <w:rPr>
          <w:b/>
        </w:rPr>
        <w:t>La idea: el espejo de la autotutela: si el ciudadano daña, paga; si el funcionamiento de la Administración daña, indemniza.</w:t>
      </w:r>
    </w:p>
    <w:p>
      <w:pPr>
        <w:pStyle w:val="ListBullet"/>
      </w:pPr>
      <w:r>
        <w:rPr>
          <w:b/>
        </w:rPr>
        <w:t>Dónde vale:</w:t>
      </w:r>
      <w:r>
        <w:t xml:space="preserve"> en la jurisdicción del Estado (el espejo). </w:t>
      </w:r>
      <w:r>
        <w:t>[36.00-23.1]</w:t>
      </w:r>
    </w:p>
    <w:p>
      <w:pPr>
        <w:pStyle w:val="ListBullet"/>
      </w:pPr>
      <w:r>
        <w:rPr>
          <w:b/>
        </w:rPr>
        <w:t>Cuándo usarlo:</w:t>
      </w:r>
      <w:r>
        <w:t xml:space="preserve"> cuando el funcionamiento de un servicio público, normal o anormal, ha causado un daño que no hay obligación de soportar: un procedimiento que se eterniza, una notificación mal hecha, un embargo indebido, una pérdida económica. </w:t>
      </w:r>
      <w:r>
        <w:t>[36.00-23.2]</w:t>
      </w:r>
    </w:p>
    <w:p>
      <w:pPr>
        <w:pStyle w:val="ListBullet"/>
      </w:pPr>
      <w:r>
        <w:rPr>
          <w:b/>
        </w:rPr>
        <w:t>Base legal:</w:t>
      </w:r>
      <w:r>
        <w:t xml:space="preserve"> Ley 40/2015, del Régimen Jurídico del Sector Público, arts. 32 y 36.1; Ley 39/2015, arts. 67.1, 67.2 y 91.3. </w:t>
      </w:r>
      <w:r>
        <w:t>[36.00-23.3]</w:t>
      </w:r>
    </w:p>
    <w:p>
      <w:pPr>
        <w:pStyle w:val="ListBullet"/>
      </w:pPr>
      <w:r>
        <w:rPr>
          <w:b/>
        </w:rPr>
        <w:t>Plazos y advertencias:</w:t>
      </w:r>
      <w:r>
        <w:t xml:space="preserve"> los particulares tienen derecho a ser indemnizados de toda lesión que sea consecuencia del funcionamiento normal o anormal de los servicios públicos, salvo fuerza mayor o daños que haya obligación de soportar (Ley 40/2015, art. 32.1); el daño ha de ser «efectivo, evaluable económicamente e individualizado» (art. 32.2). Se reclama a la Administración, no al funcionario (art. 36.1). El derecho prescribe al año del hecho o de que se manifieste su efecto (Ley 39/2015, art. 67.1). Si en seis meses no hay resolución, puede entenderse desestimada (art. 91.3) y queda la vía contencioso-administrativa. </w:t>
      </w:r>
      <w:r>
        <w:t>[36.00-23.4]</w:t>
      </w:r>
    </w:p>
    <w:p>
      <w:r>
        <w:rPr>
          <w:b/>
        </w:rPr>
        <w:t>Modelo para rellenar:</w:t>
      </w:r>
    </w:p>
    <w:p>
      <w:pPr>
        <w:pBdr>
          <w:left w:val="single" w:sz="18" w:space="8" w:color="E2DED6"/>
        </w:pBdr>
        <w:ind w:left="567" w:right="340"/>
      </w:pPr>
      <w:r>
        <w:rPr>
          <w:i/>
          <w:color w:val="6B665E"/>
        </w:rPr>
        <w:t xml:space="preserve">A </w:t>
      </w:r>
      <w:r>
        <w:rPr>
          <w:i/>
          <w:color w:val="6B665E"/>
        </w:rPr>
        <w:t>[Administración responsable del servicio]</w:t>
      </w:r>
    </w:p>
    <w:p>
      <w:pPr>
        <w:pBdr>
          <w:left w:val="single" w:sz="18" w:space="8" w:color="E2DED6"/>
        </w:pBdr>
        <w:ind w:left="567" w:right="340"/>
      </w:pPr>
      <w:r>
        <w:rPr>
          <w:i/>
          <w:color w:val="6B665E"/>
        </w:rPr>
        <w:t>[Nombre y apellidos], con DNI [número], y domicilio a efectos de notificaciones en [dirección], al amparo del artículo 32 de la Ley 40/2015 y del artículo 67 de la Ley 39/2015, presento</w:t>
      </w:r>
    </w:p>
    <w:p>
      <w:pPr>
        <w:pBdr>
          <w:left w:val="single" w:sz="18" w:space="8" w:color="E2DED6"/>
        </w:pBdr>
        <w:ind w:left="567" w:right="340"/>
      </w:pPr>
      <w:r>
        <w:rPr>
          <w:b/>
          <w:i/>
          <w:color w:val="6B665E"/>
        </w:rPr>
        <w:t>RECLAMACIÓN DE RESPONSABILIDAD PATRIMONIAL</w:t>
      </w:r>
    </w:p>
    <w:p>
      <w:pPr>
        <w:spacing w:after="60"/>
        <w:ind w:left="510" w:hanging="397"/>
      </w:pPr>
      <w:r>
        <w:rPr>
          <w:b w:val="0"/>
        </w:rPr>
        <w:t xml:space="preserve">1. </w:t>
      </w:r>
      <w:r>
        <w:t>Lesión producida: [qué daño se ha sufrido].</w:t>
      </w:r>
    </w:p>
    <w:p>
      <w:pPr>
        <w:spacing w:after="60"/>
        <w:ind w:left="510" w:hanging="397"/>
      </w:pPr>
      <w:r>
        <w:rPr>
          <w:b w:val="0"/>
        </w:rPr>
        <w:t xml:space="preserve">2. </w:t>
      </w:r>
      <w:r>
        <w:t>Relación de causalidad: [cómo el funcionamiento del servicio causó el daño].</w:t>
      </w:r>
    </w:p>
    <w:p>
      <w:pPr>
        <w:spacing w:after="60"/>
        <w:ind w:left="510" w:hanging="397"/>
      </w:pPr>
      <w:r>
        <w:rPr>
          <w:b w:val="0"/>
        </w:rPr>
        <w:t xml:space="preserve">3. </w:t>
      </w:r>
      <w:r>
        <w:t>Evaluación económica: [importe reclamado y cómo se calcula, si es posible].</w:t>
      </w:r>
    </w:p>
    <w:p>
      <w:pPr>
        <w:spacing w:after="60"/>
        <w:ind w:left="510" w:hanging="397"/>
      </w:pPr>
      <w:r>
        <w:rPr>
          <w:b w:val="0"/>
        </w:rPr>
        <w:t xml:space="preserve">4. </w:t>
      </w:r>
      <w:r>
        <w:t>Momento en que se produjo la lesión: [fecha].</w:t>
      </w:r>
    </w:p>
    <w:p>
      <w:pPr>
        <w:spacing w:after="60"/>
        <w:ind w:left="510" w:hanging="397"/>
      </w:pPr>
      <w:r>
        <w:rPr>
          <w:b w:val="0"/>
        </w:rPr>
        <w:t xml:space="preserve">5. </w:t>
      </w:r>
      <w:r>
        <w:t>Pruebas que propongo: [documentos, informes, testigos].</w:t>
      </w:r>
    </w:p>
    <w:p>
      <w:pPr>
        <w:pBdr>
          <w:left w:val="single" w:sz="18" w:space="8" w:color="E2DED6"/>
        </w:pBdr>
        <w:ind w:left="567" w:right="340"/>
      </w:pPr>
      <w:r>
        <w:rPr>
          <w:b/>
          <w:i/>
          <w:color w:val="6B665E"/>
        </w:rPr>
        <w:t>SOLICITO</w:t>
      </w:r>
      <w:r>
        <w:rPr>
          <w:i/>
          <w:color w:val="6B665E"/>
        </w:rPr>
        <w:t xml:space="preserve"> que se reconozca la responsabilidad de la Administración y se me indemnice en la cantidad indicada.</w:t>
      </w:r>
    </w:p>
    <w:p>
      <w:pPr>
        <w:pBdr>
          <w:left w:val="single" w:sz="18" w:space="8" w:color="E2DED6"/>
        </w:pBdr>
        <w:ind w:left="567" w:right="340"/>
      </w:pPr>
      <w:r>
        <w:rPr>
          <w:i/>
          <w:color w:val="6B665E"/>
        </w:rPr>
        <w:t xml:space="preserve">En [lugar], a [fecha]. Firma: </w:t>
      </w:r>
      <w:r>
        <w:rPr>
          <w:i/>
          <w:color w:val="6B665E"/>
        </w:rPr>
        <w:t>[firma]</w:t>
      </w:r>
    </w:p>
    <w:p>
      <w:r>
        <w:t>[36.00-23.5 a 23.16]</w:t>
      </w:r>
    </w:p>
    <w:p>
      <w:r>
        <w:rPr>
          <w:b/>
        </w:rPr>
        <w:t>La respuesta probable de la Administración:</w:t>
      </w:r>
      <w:r>
        <w:t xml:space="preserve"> que el daño es de los que el ciudadano «tiene el deber jurídico de soportar», que no hay relación de causalidad, que ha prescrito, o el silencio a los seis meses. </w:t>
      </w:r>
      <w:r>
        <w:t>[36.00-23.17]</w:t>
      </w:r>
    </w:p>
    <w:p>
      <w:r>
        <w:rPr>
          <w:i/>
        </w:rPr>
        <w:t>La respuesta de la obra:</w:t>
      </w:r>
    </w:p>
    <w:p>
      <w:pPr>
        <w:spacing w:after="60"/>
        <w:ind w:left="510" w:hanging="397"/>
      </w:pPr>
      <w:r>
        <w:rPr>
          <w:b w:val="0"/>
        </w:rPr>
        <w:t xml:space="preserve">1. </w:t>
      </w:r>
      <w:r>
        <w:t>El daño tiene que ser efectivo, evaluable e individualizado</w:t>
      </w:r>
      <w:r>
        <w:t xml:space="preserve"> (Ley 40/2015, art. 32.2)</w:t>
      </w:r>
      <w:r>
        <w:t>: documentarlo desde el primer día y presentar la reclamación antes de que pase un año</w:t>
      </w:r>
      <w:r>
        <w:t xml:space="preserve"> (Ley 39/2015, art. 67.1)</w:t>
      </w:r>
      <w:r>
        <w:t>.</w:t>
      </w:r>
    </w:p>
    <w:p>
      <w:pPr>
        <w:spacing w:after="60"/>
        <w:ind w:left="510" w:hanging="397"/>
      </w:pPr>
      <w:r>
        <w:rPr>
          <w:b w:val="0"/>
        </w:rPr>
        <w:t xml:space="preserve">2. </w:t>
      </w:r>
      <w:r>
        <w:t>Con sinceridad: la anulación de un acto no da por sí sola derecho a indemnización</w:t>
      </w:r>
      <w:r>
        <w:t xml:space="preserve"> (Ley 40/2015, art. 32.1)</w:t>
      </w:r>
      <w:r>
        <w:t>; hay que probar el daño y la relación con el servicio.</w:t>
      </w:r>
    </w:p>
    <w:p>
      <w:pPr>
        <w:spacing w:after="60"/>
        <w:ind w:left="510" w:hanging="397"/>
      </w:pPr>
      <w:r>
        <w:rPr>
          <w:b w:val="0"/>
        </w:rPr>
        <w:t xml:space="preserve">3. </w:t>
      </w:r>
      <w:r>
        <w:t>Si a los seis meses no hay resolución, se entiende desestimada</w:t>
      </w:r>
      <w:r>
        <w:t xml:space="preserve"> (Ley 39/2015, art. 91.3)</w:t>
      </w:r>
      <w:r>
        <w:t xml:space="preserve"> y queda la vía contencioso-administrativa; la respuesta, o el silencio, se archivan en el Registro (</w:t>
      </w:r>
      <w:r>
        <w:t>10.8</w:t>
      </w:r>
      <w:r>
        <w:t>).</w:t>
      </w:r>
    </w:p>
    <w:p>
      <w:r>
        <w:t>[36.00-24.1 a 24.3]</w:t>
      </w:r>
    </w:p>
    <w:p>
      <w:pPr>
        <w:pStyle w:val="Heading2"/>
      </w:pPr>
      <w:r>
        <w:t>D.13 La relación de presunciones</w:t>
      </w:r>
    </w:p>
    <w:p>
      <w:pPr>
        <w:pBdr>
          <w:left w:val="single" w:sz="24" w:space="6" w:color="E2DED6"/>
        </w:pBdr>
        <w:shd w:val="clear" w:color="auto" w:fill="F1EEE8"/>
        <w:spacing w:before="80" w:after="160"/>
        <w:ind w:left="142" w:right="142"/>
      </w:pPr>
      <w:r>
        <w:rPr>
          <w:b/>
        </w:rPr>
        <w:t xml:space="preserve">La idea: todas las presunciones en que se sostiene la autoridad del Estado sobre la persona, en una sola relación que se adjunta al </w:t>
      </w:r>
      <w:r>
        <w:rPr>
          <w:b/>
        </w:rPr>
        <w:t>D.9</w:t>
      </w:r>
      <w:r>
        <w:rPr>
          <w:b/>
        </w:rPr>
        <w:t>: primero las que la ley escribe; después, las que ninguna ley escribe y se sostienen en la creencia y el consentimiento.</w:t>
      </w:r>
    </w:p>
    <w:p>
      <w:r>
        <w:t xml:space="preserve">Cómo se lee: es un documento para adjuntar, en lenguaje jurídico. Cada línea nombra la presunción, la norma donde está escrita con sus palabras, o dónde la explica esta obra, y pide su fundamento. Por qué cada una es una presunción, y lo que dicen frente a ellas los textos sagrados, está en el edificio de </w:t>
      </w:r>
      <w:r>
        <w:t>5.2</w:t>
      </w:r>
      <w:r>
        <w:t xml:space="preserve"> y en los cargos del juicio (</w:t>
      </w:r>
      <w:r>
        <w:t>11.3</w:t>
      </w:r>
      <w:r>
        <w:t xml:space="preserve">); aquí no se repite. Cada presunción lleva entre paréntesis el apartado de la obra que la explica; en el escrito que se presente, esos paréntesis se quitan. </w:t>
      </w:r>
      <w:r>
        <w:t>[parlamento con Kiko, 7-oct-2026]</w:t>
      </w:r>
    </w:p>
    <w:p>
      <w:pPr>
        <w:pStyle w:val="Heading3"/>
      </w:pPr>
      <w:r>
        <w:t>Primera parte. Lo que la ley presume</w:t>
      </w:r>
    </w:p>
    <w:p>
      <w:r>
        <w:t xml:space="preserve">Para cada una, se pide: </w:t>
      </w:r>
      <w:r>
        <w:rPr>
          <w:b/>
        </w:rPr>
        <w:t>el hecho demostrado o admitido del que parte respecto de mi persona, y el documento que lo acredita.</w:t>
      </w:r>
    </w:p>
    <w:p>
      <w:pPr>
        <w:spacing w:after="60"/>
        <w:ind w:left="510" w:hanging="397"/>
      </w:pPr>
      <w:r>
        <w:rPr>
          <w:b w:val="0"/>
        </w:rPr>
        <w:t xml:space="preserve">1. </w:t>
      </w:r>
      <w:r>
        <w:rPr>
          <w:b/>
        </w:rPr>
        <w:t>La validez de los actos.</w:t>
      </w:r>
      <w:r>
        <w:t xml:space="preserve"> Los actos de las Administraciones Públicas sujetos al Derecho Administrativo «se presumirán válidos y producirán efectos desde la fecha en que se dicten»</w:t>
      </w:r>
      <w:r>
        <w:t xml:space="preserve"> (Ley 39/2015, art. 39.1)</w:t>
      </w:r>
      <w:r>
        <w:br/>
      </w:r>
      <w:r>
        <w:rPr>
          <w:b/>
        </w:rPr>
        <w:t>leída en su fuente · Ley 39/2015, art. 39.1</w:t>
      </w:r>
      <w:r>
        <w:br/>
      </w:r>
      <w:r>
        <w:rPr>
          <w:b/>
        </w:rPr>
        <w:t>Archivo leído:</w:t>
      </w:r>
      <w:r>
        <w:t xml:space="preserve"> c5 (ídem) (ant\c1\l39.html) · contraste del archivo de pasajes: ✔</w:t>
      </w:r>
      <w:r>
        <w:br/>
      </w:r>
      <w:r>
        <w:rPr>
          <w:b/>
        </w:rPr>
        <w:t>Lugar:</w:t>
      </w:r>
      <w:r>
        <w:t xml:space="preserve"> Art. 39.1</w:t>
      </w:r>
      <w:r>
        <w:br/>
      </w:r>
      <w:r>
        <w:rPr>
          <w:b/>
        </w:rPr>
        <w:t>Tal como está en la fuente:</w:t>
      </w:r>
      <w:r>
        <w:t xml:space="preserve"> se presumirán válidos y producirán efectos desde la fecha en que se dicten</w:t>
      </w:r>
      <w:r>
        <w:t>; en los municipios, provincias e islas, la ley les reconoce «La presunción de legitimidad y la ejecutividad de sus actos»</w:t>
      </w:r>
      <w:r>
        <w:t xml:space="preserve"> (Ley 7/1985, de Bases del Régimen Local, art. 4.1.e)</w:t>
      </w:r>
      <w:r>
        <w:br/>
      </w:r>
      <w:r>
        <w:rPr>
          <w:b/>
        </w:rPr>
        <w:t>leída en su fuente · Ley 7/1985, de Bases del Régimen Local, art. 4.1.e</w:t>
      </w:r>
      <w:r>
        <w:br/>
      </w:r>
      <w:r>
        <w:rPr>
          <w:b/>
        </w:rPr>
        <w:t>Archivo leído:</w:t>
      </w:r>
      <w:r>
        <w:t xml:space="preserve"> ley7_1985_bases_regimen_local.html (c10\ley7_1985_bases_regimen_local.html) · contraste del archivo de pasajes: ✔</w:t>
      </w:r>
      <w:r>
        <w:br/>
      </w:r>
      <w:r>
        <w:rPr>
          <w:b/>
        </w:rPr>
        <w:t>Lugar:</w:t>
      </w:r>
      <w:r>
        <w:t xml:space="preserve"> Ley 7/1985, de Bases del Régimen Local, art. 4.1.e</w:t>
      </w:r>
      <w:r>
        <w:br/>
      </w:r>
      <w:r>
        <w:rPr>
          <w:b/>
        </w:rPr>
        <w:t>Tal como está en la fuente:</w:t>
      </w:r>
      <w:r>
        <w:t xml:space="preserve"> La presunción de legitimidad y la ejecutividad de sus actos</w:t>
      </w:r>
      <w:r>
        <w:t>. (</w:t>
      </w:r>
      <w:r>
        <w:t>5.2</w:t>
      </w:r>
      <w:r>
        <w:t xml:space="preserve">, planta 4; </w:t>
      </w:r>
      <w:r>
        <w:t>cargo 20</w:t>
      </w:r>
      <w:r>
        <w:t>)</w:t>
      </w:r>
    </w:p>
    <w:p>
      <w:pPr>
        <w:spacing w:after="60"/>
        <w:ind w:left="510" w:hanging="397"/>
      </w:pPr>
      <w:r>
        <w:rPr>
          <w:b w:val="0"/>
        </w:rPr>
        <w:t xml:space="preserve">2. </w:t>
      </w:r>
      <w:r>
        <w:rPr>
          <w:b/>
        </w:rPr>
        <w:t>El cobro sin juez.</w:t>
      </w:r>
      <w:r>
        <w:t xml:space="preserve"> Esos actos «serán inmediatamente ejecutivos»</w:t>
      </w:r>
      <w:r>
        <w:t xml:space="preserve"> (Ley 39/2015, art. 98.1)</w:t>
      </w:r>
      <w:r>
        <w:br/>
      </w:r>
      <w:r>
        <w:rPr>
          <w:b/>
        </w:rPr>
        <w:t>leída en su fuente · art. 98.1</w:t>
      </w:r>
      <w:r>
        <w:br/>
      </w:r>
      <w:r>
        <w:rPr>
          <w:b/>
        </w:rPr>
        <w:t>Archivo leído:</w:t>
      </w:r>
      <w:r>
        <w:t xml:space="preserve"> ley39_2015_procedimiento.html (c5\ley39_2015_procedimiento.html) · contraste del archivo de pasajes: ✔</w:t>
      </w:r>
      <w:r>
        <w:br/>
      </w:r>
      <w:r>
        <w:rPr>
          <w:b/>
        </w:rPr>
        <w:t>Lugar:</w:t>
      </w:r>
      <w:r>
        <w:t xml:space="preserve"> Art. 98.1 (#a98)</w:t>
      </w:r>
      <w:r>
        <w:br/>
      </w:r>
      <w:r>
        <w:rPr>
          <w:b/>
        </w:rPr>
        <w:t>Dirección:</w:t>
      </w:r>
      <w:r>
        <w:t xml:space="preserve"> </w:t>
      </w:r>
      <w:r>
        <w:t>https://www.boe.es/buscar/act.php?id=BOE-A-2015-10565</w:t>
      </w:r>
      <w:r>
        <w:br/>
      </w:r>
      <w:r>
        <w:rPr>
          <w:b/>
        </w:rPr>
        <w:t>Tal como está en la fuente:</w:t>
      </w:r>
      <w:r>
        <w:t xml:space="preserve"> 1. Los actos de las Administraciones Públicas sujetos al Derecho Administrativo serán inmediatamente ejecutivos</w:t>
      </w:r>
      <w:r>
        <w:t>, y la Administración puede ejecutarlos por sí misma, previo apercibimiento</w:t>
      </w:r>
      <w:r>
        <w:t xml:space="preserve"> (ídem, art. 99)</w:t>
      </w:r>
      <w:r>
        <w:t>; la providencia de apremio «tendrá la misma fuerza ejecutiva que la sentencia judicial»</w:t>
      </w:r>
      <w:r>
        <w:t xml:space="preserve"> (Ley General Tributaria, art. 167.2)</w:t>
      </w:r>
      <w:r>
        <w:br/>
      </w:r>
      <w:r>
        <w:rPr>
          <w:b/>
        </w:rPr>
        <w:t>leída en su fuente · Ley General Tributaria, art. 167.2</w:t>
      </w:r>
      <w:r>
        <w:br/>
      </w:r>
      <w:r>
        <w:rPr>
          <w:b/>
        </w:rPr>
        <w:t>Archivo leído:</w:t>
      </w:r>
      <w:r>
        <w:t xml:space="preserve"> lgt_ley58_2003.html (c5\lgt_ley58_2003.html) · contraste del archivo de pasajes: ✔</w:t>
      </w:r>
      <w:r>
        <w:br/>
      </w:r>
      <w:r>
        <w:rPr>
          <w:b/>
        </w:rPr>
        <w:t>Lugar:</w:t>
      </w:r>
      <w:r>
        <w:t xml:space="preserve"> Ley General Tributaria, art. 167.2</w:t>
      </w:r>
      <w:r>
        <w:br/>
      </w:r>
      <w:r>
        <w:rPr>
          <w:b/>
        </w:rPr>
        <w:t>Tal como está en la fuente:</w:t>
      </w:r>
      <w:r>
        <w:t xml:space="preserve"> tendrá la misma fuerza ejecutiva que la sentencia judicial</w:t>
      </w:r>
      <w:r>
        <w:t>. (</w:t>
      </w:r>
      <w:r>
        <w:t>5.1</w:t>
      </w:r>
      <w:r>
        <w:t xml:space="preserve">, n.º 15; </w:t>
      </w:r>
      <w:r>
        <w:t>cargo 13</w:t>
      </w:r>
      <w:r>
        <w:t>)</w:t>
      </w:r>
    </w:p>
    <w:p>
      <w:pPr>
        <w:spacing w:after="60"/>
        <w:ind w:left="510" w:hanging="397"/>
      </w:pPr>
      <w:r>
        <w:rPr>
          <w:b w:val="0"/>
        </w:rPr>
        <w:t xml:space="preserve">3. </w:t>
      </w:r>
      <w:r>
        <w:rPr>
          <w:b/>
        </w:rPr>
        <w:t>La palabra de la autoridad hace prueba.</w:t>
      </w:r>
      <w:r>
        <w:t xml:space="preserve"> Los documentos de los funcionarios con condición de autoridad «harán prueba de éstos salvo que se acredite lo contrario»</w:t>
      </w:r>
      <w:r>
        <w:t xml:space="preserve"> (Ley 39/2015, art. 77.5)</w:t>
      </w:r>
      <w:r>
        <w:br/>
      </w:r>
      <w:r>
        <w:rPr>
          <w:b/>
        </w:rPr>
        <w:t>leída en su fuente · Ley 39/2015, art. 77.5</w:t>
      </w:r>
      <w:r>
        <w:br/>
      </w:r>
      <w:r>
        <w:rPr>
          <w:b/>
        </w:rPr>
        <w:t>Archivo leído:</w:t>
      </w:r>
      <w:r>
        <w:t xml:space="preserve"> l39.html (ant\c1\l39.html) · contraste del archivo de pasajes: ✔</w:t>
      </w:r>
      <w:r>
        <w:br/>
      </w:r>
      <w:r>
        <w:rPr>
          <w:b/>
        </w:rPr>
        <w:t>Lugar:</w:t>
      </w:r>
      <w:r>
        <w:t xml:space="preserve"> Ley 39/2015, art. 77.5</w:t>
      </w:r>
      <w:r>
        <w:br/>
      </w:r>
      <w:r>
        <w:rPr>
          <w:b/>
        </w:rPr>
        <w:t>Tal como está en la fuente:</w:t>
      </w:r>
      <w:r>
        <w:t xml:space="preserve"> harán prueba de éstos salvo que se acredite lo contrario</w:t>
      </w:r>
      <w:r>
        <w:t>; las denuncias de los agentes de tráfico «tendrán valor probatorio, salvo prueba en contrario»</w:t>
      </w:r>
      <w:r>
        <w:t xml:space="preserve"> (Ley de Tráfico, art. 88)</w:t>
      </w:r>
      <w:r>
        <w:br/>
      </w:r>
      <w:r>
        <w:rPr>
          <w:b/>
        </w:rPr>
        <w:t>leída en su fuente · Ley de Tráfico, art. 88</w:t>
      </w:r>
      <w:r>
        <w:br/>
      </w:r>
      <w:r>
        <w:rPr>
          <w:b/>
        </w:rPr>
        <w:t>Archivo leído:</w:t>
      </w:r>
      <w:r>
        <w:t xml:space="preserve"> BOE-A-2015-11722.xml (c9d\BOE-A-2015-11722.xml) · contraste del archivo de pasajes: ✔</w:t>
      </w:r>
      <w:r>
        <w:br/>
      </w:r>
      <w:r>
        <w:rPr>
          <w:b/>
        </w:rPr>
        <w:t>Lugar:</w:t>
      </w:r>
      <w:r>
        <w:t xml:space="preserve"> Ley de Tráfico, art. 88</w:t>
      </w:r>
      <w:r>
        <w:br/>
      </w:r>
      <w:r>
        <w:rPr>
          <w:b/>
        </w:rPr>
        <w:t>Tal como está en la fuente:</w:t>
      </w:r>
      <w:r>
        <w:t xml:space="preserve"> tendrán valor probatorio, salvo prueba en contrario</w:t>
      </w:r>
      <w:r>
        <w:t>; las actas de la inspección de los tributos «hacen prueba de los hechos que motiven su formalización, salvo que se acredite lo contrario»</w:t>
      </w:r>
      <w:r>
        <w:t xml:space="preserve"> (Ley General Tributaria, art. 144.1)</w:t>
      </w:r>
      <w:r>
        <w:br/>
      </w:r>
      <w:r>
        <w:rPr>
          <w:b/>
        </w:rPr>
        <w:t>leída en su fuente · Ley General Tributaria, art. 144.1</w:t>
      </w:r>
      <w:r>
        <w:br/>
      </w:r>
      <w:r>
        <w:rPr>
          <w:b/>
        </w:rPr>
        <w:t>Archivo leído:</w:t>
      </w:r>
      <w:r>
        <w:t xml:space="preserve"> c5 (ídem) (c5\lgt_ley58_2003.html) · contraste del archivo de pasajes: ✔</w:t>
      </w:r>
      <w:r>
        <w:br/>
      </w:r>
      <w:r>
        <w:rPr>
          <w:b/>
        </w:rPr>
        <w:t>Lugar:</w:t>
      </w:r>
      <w:r>
        <w:t xml:space="preserve"> Art. 107.1</w:t>
      </w:r>
      <w:r>
        <w:br/>
      </w:r>
      <w:r>
        <w:rPr>
          <w:b/>
        </w:rPr>
        <w:t>Tal como está en la fuente:</w:t>
      </w:r>
      <w:r>
        <w:t xml:space="preserve"> Las diligencias extendidas en el curso de las actuaciones y los procedimientos tributarios tienen naturaleza de documentos públicos y hacen prueba de los hechos que motiven su formalización, salvo que se acredite lo contrario.</w:t>
      </w:r>
      <w:r>
        <w:t>. (</w:t>
      </w:r>
      <w:r>
        <w:t>5.2</w:t>
      </w:r>
      <w:r>
        <w:t xml:space="preserve">, planta 4; </w:t>
      </w:r>
      <w:r>
        <w:t>cargo 21</w:t>
      </w:r>
      <w:r>
        <w:t>)</w:t>
      </w:r>
    </w:p>
    <w:p>
      <w:pPr>
        <w:spacing w:after="60"/>
        <w:ind w:left="510" w:hanging="397"/>
      </w:pPr>
      <w:r>
        <w:rPr>
          <w:b w:val="0"/>
        </w:rPr>
        <w:t xml:space="preserve">4. </w:t>
      </w:r>
      <w:r>
        <w:rPr>
          <w:b/>
        </w:rPr>
        <w:t>Lo que el ciudadano declara, cierto contra él.</w:t>
      </w:r>
      <w:r>
        <w:t xml:space="preserve"> Lo que consta en sus declaraciones «se presumen ciertos para ellos y sólo podrán rectificarse por los mismos mediante prueba en contrario»</w:t>
      </w:r>
      <w:r>
        <w:t xml:space="preserve"> (Ley General Tributaria, art. 108.4)</w:t>
      </w:r>
      <w:r>
        <w:br/>
      </w:r>
      <w:r>
        <w:rPr>
          <w:b/>
        </w:rPr>
        <w:t>leída en su fuente · Ley General Tributaria, art. 108.4</w:t>
      </w:r>
      <w:r>
        <w:br/>
      </w:r>
      <w:r>
        <w:rPr>
          <w:b/>
        </w:rPr>
        <w:t>Archivo leído:</w:t>
      </w:r>
      <w:r>
        <w:t xml:space="preserve"> lgt_ley58_2003.html (c5\lgt_ley58_2003.html) · contraste del archivo de pasajes: ✔</w:t>
      </w:r>
      <w:r>
        <w:br/>
      </w:r>
      <w:r>
        <w:rPr>
          <w:b/>
        </w:rPr>
        <w:t>Lugar:</w:t>
      </w:r>
      <w:r>
        <w:t xml:space="preserve"> Ley General Tributaria, art. 108.4</w:t>
      </w:r>
      <w:r>
        <w:br/>
      </w:r>
      <w:r>
        <w:rPr>
          <w:b/>
        </w:rPr>
        <w:t>Tal como está en la fuente:</w:t>
      </w:r>
      <w:r>
        <w:t xml:space="preserve"> se presumen ciertos para ellos y sólo podrán rectificarse por los mismos mediante prueba en contrario</w:t>
      </w:r>
      <w:r>
        <w:t>, y lo que acepta en un acta de inspección se presume cierto y solo puede rectificarse probando un error de hecho</w:t>
      </w:r>
      <w:r>
        <w:t xml:space="preserve"> (ídem, art. 144.2)</w:t>
      </w:r>
      <w:r>
        <w:t>.</w:t>
      </w:r>
    </w:p>
    <w:p>
      <w:pPr>
        <w:spacing w:after="60"/>
        <w:ind w:left="510" w:hanging="397"/>
      </w:pPr>
      <w:r>
        <w:rPr>
          <w:b w:val="0"/>
        </w:rPr>
        <w:t xml:space="preserve">5. </w:t>
      </w:r>
      <w:r>
        <w:rPr>
          <w:b/>
        </w:rPr>
        <w:t>El titular es quien figura en el registro.</w:t>
      </w:r>
      <w:r>
        <w:t xml:space="preserve"> Hacienda «podrá considerar como titular […] a quien figure como tal en un registro fiscal o en otros de carácter público, salvo prueba en contrario»</w:t>
      </w:r>
      <w:r>
        <w:t xml:space="preserve"> (ídem, art. 108.3)</w:t>
      </w:r>
      <w:r>
        <w:br/>
      </w:r>
      <w:r>
        <w:rPr>
          <w:b/>
        </w:rPr>
        <w:t>leída en su fuente · ídem, art. 108.3</w:t>
      </w:r>
      <w:r>
        <w:br/>
      </w:r>
      <w:r>
        <w:rPr>
          <w:b/>
        </w:rPr>
        <w:t>Archivo leído:</w:t>
      </w:r>
      <w:r>
        <w:t xml:space="preserve"> lgt_ley58_2003.html (c5\lgt_ley58_2003.html) · contraste del archivo de pasajes: ✔</w:t>
      </w:r>
      <w:r>
        <w:br/>
      </w:r>
      <w:r>
        <w:rPr>
          <w:b/>
        </w:rPr>
        <w:t>Lugar:</w:t>
      </w:r>
      <w:r>
        <w:t xml:space="preserve"> ídem, art. 108.3</w:t>
      </w:r>
      <w:r>
        <w:br/>
      </w:r>
      <w:r>
        <w:rPr>
          <w:b/>
        </w:rPr>
        <w:t>Tal como está en la fuente:</w:t>
      </w:r>
      <w:r>
        <w:t xml:space="preserve"> podrá considerar como titular […] a quien figure como tal en un registro fiscal o en otros de carácter público, salvo prueba en contrario</w:t>
      </w:r>
      <w:r>
        <w:t>.</w:t>
      </w:r>
    </w:p>
    <w:p>
      <w:pPr>
        <w:spacing w:after="60"/>
        <w:ind w:left="510" w:hanging="397"/>
      </w:pPr>
      <w:r>
        <w:rPr>
          <w:b w:val="0"/>
        </w:rPr>
        <w:t xml:space="preserve">6. </w:t>
      </w:r>
      <w:r>
        <w:rPr>
          <w:b/>
        </w:rPr>
        <w:t>La notificación dada por hecha.</w:t>
      </w:r>
      <w:r>
        <w:t xml:space="preserve"> La notificación electrónica obligatoria «se entenderá rechazada» a los diez días naturales sin acceder a ella</w:t>
      </w:r>
      <w:r>
        <w:t xml:space="preserve"> (Ley 39/2015, art. 43.2)</w:t>
      </w:r>
      <w:r>
        <w:t>, y la de tráfico publicada en el BOE se entenderá practicada a los veinte días naturales</w:t>
      </w:r>
      <w:r>
        <w:t xml:space="preserve"> (Ley de Tráfico, art. 91)</w:t>
      </w:r>
      <w:r>
        <w:t>.</w:t>
      </w:r>
    </w:p>
    <w:p>
      <w:pPr>
        <w:spacing w:after="60"/>
        <w:ind w:left="510" w:hanging="397"/>
      </w:pPr>
      <w:r>
        <w:rPr>
          <w:b w:val="0"/>
        </w:rPr>
        <w:t xml:space="preserve">7. </w:t>
      </w:r>
      <w:r>
        <w:rPr>
          <w:b/>
        </w:rPr>
        <w:t>El silencio que dice no.</w:t>
      </w:r>
      <w:r>
        <w:t xml:space="preserve"> En el derecho de petición, el silencio tiene efecto desestimatorio</w:t>
      </w:r>
      <w:r>
        <w:t xml:space="preserve"> (Ley 39/2015, art. 24.1)</w:t>
      </w:r>
      <w:r>
        <w:t>, y en el acceso a la información pública, la solicitud sin respuesta «se entenderá que […] ha sido desestimada»</w:t>
      </w:r>
      <w:r>
        <w:t xml:space="preserve"> (Ley 19/2013, art. 20.4)</w:t>
      </w:r>
      <w:r>
        <w:br/>
      </w:r>
      <w:r>
        <w:rPr>
          <w:b/>
        </w:rPr>
        <w:t>leída en su fuente · Ley 19/2013, art. 20.4</w:t>
      </w:r>
      <w:r>
        <w:br/>
      </w:r>
      <w:r>
        <w:rPr>
          <w:b/>
        </w:rPr>
        <w:t>Original donde está:</w:t>
      </w:r>
      <w:r>
        <w:t xml:space="preserve"> ley19_2013_transparencia.html</w:t>
      </w:r>
      <w:r>
        <w:br/>
      </w:r>
      <w:r>
        <w:t>El pasaje literal no está en el archivo de pasajes con este comienzo; la auditoría lo halló en ese original.</w:t>
      </w:r>
      <w:r>
        <w:t>. (</w:t>
      </w:r>
      <w:r>
        <w:t>10.4</w:t>
      </w:r>
      <w:r>
        <w:t>)</w:t>
      </w:r>
    </w:p>
    <w:p>
      <w:pPr>
        <w:spacing w:after="60"/>
        <w:ind w:left="510" w:hanging="397"/>
      </w:pPr>
      <w:r>
        <w:rPr>
          <w:b w:val="0"/>
        </w:rPr>
        <w:t xml:space="preserve">8. </w:t>
      </w:r>
      <w:r>
        <w:rPr>
          <w:b/>
        </w:rPr>
        <w:t>Todos conocen todas las leyes.</w:t>
      </w:r>
      <w:r>
        <w:t xml:space="preserve"> «La ignorancia de las leyes no excusa de su cumplimiento»</w:t>
      </w:r>
      <w:r>
        <w:t xml:space="preserve"> (Código Civil, art. 6.1)</w:t>
      </w:r>
      <w:r>
        <w:br/>
      </w:r>
      <w:r>
        <w:rPr>
          <w:b/>
        </w:rPr>
        <w:t>leída en su fuente · Código Civil, art. 6.1</w:t>
      </w:r>
      <w:r>
        <w:br/>
      </w:r>
      <w:r>
        <w:rPr>
          <w:b/>
        </w:rPr>
        <w:t>Archivo leído:</w:t>
      </w:r>
      <w:r>
        <w:t xml:space="preserve"> codigo_civil_1889.html (c5\codigo_civil_1889.html) · contraste del archivo de pasajes: ✔</w:t>
      </w:r>
      <w:r>
        <w:br/>
      </w:r>
      <w:r>
        <w:rPr>
          <w:b/>
        </w:rPr>
        <w:t>Lugar:</w:t>
      </w:r>
      <w:r>
        <w:t xml:space="preserve"> Art. 6.1 (#art6)</w:t>
      </w:r>
      <w:r>
        <w:br/>
      </w:r>
      <w:r>
        <w:rPr>
          <w:b/>
        </w:rPr>
        <w:t>Dirección:</w:t>
      </w:r>
      <w:r>
        <w:t xml:space="preserve"> </w:t>
      </w:r>
      <w:r>
        <w:t>https://www.boe.es/buscar/act.php?id=BOE-A-1889-4763</w:t>
      </w:r>
      <w:r>
        <w:br/>
      </w:r>
      <w:r>
        <w:rPr>
          <w:b/>
        </w:rPr>
        <w:t>Tal como está en la fuente:</w:t>
      </w:r>
      <w:r>
        <w:t xml:space="preserve"> 1. La ignorancia de las leyes no excusa de su cumplimiento. El error de derecho producirá únicamente</w:t>
      </w:r>
      <w:r>
        <w:t>, y solo en 2024 se aprobaron 894 normas nuevas (</w:t>
      </w:r>
      <w:r>
        <w:t>cargo 8</w:t>
      </w:r>
      <w:r>
        <w:t>). (</w:t>
      </w:r>
      <w:r>
        <w:t>5.2</w:t>
      </w:r>
      <w:r>
        <w:t>, planta 3)</w:t>
      </w:r>
    </w:p>
    <w:p>
      <w:r>
        <w:rPr>
          <w:b/>
        </w:rPr>
        <w:t>Lo que la ley presume a favor de la persona.</w:t>
      </w:r>
      <w:r>
        <w:t xml:space="preserve"> Las presunciones no juegan solo en una dirección, y el escrito las invoca:</w:t>
      </w:r>
    </w:p>
    <w:p>
      <w:pPr>
        <w:pStyle w:val="ListBullet"/>
      </w:pPr>
      <w:r>
        <w:t>Todos tienen derecho «a la presunción de inocencia»</w:t>
      </w:r>
      <w:r>
        <w:t xml:space="preserve"> (Constitución, art. 24.2)</w:t>
      </w:r>
      <w:r>
        <w:br/>
      </w:r>
      <w:r>
        <w:rPr>
          <w:b/>
        </w:rPr>
        <w:t>pasaje guardado</w:t>
      </w:r>
      <w:r>
        <w:br/>
      </w:r>
      <w:r>
        <w:rPr>
          <w:b/>
        </w:rPr>
        <w:t>Archivo leído:</w:t>
      </w:r>
      <w:r>
        <w:t xml:space="preserve"> ce.html (ant\c1\ce.html) · contraste del archivo de pasajes: ✔</w:t>
      </w:r>
      <w:r>
        <w:br/>
      </w:r>
      <w:r>
        <w:rPr>
          <w:b/>
        </w:rPr>
        <w:t>Lugar:</w:t>
      </w:r>
      <w:r>
        <w:t xml:space="preserve"> Constitución, art. 24.2</w:t>
      </w:r>
      <w:r>
        <w:br/>
      </w:r>
      <w:r>
        <w:rPr>
          <w:b/>
        </w:rPr>
        <w:t>Tal como está en la fuente:</w:t>
      </w:r>
      <w:r>
        <w:t xml:space="preserve"> a la presunción de inocencia</w:t>
      </w:r>
      <w:r>
        <w:t>, y en todo procedimiento sancionador, «a la presunción de no existencia de responsabilidad administrativa mientras no se demuestre lo contrario»</w:t>
      </w:r>
      <w:r>
        <w:t xml:space="preserve"> (Ley 39/2015, art. 53.2.b)</w:t>
      </w:r>
      <w:r>
        <w:br/>
      </w:r>
      <w:r>
        <w:rPr>
          <w:b/>
        </w:rPr>
        <w:t>leída en su fuente · Ley 39/2015, art. 53.2.b</w:t>
      </w:r>
      <w:r>
        <w:br/>
      </w:r>
      <w:r>
        <w:rPr>
          <w:b/>
        </w:rPr>
        <w:t>Archivo leído:</w:t>
      </w:r>
      <w:r>
        <w:t xml:space="preserve"> ley39_2015_procedimiento.html; 19.00_STC_18-1981_HJ.html; 19.00_STC_42-1989_HJ.html (c5\ley39_2015_procedimiento.html) · contraste del archivo de pasajes: ✔</w:t>
      </w:r>
      <w:r>
        <w:br/>
      </w:r>
      <w:r>
        <w:rPr>
          <w:b/>
        </w:rPr>
        <w:t>Lugar:</w:t>
      </w:r>
      <w:r>
        <w:t xml:space="preserve"> Art. 53.2.b</w:t>
      </w:r>
      <w:r>
        <w:br/>
      </w:r>
      <w:r>
        <w:rPr>
          <w:b/>
        </w:rPr>
        <w:t>Dirección:</w:t>
      </w:r>
      <w:r>
        <w:t xml:space="preserve"> </w:t>
      </w:r>
      <w:r>
        <w:t>https://www.boe.es/buscar/act.php?id=BOE-A-2015-10565</w:t>
      </w:r>
      <w:r>
        <w:t xml:space="preserve"> ; </w:t>
      </w:r>
      <w:r>
        <w:t>https://hj.tribunalconstitucional.es/es/Resolucion/Show/18</w:t>
      </w:r>
      <w:r>
        <w:t xml:space="preserve"> ; </w:t>
      </w:r>
      <w:r>
        <w:t>…/Show/1248</w:t>
      </w:r>
      <w:r>
        <w:br/>
      </w:r>
      <w:r>
        <w:rPr>
          <w:b/>
        </w:rPr>
        <w:t>Tal como está en la fuente:</w:t>
      </w:r>
      <w:r>
        <w:t xml:space="preserve"> A la presunción de no existencia de responsabilidad administrativa mientras no se demuestre lo contrario.</w:t>
      </w:r>
      <w:r>
        <w:t>.</w:t>
      </w:r>
    </w:p>
    <w:p>
      <w:pPr>
        <w:pStyle w:val="ListBullet"/>
      </w:pPr>
      <w:r>
        <w:t>«La buena fe se presume siempre, y al que afirma la mala fe de un poseedor corresponde la prueba»</w:t>
      </w:r>
      <w:r>
        <w:t xml:space="preserve"> (Código Civil, art. 434)</w:t>
      </w:r>
      <w:r>
        <w:br/>
      </w:r>
      <w:r>
        <w:rPr>
          <w:b/>
        </w:rPr>
        <w:t>leída en su fuente · Código Civil, art. 434</w:t>
      </w:r>
      <w:r>
        <w:br/>
      </w:r>
      <w:r>
        <w:rPr>
          <w:b/>
        </w:rPr>
        <w:t>Archivo leído:</w:t>
      </w:r>
      <w:r>
        <w:t xml:space="preserve"> …Codigo_Civil_consolidado.html (ant\c1\cc.html) · contraste del archivo de pasajes: ✔</w:t>
      </w:r>
      <w:r>
        <w:br/>
      </w:r>
      <w:r>
        <w:rPr>
          <w:b/>
        </w:rPr>
        <w:t>Lugar:</w:t>
      </w:r>
      <w:r>
        <w:t xml:space="preserve"> Art. 434</w:t>
      </w:r>
      <w:r>
        <w:br/>
      </w:r>
      <w:r>
        <w:rPr>
          <w:b/>
        </w:rPr>
        <w:t>Dirección:</w:t>
      </w:r>
      <w:r>
        <w:t xml:space="preserve"> </w:t>
      </w:r>
      <w:r>
        <w:t>https://www.boe.es/buscar/act.php?id=BOE-A-1889-4763#art434</w:t>
      </w:r>
      <w:r>
        <w:br/>
      </w:r>
      <w:r>
        <w:rPr>
          <w:b/>
        </w:rPr>
        <w:t>Tal como está en la fuente:</w:t>
      </w:r>
      <w:r>
        <w:t xml:space="preserve"> La buena fe se presume siempre, y al que afirma la mala fe de un poseedor corresponde la prueba.</w:t>
      </w:r>
      <w:r>
        <w:t xml:space="preserve"> (</w:t>
      </w:r>
      <w:r>
        <w:t>2.5</w:t>
      </w:r>
      <w:r>
        <w:t>).</w:t>
      </w:r>
    </w:p>
    <w:p>
      <w:pPr>
        <w:pStyle w:val="ListBullet"/>
      </w:pPr>
      <w:r>
        <w:t>En los procedimientos que inicia el interesado, la regla general es que el silencio da la razón: el vencimiento del plazo sin resolución le legitima «para entenderla estimada por silencio administrativo», salvo que una ley disponga otra cosa</w:t>
      </w:r>
      <w:r>
        <w:t xml:space="preserve"> (Ley 39/2015, art. 24.1)</w:t>
      </w:r>
      <w:r>
        <w:t>.</w:t>
      </w:r>
    </w:p>
    <w:p>
      <w:pPr>
        <w:pStyle w:val="ListBullet"/>
      </w:pPr>
      <w:r>
        <w:t>Toda presunción legal admite prueba en contrario, salvo que la ley lo prohíba expresamente</w:t>
      </w:r>
      <w:r>
        <w:t xml:space="preserve"> (Ley de Enjuiciamiento Civil, art. 385.3; Ley General Tributaria, art. 108.1)</w:t>
      </w:r>
      <w:r>
        <w:t>; y la que no establece ninguna norma solo vale si entre el hecho demostrado y el que se deduce «haya un enlace preciso y directo según las reglas del criterio humano»</w:t>
      </w:r>
      <w:r>
        <w:t xml:space="preserve"> (Ley General Tributaria, art. 108.2; Ley de Enjuiciamiento Civil, art. 386.1)</w:t>
      </w:r>
      <w:r>
        <w:br/>
      </w:r>
      <w:r>
        <w:rPr>
          <w:b/>
        </w:rPr>
        <w:t>leída en su fuente · Ley General Tributaria, art. 108.2; Ley de Enjuiciamiento Civil, art. 386.1</w:t>
      </w:r>
      <w:r>
        <w:br/>
      </w:r>
      <w:r>
        <w:rPr>
          <w:b/>
        </w:rPr>
        <w:t>Archivo leído:</w:t>
      </w:r>
      <w:r>
        <w:t xml:space="preserve"> lgt_ley58_2003.html (c5\lgt_ley58_2003.html) · contraste del archivo de pasajes: ✔</w:t>
      </w:r>
      <w:r>
        <w:br/>
      </w:r>
      <w:r>
        <w:rPr>
          <w:b/>
        </w:rPr>
        <w:t>Lugar:</w:t>
      </w:r>
      <w:r>
        <w:t xml:space="preserve"> Ley General Tributaria, art. 108.2; Ley de Enjuiciamiento Civil, art. 386.1</w:t>
      </w:r>
      <w:r>
        <w:br/>
      </w:r>
      <w:r>
        <w:rPr>
          <w:b/>
        </w:rPr>
        <w:t>Tal como está en la fuente:</w:t>
      </w:r>
      <w:r>
        <w:t xml:space="preserve"> haya un enlace preciso y directo según las reglas del criterio humano</w:t>
      </w:r>
      <w:r>
        <w:t>.</w:t>
      </w:r>
    </w:p>
    <w:p>
      <w:r>
        <w:t>[presunciones_en_leyes.py; leído hoy en local: Ley 39/2015, Ley 7/1985, Ley General Tributaria, Ley de Tráfico, Código Civil y Ley de Enjuiciamiento Civil; las 894 normas, del cargo 8]</w:t>
      </w:r>
    </w:p>
    <w:p>
      <w:pPr>
        <w:pStyle w:val="Heading3"/>
      </w:pPr>
      <w:r>
        <w:t>Segunda parte. La vacuna: lo que se cree sin prueba</w:t>
      </w:r>
    </w:p>
    <w:p>
      <w:r>
        <w:rPr>
          <w:b/>
        </w:rPr>
        <w:t>Lo que sostiene el poder: la creencia y el consentimiento.</w:t>
      </w:r>
      <w:r>
        <w:t xml:space="preserve"> Ninguna ley llama presunción a lo que sigue. Por eso no se pregunta «su presunción de…», sino </w:t>
      </w:r>
      <w:r>
        <w:rPr>
          <w:b/>
        </w:rPr>
        <w:t>en qué hecho demostrado se funda</w:t>
      </w:r>
      <w:r>
        <w:t xml:space="preserve"> cada cosa. Si hay hecho demostrado, se sostiene, y quien pregunta rectifica. Si no lo hay, es, con las palabras del diccionario jurídico, la aceptación de un hecho del que no se tiene prueba.</w:t>
      </w:r>
    </w:p>
    <w:p>
      <w:r>
        <w:rPr>
          <w:b/>
        </w:rPr>
        <w:t>El cimiento: el orden de las leyes y la voz.</w:t>
      </w:r>
    </w:p>
    <w:p>
      <w:pPr>
        <w:spacing w:after="60"/>
        <w:ind w:left="510" w:hanging="397"/>
      </w:pPr>
      <w:r>
        <w:rPr>
          <w:b w:val="0"/>
        </w:rPr>
        <w:t xml:space="preserve">1. </w:t>
      </w:r>
      <w:r>
        <w:rPr>
          <w:b/>
        </w:rPr>
        <w:t>El orden de las leyes.</w:t>
      </w:r>
      <w:r>
        <w:t xml:space="preserve"> El Código Civil sitúa la ley escrita por delante de la costumbre y de los principios generales del derecho: «La costumbre sólo regirá en defecto de ley aplicable»</w:t>
      </w:r>
      <w:r>
        <w:t xml:space="preserve"> (Código Civil, art. 1.3)</w:t>
      </w:r>
      <w:r>
        <w:br/>
      </w:r>
      <w:r>
        <w:rPr>
          <w:b/>
        </w:rPr>
        <w:t>leída en su fuente · Código Civil, art. 1.3</w:t>
      </w:r>
      <w:r>
        <w:br/>
      </w:r>
      <w:r>
        <w:rPr>
          <w:b/>
        </w:rPr>
        <w:t>Archivo leído:</w:t>
      </w:r>
      <w:r>
        <w:t xml:space="preserve"> codigo_civil_1889.html (c5\codigo_civil_1889.html) · contraste del archivo de pasajes: ✔</w:t>
      </w:r>
      <w:r>
        <w:br/>
      </w:r>
      <w:r>
        <w:rPr>
          <w:b/>
        </w:rPr>
        <w:t>Lugar:</w:t>
      </w:r>
      <w:r>
        <w:t xml:space="preserve"> Art. 1.3</w:t>
      </w:r>
      <w:r>
        <w:br/>
      </w:r>
      <w:r>
        <w:rPr>
          <w:b/>
        </w:rPr>
        <w:t>Dirección:</w:t>
      </w:r>
      <w:r>
        <w:t xml:space="preserve"> </w:t>
      </w:r>
      <w:r>
        <w:t>https://www.boe.es/buscar/act.php?id=BOE-A-1889-4763</w:t>
      </w:r>
      <w:r>
        <w:br/>
      </w:r>
      <w:r>
        <w:rPr>
          <w:b/>
        </w:rPr>
        <w:t>Tal como está en la fuente:</w:t>
      </w:r>
      <w:r>
        <w:t xml:space="preserve"> 3. La costumbre sólo regirá en defecto de ley aplicable, siempre que no sea contraria</w:t>
      </w:r>
      <w:r>
        <w:t>; la jerarquía termina en la Constitución</w:t>
      </w:r>
      <w:r>
        <w:t xml:space="preserve"> (Constitución, art. 9.1)</w:t>
      </w:r>
      <w:r>
        <w:t>, que reconoce derechos «inherentes» a la persona, anteriores a ella</w:t>
      </w:r>
      <w:r>
        <w:t xml:space="preserve"> (art. 10.1)</w:t>
      </w:r>
      <w:r>
        <w:t>; y «Ninguna confesión tendrá carácter estatal»</w:t>
      </w:r>
      <w:r>
        <w:t xml:space="preserve"> (art. 16.3)</w:t>
      </w:r>
      <w:r>
        <w:br/>
      </w:r>
      <w:r>
        <w:rPr>
          <w:b/>
        </w:rPr>
        <w:t>leída en su fuente · art. 16.3</w:t>
      </w:r>
      <w:r>
        <w:br/>
      </w:r>
      <w:r>
        <w:rPr>
          <w:b/>
        </w:rPr>
        <w:t>Archivo leído:</w:t>
      </w:r>
      <w:r>
        <w:t xml:space="preserve"> constitucion_1978.html (c5\constitucion_1978.html) · contraste del archivo de pasajes: ✔</w:t>
      </w:r>
      <w:r>
        <w:br/>
      </w:r>
      <w:r>
        <w:rPr>
          <w:b/>
        </w:rPr>
        <w:t>Lugar:</w:t>
      </w:r>
      <w:r>
        <w:t xml:space="preserve"> Art. 16.3 (#a16)</w:t>
      </w:r>
      <w:r>
        <w:br/>
      </w:r>
      <w:r>
        <w:rPr>
          <w:b/>
        </w:rPr>
        <w:t>Dirección:</w:t>
      </w:r>
      <w:r>
        <w:t xml:space="preserve"> </w:t>
      </w:r>
      <w:r>
        <w:t>https://www.boe.es/buscar/act.php?id=BOE-A-1978-31229</w:t>
      </w:r>
      <w:r>
        <w:br/>
      </w:r>
      <w:r>
        <w:rPr>
          <w:b/>
        </w:rPr>
        <w:t>Tal como está en la fuente:</w:t>
      </w:r>
      <w:r>
        <w:t xml:space="preserve"> 3. Ninguna confesión tendrá carácter estatal.</w:t>
      </w:r>
      <w:r>
        <w:t xml:space="preserve">, con lo que ninguna ley de Dios entra en el ordenamiento. Según el aforismo </w:t>
      </w:r>
      <w:r>
        <w:rPr>
          <w:i/>
        </w:rPr>
        <w:t>prior tempore potior iure</w:t>
      </w:r>
      <w:r>
        <w:t>, «Primero en el tiempo, preferido en el derecho»</w:t>
      </w:r>
      <w:r>
        <w:t xml:space="preserve"> (RAE, Diccionario panhispánico del español jurídico, «prior tempore potior iure»)</w:t>
      </w:r>
      <w:r>
        <w:br/>
      </w:r>
      <w:r>
        <w:rPr>
          <w:b/>
        </w:rPr>
        <w:t>leída en su fuente · RAE, Diccionario panhispánico del español jurídico, «prior tempore potior iure»</w:t>
      </w:r>
      <w:r>
        <w:br/>
      </w:r>
      <w:r>
        <w:rPr>
          <w:b/>
        </w:rPr>
        <w:t>Archivo leído:</w:t>
      </w:r>
      <w:r>
        <w:t xml:space="preserve"> dpej_prior-tempore-potior-iure.html (c9g\dpej_prior-tempore-potior-iure.html) · contraste del archivo de pasajes: ✔</w:t>
      </w:r>
      <w:r>
        <w:br/>
      </w:r>
      <w:r>
        <w:rPr>
          <w:b/>
        </w:rPr>
        <w:t>Lugar:</w:t>
      </w:r>
      <w:r>
        <w:t xml:space="preserve"> RAE, Diccionario panhispánico del español jurídico, «prior tempore potior iure»</w:t>
      </w:r>
      <w:r>
        <w:br/>
      </w:r>
      <w:r>
        <w:rPr>
          <w:b/>
        </w:rPr>
        <w:t>Tal como está en la fuente:</w:t>
      </w:r>
      <w:r>
        <w:t xml:space="preserve"> Primero en el tiempo, preferido en el derecho</w:t>
      </w:r>
      <w:r>
        <w:t>. ¿En qué hecho demostrado, y en qué título, se funda que la norma escrita, posterior en el tiempo, ocupe el primer lugar y prevalezca sobre la ley de Dios, la ley natural y la costumbre, anteriores a ella y por este orden? (</w:t>
      </w:r>
      <w:r>
        <w:t>1.1</w:t>
      </w:r>
      <w:r>
        <w:t xml:space="preserve">; </w:t>
      </w:r>
      <w:r>
        <w:t>5.2</w:t>
      </w:r>
      <w:r>
        <w:t>, planta 1; cargos 1 y 2)</w:t>
      </w:r>
    </w:p>
    <w:p>
      <w:pPr>
        <w:spacing w:after="60"/>
        <w:ind w:left="510" w:hanging="397"/>
      </w:pPr>
      <w:r>
        <w:rPr>
          <w:b w:val="0"/>
        </w:rPr>
        <w:t xml:space="preserve">2. </w:t>
      </w:r>
      <w:r>
        <w:rPr>
          <w:b/>
        </w:rPr>
        <w:t>Quién fijó ese orden.</w:t>
      </w:r>
      <w:r>
        <w:t xml:space="preserve"> La ley obliga a las autoridades y al personal a abstenerse cuando tienen en el asunto «interés personal»</w:t>
      </w:r>
      <w:r>
        <w:t xml:space="preserve"> (Ley 40/2015, art. 23)</w:t>
      </w:r>
      <w:r>
        <w:t>. ¿En qué se funda que quien legisla decida el rango de su propia ley? (</w:t>
      </w:r>
      <w:r>
        <w:t>1.7</w:t>
      </w:r>
      <w:r>
        <w:t>)</w:t>
      </w:r>
    </w:p>
    <w:p>
      <w:pPr>
        <w:spacing w:after="60"/>
        <w:ind w:left="510" w:hanging="397"/>
      </w:pPr>
      <w:r>
        <w:rPr>
          <w:b w:val="0"/>
        </w:rPr>
        <w:t xml:space="preserve">3. </w:t>
      </w:r>
      <w:r>
        <w:rPr>
          <w:b/>
        </w:rPr>
        <w:t>La voz.</w:t>
      </w:r>
      <w:r>
        <w:t xml:space="preserve"> La Administración actúa con personalidad jurídica (</w:t>
      </w:r>
      <w:r>
        <w:t>2.1</w:t>
      </w:r>
      <w:r>
        <w:t>). ¿En qué hecho demostrado se funda que una persona jurídica, sin cuerpo ni voz propios, ejerza autoridad sobre una persona física? ¿Quién habla cuando habla el Estado, y en virtud de qué consentimiento? (</w:t>
      </w:r>
      <w:r>
        <w:t>2.1</w:t>
      </w:r>
      <w:r>
        <w:t xml:space="preserve">; </w:t>
      </w:r>
      <w:r>
        <w:t>5.3</w:t>
      </w:r>
      <w:r>
        <w:t>)</w:t>
      </w:r>
    </w:p>
    <w:p>
      <w:r>
        <w:rPr>
          <w:b/>
        </w:rPr>
        <w:t>La creencia y el consentimiento.</w:t>
      </w:r>
    </w:p>
    <w:p>
      <w:pPr>
        <w:spacing w:after="60"/>
        <w:ind w:left="510" w:hanging="397"/>
      </w:pPr>
      <w:r>
        <w:rPr>
          <w:b w:val="0"/>
        </w:rPr>
        <w:t xml:space="preserve">1. </w:t>
      </w:r>
      <w:r>
        <w:rPr>
          <w:b/>
        </w:rPr>
        <w:t>La soberanía del pueblo.</w:t>
      </w:r>
      <w:r>
        <w:t xml:space="preserve"> «La soberanía nacional reside en el pueblo español, del que emanan los poderes del Estado»</w:t>
      </w:r>
      <w:r>
        <w:t xml:space="preserve"> (Constitución, art. 1.2)</w:t>
      </w:r>
      <w:r>
        <w:br/>
      </w:r>
      <w:r>
        <w:rPr>
          <w:b/>
        </w:rPr>
        <w:t>leída en su fuente · Constitución, art. 1.2</w:t>
      </w:r>
      <w:r>
        <w:br/>
      </w:r>
      <w:r>
        <w:rPr>
          <w:b/>
        </w:rPr>
        <w:t>Archivo leído:</w:t>
      </w:r>
      <w:r>
        <w:t xml:space="preserve"> constitucion_1978.html (c5\constitucion_1978.html) · contraste del archivo de pasajes: ✔</w:t>
      </w:r>
      <w:r>
        <w:br/>
      </w:r>
      <w:r>
        <w:rPr>
          <w:b/>
        </w:rPr>
        <w:t>Lugar:</w:t>
      </w:r>
      <w:r>
        <w:t xml:space="preserve"> Art. 1.2</w:t>
      </w:r>
      <w:r>
        <w:br/>
      </w:r>
      <w:r>
        <w:rPr>
          <w:b/>
        </w:rPr>
        <w:t>Dirección:</w:t>
      </w:r>
      <w:r>
        <w:t xml:space="preserve"> </w:t>
      </w:r>
      <w:r>
        <w:t>https://www.boe.es/buscar/act.php?id=BOE-A-1978-31229</w:t>
      </w:r>
      <w:r>
        <w:br/>
      </w:r>
      <w:r>
        <w:rPr>
          <w:b/>
        </w:rPr>
        <w:t>Tal como está en la fuente:</w:t>
      </w:r>
      <w:r>
        <w:t xml:space="preserve"> 2. La soberanía nacional reside en el pueblo español, del que emanan los poderes del Estado.</w:t>
      </w:r>
      <w:r>
        <w:t>. ¿En qué documento y en qué fecha consta mi consentimiento personal, más allá de la ratificación de la Constitución en el referéndum de 1978? (</w:t>
      </w:r>
      <w:r>
        <w:t>5.2</w:t>
      </w:r>
      <w:r>
        <w:t xml:space="preserve">, planta 2; </w:t>
      </w:r>
      <w:r>
        <w:t>cargo 3</w:t>
      </w:r>
      <w:r>
        <w:t>)</w:t>
      </w:r>
    </w:p>
    <w:p>
      <w:pPr>
        <w:spacing w:after="60"/>
        <w:ind w:left="510" w:hanging="397"/>
      </w:pPr>
      <w:r>
        <w:rPr>
          <w:b w:val="0"/>
        </w:rPr>
        <w:t xml:space="preserve">2. </w:t>
      </w:r>
      <w:r>
        <w:rPr>
          <w:b/>
        </w:rPr>
        <w:t>El contrato social.</w:t>
      </w:r>
      <w:r>
        <w:t xml:space="preserve"> ¿En qué documento consta el pacto que se me presume aceptado? (</w:t>
      </w:r>
      <w:r>
        <w:t>6.1</w:t>
      </w:r>
      <w:r>
        <w:t xml:space="preserve">; </w:t>
      </w:r>
      <w:r>
        <w:t>cargo 11</w:t>
      </w:r>
      <w:r>
        <w:t>)</w:t>
      </w:r>
    </w:p>
    <w:p>
      <w:pPr>
        <w:spacing w:after="60"/>
        <w:ind w:left="510" w:hanging="397"/>
      </w:pPr>
      <w:r>
        <w:rPr>
          <w:b w:val="0"/>
        </w:rPr>
        <w:t xml:space="preserve">3. </w:t>
      </w:r>
      <w:r>
        <w:rPr>
          <w:b/>
        </w:rPr>
        <w:t>La obligación heredada.</w:t>
      </w:r>
      <w:r>
        <w:t xml:space="preserve"> ¿En qué hecho demostrado se funda que acepto mis obligaciones con el Estado por el hecho de nacer? (</w:t>
      </w:r>
      <w:r>
        <w:t>5.4</w:t>
      </w:r>
      <w:r>
        <w:t xml:space="preserve">; </w:t>
      </w:r>
      <w:r>
        <w:t>cargo 16</w:t>
      </w:r>
      <w:r>
        <w:t>)</w:t>
      </w:r>
    </w:p>
    <w:p>
      <w:pPr>
        <w:spacing w:after="60"/>
        <w:ind w:left="510" w:hanging="397"/>
      </w:pPr>
      <w:r>
        <w:rPr>
          <w:b w:val="0"/>
        </w:rPr>
        <w:t xml:space="preserve">4. </w:t>
      </w:r>
      <w:r>
        <w:rPr>
          <w:b/>
        </w:rPr>
        <w:t>La representación.</w:t>
      </w:r>
      <w:r>
        <w:t xml:space="preserve"> ¿En qué se funda que el representante obedezca a quien le vota, si no está ligado por mandato imperativo? (</w:t>
      </w:r>
      <w:r>
        <w:t>5.1</w:t>
      </w:r>
      <w:r>
        <w:t xml:space="preserve">, n.º 17 y 18; </w:t>
      </w:r>
      <w:r>
        <w:t>cargo 6</w:t>
      </w:r>
      <w:r>
        <w:t>)</w:t>
      </w:r>
    </w:p>
    <w:p>
      <w:pPr>
        <w:spacing w:after="60"/>
        <w:ind w:left="510" w:hanging="397"/>
      </w:pPr>
      <w:r>
        <w:rPr>
          <w:b w:val="0"/>
        </w:rPr>
        <w:t xml:space="preserve">5. </w:t>
      </w:r>
      <w:r>
        <w:rPr>
          <w:b/>
        </w:rPr>
        <w:t>Lo legal es lo justo.</w:t>
      </w:r>
      <w:r>
        <w:t xml:space="preserve"> ¿En qué se funda que una norma sea justa por ser ley, cuando normas legales se han anulado años después sin devolver lo cobrado? (</w:t>
      </w:r>
      <w:r>
        <w:t>5.1</w:t>
      </w:r>
      <w:r>
        <w:t xml:space="preserve">; </w:t>
      </w:r>
      <w:r>
        <w:t>5.2</w:t>
      </w:r>
      <w:r>
        <w:t xml:space="preserve">, planta 1; </w:t>
      </w:r>
      <w:r>
        <w:t>cargo 7</w:t>
      </w:r>
      <w:r>
        <w:t>)</w:t>
      </w:r>
    </w:p>
    <w:p>
      <w:pPr>
        <w:spacing w:after="60"/>
        <w:ind w:left="510" w:hanging="397"/>
      </w:pPr>
      <w:r>
        <w:rPr>
          <w:b w:val="0"/>
        </w:rPr>
        <w:t xml:space="preserve">6. </w:t>
      </w:r>
      <w:r>
        <w:rPr>
          <w:b/>
        </w:rPr>
        <w:t>La fuerza.</w:t>
      </w:r>
      <w:r>
        <w:t xml:space="preserve"> ¿En qué consentimiento se funda la autoridad, si su origen fue, en casi todos los gobiernos, la usurpación o la conquista, como escribió Hume? (</w:t>
      </w:r>
      <w:r>
        <w:t>6.1</w:t>
      </w:r>
      <w:r>
        <w:t>)</w:t>
      </w:r>
    </w:p>
    <w:p>
      <w:pPr>
        <w:spacing w:after="60"/>
        <w:ind w:left="510" w:hanging="397"/>
      </w:pPr>
      <w:r>
        <w:rPr>
          <w:b w:val="0"/>
        </w:rPr>
        <w:t xml:space="preserve">7. </w:t>
      </w:r>
      <w:r>
        <w:rPr>
          <w:b/>
        </w:rPr>
        <w:t>La urgencia.</w:t>
      </w:r>
      <w:r>
        <w:t xml:space="preserve"> ¿En qué hecho demostrado se funda la urgencia de cada decreto-ley? (</w:t>
      </w:r>
      <w:r>
        <w:t>5.1</w:t>
      </w:r>
      <w:r>
        <w:t xml:space="preserve">, n.º 14; </w:t>
      </w:r>
      <w:r>
        <w:t>cargo 12</w:t>
      </w:r>
      <w:r>
        <w:t>)</w:t>
      </w:r>
    </w:p>
    <w:p>
      <w:pPr>
        <w:spacing w:after="60"/>
        <w:ind w:left="510" w:hanging="397"/>
      </w:pPr>
      <w:r>
        <w:rPr>
          <w:b w:val="0"/>
        </w:rPr>
        <w:t xml:space="preserve">8. </w:t>
      </w:r>
      <w:r>
        <w:rPr>
          <w:b/>
        </w:rPr>
        <w:t>La moneda y el ahorro.</w:t>
      </w:r>
      <w:r>
        <w:t xml:space="preserve"> ¿Por qué el dinero en que se me paga y se me cobra pierde su valor sin que nadie lo vote, y qué norma protege el valor de lo que ahorro? (</w:t>
      </w:r>
      <w:r>
        <w:t>5.1</w:t>
      </w:r>
      <w:r>
        <w:t xml:space="preserve">, n.º 10, 11 y 22; </w:t>
      </w:r>
      <w:r>
        <w:t>8.3</w:t>
      </w:r>
      <w:r>
        <w:t>; cargos 4, 17, 18 y 19)</w:t>
      </w:r>
    </w:p>
    <w:p>
      <w:pPr>
        <w:spacing w:after="60"/>
        <w:ind w:left="510" w:hanging="397"/>
      </w:pPr>
      <w:r>
        <w:rPr>
          <w:b w:val="0"/>
        </w:rPr>
        <w:t xml:space="preserve">9. </w:t>
      </w:r>
      <w:r>
        <w:rPr>
          <w:b/>
        </w:rPr>
        <w:t>La deuda y las generaciones.</w:t>
      </w:r>
      <w:r>
        <w:t xml:space="preserve"> ¿En virtud de qué consentimiento se compromete el pago de la deuda pública y de las pensiones futuras a cargo de quienes aún no han nacido? (</w:t>
      </w:r>
      <w:r>
        <w:t>5.1</w:t>
      </w:r>
      <w:r>
        <w:t>, n.º 24; cargos 9 y 14)</w:t>
      </w:r>
    </w:p>
    <w:p>
      <w:pPr>
        <w:spacing w:after="60"/>
        <w:ind w:left="510" w:hanging="397"/>
      </w:pPr>
      <w:r>
        <w:rPr>
          <w:b w:val="0"/>
        </w:rPr>
        <w:t xml:space="preserve">10. </w:t>
      </w:r>
      <w:r>
        <w:rPr>
          <w:b/>
        </w:rPr>
        <w:t>La hucha.</w:t>
      </w:r>
      <w:r>
        <w:t xml:space="preserve"> ¿En qué se funda que lo cotizado sea para la propia jubilación y que la hucha lo guarde? (</w:t>
      </w:r>
      <w:r>
        <w:t>5.1</w:t>
      </w:r>
      <w:r>
        <w:t xml:space="preserve">, n.º 1, 2, 6 y 8; </w:t>
      </w:r>
      <w:r>
        <w:t>cargo 15</w:t>
      </w:r>
      <w:r>
        <w:t>)</w:t>
      </w:r>
    </w:p>
    <w:p>
      <w:pPr>
        <w:spacing w:after="60"/>
        <w:ind w:left="510" w:hanging="397"/>
      </w:pPr>
      <w:r>
        <w:rPr>
          <w:b w:val="0"/>
        </w:rPr>
        <w:t xml:space="preserve">11. </w:t>
      </w:r>
      <w:r>
        <w:rPr>
          <w:b/>
        </w:rPr>
        <w:t>El Estado no quiebra.</w:t>
      </w:r>
      <w:r>
        <w:t xml:space="preserve"> ¿En qué se funda que el Estado se excluya a sí mismo del concurso que aplica a todos los demás? (</w:t>
      </w:r>
      <w:r>
        <w:t>5.1</w:t>
      </w:r>
      <w:r>
        <w:t xml:space="preserve">, n.º 7; </w:t>
      </w:r>
      <w:r>
        <w:t>cargo 5</w:t>
      </w:r>
      <w:r>
        <w:t>)</w:t>
      </w:r>
    </w:p>
    <w:p>
      <w:pPr>
        <w:spacing w:after="60"/>
        <w:ind w:left="510" w:hanging="397"/>
      </w:pPr>
      <w:r>
        <w:rPr>
          <w:b w:val="0"/>
        </w:rPr>
        <w:t xml:space="preserve">12. </w:t>
      </w:r>
      <w:r>
        <w:rPr>
          <w:b/>
        </w:rPr>
        <w:t>La información y el cumplimiento.</w:t>
      </w:r>
      <w:r>
        <w:t xml:space="preserve"> ¿En qué se funda que todo se publique, que la partida de «vejez» sean los jubilados que cotizaron y que el Estado cumpla lo que la Constitución promete? (</w:t>
      </w:r>
      <w:r>
        <w:t>5.1</w:t>
      </w:r>
      <w:r>
        <w:t>, n.º 20, 21 y 23; cargos 10, 22 y 23)</w:t>
      </w:r>
    </w:p>
    <w:p>
      <w:r>
        <w:t>[36.00-17.10 a 17.16, ampliados con el edificio de 5.2 y los cargos 1 a 23, por decisión de Kiko (7-oct); el art. 1.3 del Código Civil, leído hoy; la Ley 40/2015, art. 23, ya en 1.7; Hume, ya en 6.1; Max Weber, sin leer: no entra]</w:t>
      </w:r>
    </w:p>
    <w:p>
      <w:r>
        <w:rPr>
          <w:b/>
        </w:rPr>
        <w:t>Conclusión, lo que arrojan los datos:</w:t>
      </w:r>
      <w:r>
        <w:t xml:space="preserve"> las presunciones de la primera parte están escritas en la ley con sus palabras, y casi todas reparten la carga de la prueba del mismo lado: el Estado se presume válido y cierto, y es el ciudadano quien tiene que probar lo contrario. Las de la segunda parte no las escribe ninguna ley: se sostienen en que se crean. Y la propia ley dice que una presunción necesita un hecho de partida admitido o probado (Ley de Enjuiciamiento Civil, art. 385.1).</w:t>
      </w:r>
    </w:p>
    <w:p>
      <w:r>
        <w:rPr>
          <w:b/>
        </w:rPr>
        <w:t>Lectura del autor:</w:t>
      </w:r>
      <w:r>
        <w:t xml:space="preserve"> un ente sin aliento de vida no tiene voz propia: o se sostiene en la verdad objetiva y natural, o es fruto del padre de la mentira (Jn 8:44). ¿Cómo creer su palabra, cuando se pone por encima de la ley de Dios, de la ley natural y de la costumbre, que guardan los textos sagrados de las tradiciones (</w:t>
      </w:r>
      <w:r>
        <w:t>capítulo 3</w:t>
      </w:r>
      <w:r>
        <w:t>), y lo decide él mismo, cuando nadie debe ser juez en su propia causa (</w:t>
      </w:r>
      <w:r>
        <w:t>1.7</w:t>
      </w:r>
      <w:r>
        <w:t>)? Primero en el tiempo, preferido en el derecho: lo primero fue la ley de Dios. La ley humana ocupa el lugar de la ley de Dios, de la natural y de la costumbre, y lo usa como propio: es lo que el diccionario llama usurpar, «Arrogarse la dignidad, empleo u oficio de otro, y usarlos como si fueran propios»</w:t>
      </w:r>
      <w:r>
        <w:t xml:space="preserve"> (RAE, Diccionario de la lengua española, «usurpar», 2.ª acepción)</w:t>
      </w:r>
      <w:r>
        <w:br/>
      </w:r>
      <w:r>
        <w:rPr>
          <w:b/>
        </w:rPr>
        <w:t>pasaje guardado · RAE, Diccionario de la lengua española, «usurpar», 2.ª acepción</w:t>
      </w:r>
      <w:r>
        <w:br/>
      </w:r>
      <w:r>
        <w:rPr>
          <w:b/>
        </w:rPr>
        <w:t>Archivo leído:</w:t>
      </w:r>
      <w:r>
        <w:t xml:space="preserve"> DLE_RAE_usurpar.txt (d_botiquin\DLE_RAE_usurpar.txt) · contraste del archivo de pasajes: ✔</w:t>
      </w:r>
      <w:r>
        <w:br/>
      </w:r>
      <w:r>
        <w:rPr>
          <w:b/>
        </w:rPr>
        <w:t>Lugar:</w:t>
      </w:r>
      <w:r>
        <w:t xml:space="preserve"> 2.ª acepción</w:t>
      </w:r>
      <w:r>
        <w:br/>
      </w:r>
      <w:r>
        <w:rPr>
          <w:b/>
        </w:rPr>
        <w:t>Tal como está en la fuente:</w:t>
      </w:r>
      <w:r>
        <w:t xml:space="preserve"> Arrogarse la dignidad, empleo u oficio de otro, y usarlos como si fueran propios.</w:t>
      </w:r>
      <w:r>
        <w:t>; y arrogarse es, en el diccionario jurídico, «Apropiarse indebidamente de honores, títulos o derechos»</w:t>
      </w:r>
      <w:r>
        <w:t xml:space="preserve"> (RAE, Diccionario panhispánico del español jurídico, «arrogarse»)</w:t>
      </w:r>
      <w:r>
        <w:br/>
      </w:r>
      <w:r>
        <w:rPr>
          <w:b/>
        </w:rPr>
        <w:t>pasaje guardado · RAE, Diccionario panhispánico del español jurídico, «arrogarse»</w:t>
      </w:r>
      <w:r>
        <w:br/>
      </w:r>
      <w:r>
        <w:rPr>
          <w:b/>
        </w:rPr>
        <w:t>Archivo leído:</w:t>
      </w:r>
      <w:r>
        <w:t xml:space="preserve"> DPEJ_RAE_arrogarse.txt (d_botiquin\DPEJ_RAE_arrogarse.txt) · contraste del archivo de pasajes: ✔</w:t>
      </w:r>
      <w:r>
        <w:br/>
      </w:r>
      <w:r>
        <w:rPr>
          <w:b/>
        </w:rPr>
        <w:t>Tal como está en la fuente:</w:t>
      </w:r>
      <w:r>
        <w:t xml:space="preserve"> Apropiarse indebidamente de honores, títulos o derechos.</w:t>
      </w:r>
      <w:r>
        <w:t xml:space="preserve">. Y las dos palabras nacieron juntas: el primer diccionario del español, el de Nebrija, traduce «Presumir» por </w:t>
      </w:r>
      <w:r>
        <w:rPr>
          <w:i/>
        </w:rPr>
        <w:t>arrogo</w:t>
      </w:r>
      <w:r>
        <w:t xml:space="preserve">, arrogarse, y «Presuncion» por </w:t>
      </w:r>
      <w:r>
        <w:rPr>
          <w:i/>
        </w:rPr>
        <w:t>arrogantia</w:t>
      </w:r>
      <w:r>
        <w:t>, arrogancia</w:t>
      </w:r>
      <w:r>
        <w:t xml:space="preserve"> (Elio Antonio de Nebrija, Vocabulario español-latino, Salamanca, ¿1495?, hoja 159; NTLLE de la RAE)</w:t>
      </w:r>
      <w:r>
        <w:t xml:space="preserve"> [original: «Presumir. arrogo. as. insolesco. is.» / «Presuncion. arrogantia. ę. insolentia. ę.»]</w:t>
      </w:r>
      <w:r>
        <w:t>. El poder de uno solo vive de que muchos se lo den (</w:t>
      </w:r>
      <w:r>
        <w:t>4.1</w:t>
      </w:r>
      <w:r>
        <w:t xml:space="preserve">); el aliento que articula sus palabras es el que le prestan quienes creen en él y consienten. Por eso esta parte se llama la vacuna: quien sabe en qué se cree sin prueba ya no consiente sin saberlo. </w:t>
      </w:r>
      <w:r>
        <w:t>[Kiko, parlamento del 7-oct-2026; con la fórmula de la edición, glosario 9.1]</w:t>
      </w:r>
    </w:p>
    <w:p>
      <w:pPr>
        <w:pStyle w:val="Heading2"/>
      </w:pPr>
      <w:r>
        <w:t>Límite honesto de la prueba</w:t>
      </w:r>
    </w:p>
    <w:p>
      <w:pPr>
        <w:pStyle w:val="ListBullet"/>
      </w:pPr>
      <w:r>
        <w:t>Son modelos, no consejo legal para un caso concreto. Cada caso tiene sus hechos y sus plazos, y cuando hay dinero en juego conviene un abogado. No se puede correr antes de gatear (</w:t>
      </w:r>
      <w:r>
        <w:t>10.5</w:t>
      </w:r>
      <w:r>
        <w:t>).</w:t>
      </w:r>
    </w:p>
    <w:p>
      <w:pPr>
        <w:pStyle w:val="ListBullet"/>
      </w:pPr>
      <w:r>
        <w:t>Ninguno exime de una obligación vigente (Constitución, art. 9.1), y la constancia de no consentimiento (</w:t>
      </w:r>
      <w:r>
        <w:t>D.7</w:t>
      </w:r>
      <w:r>
        <w:t>) y la relación de presunciones (</w:t>
      </w:r>
      <w:r>
        <w:t>D.13</w:t>
      </w:r>
      <w:r>
        <w:t>) no producen efectos legales por sí mismas: su valor es documental.</w:t>
      </w:r>
    </w:p>
    <w:p>
      <w:pPr>
        <w:pStyle w:val="ListBullet"/>
      </w:pPr>
      <w:r>
        <w:t>La presunción de validez de los actos no nace, para el Derecho, del consentimiento de cada persona, sino de la ley que la establece; la Administración lo contestará así. Lo que el escrito consigue es que esa respuesta quede por escrito.</w:t>
      </w:r>
    </w:p>
    <w:p>
      <w:pPr>
        <w:pStyle w:val="ListBullet"/>
      </w:pPr>
      <w:r>
        <w:t>La Ley de Enjuiciamiento Civil rige los procesos civiles y solo suple a las demás leyes en lo que no regulen (art. 4); el procedimiento administrativo tiene sus propias reglas (Ley 39/2015). El D.9 la cita por su definición de la presunción, no como la norma que rige el expediente.</w:t>
      </w:r>
    </w:p>
    <w:p>
      <w:pPr>
        <w:pStyle w:val="ListBullet"/>
      </w:pPr>
      <w:r>
        <w:t xml:space="preserve">El aforismo </w:t>
      </w:r>
      <w:r>
        <w:rPr>
          <w:i/>
        </w:rPr>
        <w:t>prior tempore potior iure</w:t>
      </w:r>
      <w:r>
        <w:t xml:space="preserve"> resuelve en Derecho conflictos entre derechos, no entre una persona y la ley; y la regla de las leyes es la contraria: la posterior deroga a la anterior</w:t>
      </w:r>
      <w:r>
        <w:t xml:space="preserve"> (Código Civil, art. 2.2)</w:t>
      </w:r>
      <w:r>
        <w:t>. Va solo como pregunta.</w:t>
      </w:r>
    </w:p>
    <w:p>
      <w:pPr>
        <w:pStyle w:val="ListBullet"/>
      </w:pPr>
      <w:r>
        <w:t>La petición de motivación extensa probablemente se inadmitirá por tratar «cuestiones generales». Su fuerza no es ganar, sino dejar constancia de qué se responde y qué se calla.</w:t>
      </w:r>
    </w:p>
    <w:p>
      <w:pPr>
        <w:pStyle w:val="Heading2"/>
      </w:pPr>
      <w:r>
        <w:t>La defensa del Estado</w:t>
      </w:r>
    </w:p>
    <w:p>
      <w:pPr>
        <w:pStyle w:val="ListBullet"/>
      </w:pPr>
      <w:r>
        <w:rPr>
          <w:b/>
        </w:rPr>
        <w:t>Los cauces ya existen, y funcionan.</w:t>
      </w:r>
      <w:r>
        <w:t xml:space="preserve"> El ordenamiento da al ciudadano la petición, el acceso a la información, los recursos, el Defensor del Pueblo y la reclamación de daños: este anexo usa sus propias leyes.</w:t>
      </w:r>
    </w:p>
    <w:p>
      <w:pPr>
        <w:pStyle w:val="ListBullet"/>
      </w:pPr>
      <w:r>
        <w:rPr>
          <w:b/>
        </w:rPr>
        <w:t>Sin la presunción de validez, nada funcionaría.</w:t>
      </w:r>
      <w:r>
        <w:t xml:space="preserve"> Si cada acto tuviera que probarse antes de surtir efecto, la Administración se pararía; por eso la ley lo presume, y por eso también admite prueba en contrario y recurso.</w:t>
      </w:r>
    </w:p>
    <w:p>
      <w:pPr>
        <w:pStyle w:val="ListBullet"/>
      </w:pPr>
      <w:r>
        <w:rPr>
          <w:b/>
        </w:rPr>
        <w:t>La autoridad nace de la Constitución, votada en referéndum, y de las elecciones</w:t>
      </w:r>
      <w:r>
        <w:t>, no de un contrato privado con cada persona.</w:t>
      </w:r>
    </w:p>
    <w:p>
      <w:pPr>
        <w:pStyle w:val="ListBullet"/>
      </w:pPr>
      <w:r>
        <w:rPr>
          <w:b/>
        </w:rPr>
        <w:t>Los escritos en serie colapsan a la Administración</w:t>
      </w:r>
      <w:r>
        <w:t xml:space="preserve"> y retrasan a quien de verdad necesita una respuesta.</w:t>
      </w:r>
    </w:p>
    <w:p>
      <w:r>
        <w:rPr>
          <w:i/>
        </w:rPr>
        <w:t>Los contrapuntos de la obra:</w:t>
      </w:r>
      <w:r>
        <w:t xml:space="preserve"> la obra concede que los cauces existen, y por eso los usa y no pide desobedecer. Pero pide lo que la ley ya obliga a dar: la norma, la resolución, la motivación y el hecho de partida de cada presunción; si existen, contestar cuesta una línea. El referéndum de 1978 no lo votaron quienes no tenían edad ni los nacidos después (</w:t>
      </w:r>
      <w:r>
        <w:t>5.2</w:t>
      </w:r>
      <w:r>
        <w:t xml:space="preserve">; </w:t>
      </w:r>
      <w:r>
        <w:t>cargo 3</w:t>
      </w:r>
      <w:r>
        <w:t>). Y cada modelo exige hechos concretos del propio asunto: no es un formulario para enviar en masa (</w:t>
      </w:r>
      <w:r>
        <w:t>10.4</w:t>
      </w:r>
      <w:r>
        <w:t>, respuesta 5).</w:t>
      </w:r>
    </w:p>
    <w:p>
      <w:pPr>
        <w:pStyle w:val="Heading2"/>
      </w:pPr>
      <w:r>
        <w:t>Dónde se oye la defensa del Estado</w:t>
      </w:r>
    </w:p>
    <w:p>
      <w:r>
        <w:t xml:space="preserve">En cada modelo, con su respuesta probable; las cinco respuestas al escrito de petición, en </w:t>
      </w:r>
      <w:r>
        <w:t>10.4</w:t>
      </w:r>
      <w:r>
        <w:t xml:space="preserve">; y cada presunción del </w:t>
      </w:r>
      <w:r>
        <w:t>D.13</w:t>
      </w:r>
      <w:r>
        <w:t>, con su defensa y su réplica, en los cargos 1 a 23 del juicio (</w:t>
      </w:r>
      <w:r>
        <w:t>11.3</w:t>
      </w:r>
      <w:r>
        <w:t>).</w:t>
      </w:r>
    </w:p>
    <w:p>
      <w:pPr>
        <w:pStyle w:val="Heading2"/>
      </w:pPr>
      <w:r>
        <w:t>Para recordar</w:t>
      </w:r>
    </w:p>
    <w:p>
      <w:pPr>
        <w:pStyle w:val="ListBullet"/>
      </w:pPr>
      <w:r>
        <w:t>Primero se pide; si callan, se exige que acrediten; si siguen callando, se recuerda la obligación de resolver. Cada escrito dice cuál es el siguiente.</w:t>
      </w:r>
    </w:p>
    <w:p>
      <w:pPr>
        <w:pStyle w:val="ListBullet"/>
      </w:pPr>
      <w:r>
        <w:t>El caso concreto, a quien tramita; los cimientos, a quien puede responder por ellos.</w:t>
      </w:r>
    </w:p>
    <w:p>
      <w:pPr>
        <w:pStyle w:val="ListBullet"/>
      </w:pPr>
      <w:r>
        <w:t>Una presunción es «Aceptación de un hecho del que no se tiene prueba y que se infiere de otro hecho demostrado». El escrito pide ese hecho.</w:t>
      </w:r>
    </w:p>
    <w:p>
      <w:pPr>
        <w:pStyle w:val="ListBullet"/>
      </w:pPr>
      <w:r>
        <w:t>La ley también presume a favor de la persona: la inocencia y la buena fe.</w:t>
      </w:r>
    </w:p>
    <w:p>
      <w:pPr>
        <w:pStyle w:val="ListBullet"/>
      </w:pPr>
      <w:r>
        <w:t>Copia sellada, plazo vigilado y, si hay dinero en juego, abogado.</w:t>
      </w:r>
    </w:p>
    <w:p>
      <w:pPr>
        <w:pStyle w:val="ListBullet"/>
      </w:pPr>
      <w:r>
        <w:t>Todo lo que se afirma se puede comprobar, y todo lo que se pide se puede conceder (</w:t>
      </w:r>
      <w:r>
        <w:t>10.4</w:t>
      </w:r>
      <w:r>
        <w:t>).</w:t>
      </w:r>
    </w:p>
    <w:p>
      <w:r>
        <w:br w:type="page"/>
      </w:r>
    </w:p>
    <w:p>
      <w:pPr>
        <w:pStyle w:val="Heading1"/>
      </w:pPr>
      <w:r>
        <w:t>Anexo E. Lo que se afirma sin documento</w:t>
      </w:r>
    </w:p>
    <w:p>
      <w:pPr>
        <w:spacing w:after="200"/>
      </w:pPr>
      <w:r>
        <w:rPr>
          <w:rFonts w:ascii="Segoe UI" w:hAnsi="Segoe UI" w:eastAsia="Segoe UI" w:cs="Segoe UI"/>
          <w:color w:val="6B665E"/>
          <w:sz w:val="17"/>
        </w:rPr>
        <w:t>Primera versión: 7 de octubre de 2026 · Última revisión: 12 de octubre de 2026 · Cambios anotados en el capítulo: 4 · Citas leídas en su fuente: 22</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(Kiko, chat de 08.18, 06:3x, pasado por 08.18 tal cual, a «¿das el sí a los nueve cambios de 07.6?»: «si»; borrador B13, el barrido de los cuantificadores vagos en las frases con dato): en «En pocas palabras» y en E.4, «quien sufre un daño reclama a la Administración, no (o nunca) al empleado» lleva su alcance, «por un servicio público» (Ley 40/2015, art. 36.1; 10.4). Ninguna otra palabra cambia. Cambio del 9-oct-2026 (fase de reparación; Kiko: «sí me gustaría que lo pusieras»): en E.1, «la sentencia más citada» deja de ser presunción: un estudio de la Alberta Law Review (Netolitzky, 2019, pág. 1186) cuenta 198 resoluciones canadienses que citan Meads y dice que CanLII la da como la más citada del Tribunal del Banco de la Reina de Alberta desde 2012; se quita lo de «cataloga con más detalle que ninguna otra», que el estudio no dice con esas palabras. Cambio del 9-oct-2026 (fase de reparación; Kiko: «Sí, corrígelos»): en E.2, la sentencia Class (D.D.C., 16-4-2014) no «rechazó expresamente cuatro teorías por su nombre»: rechazó la objeción de las mayúsculas («no encuentra apoyo en la ley») y descartó la del nombre comercial registrado y el Código de Comercio Uniforme por «no respaldada e irrelevante»; en E.3, la Cestui Que Vie Act 1666 no trata del arrendatario que se ausenta, sino de la persona por cuya vida se concedió el arrendamiento. Leídas las dos en su original; sin {presunción} en esos apartados. Cambio del 8-oct-2026 (parlamento sobre los mitos; Kiko: «sí a las tres, con tus recomendaciones» y el añadido del método de medir): el anexo pasa de «Los mitos del movimiento soberano» a «Lo que se afirma sin documento». Se quitan el nombre del grupo y las palabras «mito», «creencia falsa» y «sin verificar»; la excepción de los mitos queda sustituida por una regla general (libro de estilo §2): lo que no tiene documento es una presunción (0.4), se dice como afirmación y lleva la marca de presunción; se pide a quien la sostenga que aporte dónde nace. Se añade el método de medir (E.0). No cambia ningún dato ni ninguna cita. ESTADO: APROBADO por Kiko el 7-oct-2026 («sí a las dos»: el anexo y su forma, que vale para todos los anexos); sus marcas, en 04 CAPITULOS/marcas/marcas del anexo E.txt. Paso 3. Es el primero de los anexos. Sale de la pieza 09.00 (archivo congelado) y se traslada tal cual. Sin agentes ni descargas. HISTORIA, superada el 8-oct (véase la primera línea): EXCEPCIÓN DE LOS MITOS (Kiko, 7-oct, después de aprobarlo): «Referente al apartado de los mitos, no puedes borrarlo porque no exista información: lo refuta como que es un mito. Esta es la única excepción. En este apartado concreto no se borra nada, y no se verifica y no se le pone fuente […]. Porque los mitos no tienen fuente: por eso esos mitos son creencias falsas». Y: crear una marca nueva para esta situación, por si se repite. La marca es {mito} (libro de estilo §7): el texto va como lo dejó la pieza, y el lector le pone en los tres niveles la etiqueta «sin verificar». Repuesto con ella todo lo que había quedado fuera: la historia de la escritura romana (09.00-1.1), United States v. Rodney Class (1.2), las fuentes que nombró la pieza (1.3, 2.2, 3.2 y 4.5), lo que regula la ley inglesa de 1666 (2.1), que Meads sea la sentencia más citada (3.1) y Maine (4.4). Lo leído hoy en su original sigue con su fuente. Y (Kiko, 7-oct): explicar en el anexo que, buscada a fondo la fuente de cada creencia y no hallada, se catalogó como mito por ese motivo. Va en E.0, «Por qué se llaman mitos», y en «En pocas palabras», con lo que de verdad se buscó y se halló (las búsquedas de la pieza, 09.00-4.4 y 5.1; Bueker y Meads, leídos hoy). Y (Kiko, 7-oct): lo que la obra usa para desmontar los mitos tiene que apoyarse en algo. Sin romper el orden de trabajo (al redactar no se descarga), queda marcado con {mito} y apuntado para leer en su fuente en 05 FLECOS, sección 5: la escritura romana y la carolingia (con lo que Kiko recuerda: que se impuso por un criterio, quizá el de los monjes), Rodney Class, la ley de 1666, Maine y «la más citada». Al leerlo, pierde {mito} y lleva su fuente. Escrito en tres niveles y con remisiones enlazables.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Cifras: el anexo E no tiene ninguna en 16 CIFRAS POR MIRAR; cada número, en su fila o leído hoy (los 736 párrafos de Meads, c9k, entrada 15). Orden: Meads va primero, porque ahora sostiene también los mitos de las mayúsculas y del certificado de nacimiento (la pieza lo ponía en tercer lugar). Las traducciones de Meads y de Bueker son de la edición, con el original al lado. Leído hoy en su original (en local; libreta 75, 7 bis n.º 10): - Meads v. Meads, 2012 ABQB 571, de 18-9-2012 (Tribunal del Banco de la Reina de Alberta; c9h, copia de 2014 del archivo de Internet): ¶ 1, 42 a 44, 212, 323, 378, 435, 445, 507, 526, 536, 538, 541 y 736, y su apéndice A (pág. PDF 181). - Bueker v. Madison County, 2016 IL 120024 (Tribunal Supremo de Illinois; c9c): ¶ 1, 3, 4, 9, 16 y 26. - Del registro (con su pasaje): Meads, ¶ 1 y 736 (c9k, entradas 14 y 15); Bueker, ¶ 1 y 26 (c9c, entradas 62 a 64); Ley 40/2015, arts. 32 y 36 (c10; ya en 10.4). Hallado al escribir (sin errata para el 07): - 09.00-4.2: la fianza nombraba al condado como beneficiario, pero el Tribunal dice que por error: por ley, el beneficiario es «the People of the State of Illinois» (el pueblo del Estado de Illinois; ¶ 16), nunca los ciudadanos a título particular. Va así. - 09.00-4.4: el límite decía que no se había localizado ninguna sentencia que describiera el mito de las fianzas. Meads reproduce en su apéndice A el documento del litigante que exige a los funcionarios entregar «any and all surety bonds» (todas y cada una de las fianzas), y el juez dice de esos documentos que no tienen fuerza legal (¶ 526). No lo describe por su nombre, pero lo recoge: va así. - 09.00-1.2: United States v. Rodney Class no tiene fuente leída; lo sustituye Meads, leído: los tribunales canadienses rechazaron que haya diferencia legal entre un nombre en mayúsculas y en minúsculas (¶ 323), y la persona doble «no tiene efecto jurídico» (¶ 445). No entra: solo la cabecera de la pieza antigua (09.00-0.0: nombre, sello y fecha), que no es texto del anexo. Lo que 2.6 dice de la escritura romana y de la ley de 1666 queda cubierto por la excepción: ya no va al repaso final. Conceptos que usa, ya anclados: el movimiento soberano y sus mitos (2.6); la persona y la persona jurídica (2.1); la responsabilidad de la Administración y de su personal (10.4). Nuevo aquí: el fideicomiso, explicado al usarlo. Lo que no se repite: el riesgo penal en España y el patrón de los mitos están en 2.6 (09.00-5.1, 5.2 y 6.1); las defensas, en el juicio (09.00-7, capítulo 11).</w:t>
      </w:r>
    </w:p>
    <w:p>
      <w:pPr>
        <w:pBdr>
          <w:left w:val="single" w:sz="24" w:space="6" w:color="E2DED6"/>
        </w:pBdr>
        <w:shd w:val="clear" w:color="auto" w:fill="F1EEE8"/>
        <w:spacing w:before="80" w:after="160"/>
        <w:ind w:left="142" w:right="142"/>
      </w:pPr>
      <w:r>
        <w:rPr>
          <w:b/>
        </w:rPr>
        <w:t>En pocas palabras:</w:t>
      </w:r>
    </w:p>
    <w:p>
      <w:pPr>
        <w:pStyle w:val="ListBullet"/>
      </w:pPr>
      <w:r>
        <w:t>Este anexo da completos los casos que 2.6 resume: tres afirmaciones que circulan y la sentencia que mejor las describe.</w:t>
      </w:r>
    </w:p>
    <w:p>
      <w:pPr>
        <w:pStyle w:val="ListBullet"/>
      </w:pPr>
      <w:r>
        <w:t>Lo que aquí no lleva documento que lo avale es una presunción (</w:t>
      </w:r>
      <w:r>
        <w:t>0.4</w:t>
      </w:r>
      <w:r>
        <w:t>): no es verdadero ni falso, está sin probar. Esta obra no admite presunciones, y pide a quien las sostenga que aporte dónde nacen.</w:t>
      </w:r>
    </w:p>
    <w:p>
      <w:pPr>
        <w:pStyle w:val="ListBullet"/>
      </w:pPr>
      <w:r>
        <w:t>Un tribunal de Canadá estudió estas teorías en 2012 y las examinó una a una: la «persona doble» del nombre en mayúsculas «no tiene efecto jurídico».</w:t>
      </w:r>
    </w:p>
    <w:p>
      <w:pPr>
        <w:pStyle w:val="ListBullet"/>
      </w:pPr>
      <w:r>
        <w:t>El certificado de nacimiento no abre ninguna cuenta secreta: los tribunales lo han rechazado.</w:t>
      </w:r>
    </w:p>
    <w:p>
      <w:pPr>
        <w:pStyle w:val="ListBullet"/>
      </w:pPr>
      <w:r>
        <w:t>La fianza de algunos cargos públicos de Estados Unidos existe, pero el ciudadano particular no puede cobrarla.</w:t>
      </w:r>
    </w:p>
    <w:p>
      <w:pPr>
        <w:pStyle w:val="ListBullet"/>
      </w:pPr>
      <w:r>
        <w:t>En España, quien sufre un daño por un servicio público reclama a la Administración, no al empleado (</w:t>
      </w:r>
      <w:r>
        <w:t>10.4</w:t>
      </w:r>
      <w:r>
        <w:t>).</w:t>
      </w:r>
    </w:p>
    <w:p>
      <w:pPr>
        <w:pStyle w:val="Heading2"/>
      </w:pPr>
      <w:r>
        <w:t>E.0 Propósito</w:t>
      </w:r>
    </w:p>
    <w:p>
      <w:r>
        <w:t>Esta obra nació de la documentación que reúnen, en distintos países, muchas personas que defienden la soberanía de cada ser humano. Se comprobaron sus fuentes una por una. En lo esencial tienen razón: cada persona es dueña de sí misma y nadie lo es de otra (</w:t>
      </w:r>
      <w:r>
        <w:t>2.3</w:t>
      </w:r>
      <w:r>
        <w:t>). Pero algunas de las vías concretas que se difunden no tienen detrás ninguna ley ni sentencia que las avale, y los tribunales que las han examinado no las han admitido.</w:t>
      </w:r>
    </w:p>
    <w:p>
      <w:r>
        <w:rPr>
          <w:b/>
        </w:rPr>
        <w:t>Lo que no tiene documento es una presunción.</w:t>
      </w:r>
      <w:r>
        <w:t xml:space="preserve"> Todo lo que en este anexo no lleva documento que lo avale es una presunción: algo que se da por cierto sin haberlo probado (</w:t>
      </w:r>
      <w:r>
        <w:t>0.4</w:t>
      </w:r>
      <w:r>
        <w:t>). No es verdadero ni falso: está sin probar. Esta obra no admite presunciones, ni las del Estado (</w:t>
      </w:r>
      <w:r>
        <w:t>capítulo 5</w:t>
      </w:r>
      <w:r>
        <w:t>) ni las de nadie. A quien sostenga alguna se le pide una sola cosa: que aporte el documento donde nace, con su fuente, y se examinará con la misma vara. Entre tanto, la obra se queda solo con lo que da frutos reales.</w:t>
      </w:r>
    </w:p>
    <w:p>
      <w:r>
        <w:rPr>
          <w:b/>
        </w:rPr>
        <w:t>Cómo se cuenta cada caso.</w:t>
      </w:r>
      <w:r>
        <w:t xml:space="preserve"> Primero lo que se afirma, después el hecho real que se invoca como apoyo, y por último lo que dicen los tribunales, con sus palabras. Lo que esta edición ha leído en su original lleva su fuente; lo que no, lleva la etiqueta «presunción» y está apuntado para leerlo en su fuente. Y esta obra va construyendo un método de medir que descorre el velo entre lo que algo es y lo que aparenta ser, y que sirve en todos los estratos o niveles de percepción: también para esto.</w:t>
      </w:r>
    </w:p>
    <w:p>
      <w:r>
        <w:t>[Kiko, 8-oct-2026: la presunción y el método de medir; 09.00-0.1, 4.4 y 5.1]</w:t>
      </w:r>
    </w:p>
    <w:p>
      <w:r>
        <w:t>Este anexo dice:</w:t>
      </w:r>
    </w:p>
    <w:p>
      <w:pPr>
        <w:pStyle w:val="ListBullet"/>
      </w:pPr>
      <w:r>
        <w:rPr>
          <w:b/>
        </w:rPr>
        <w:t>E.1</w:t>
      </w:r>
      <w:r>
        <w:t xml:space="preserve"> la sentencia que reunió estas teorías;</w:t>
      </w:r>
    </w:p>
    <w:p>
      <w:pPr>
        <w:pStyle w:val="ListBullet"/>
      </w:pPr>
      <w:r>
        <w:rPr>
          <w:b/>
        </w:rPr>
        <w:t>E.2</w:t>
      </w:r>
      <w:r>
        <w:t xml:space="preserve"> el nombre en mayúsculas;</w:t>
      </w:r>
    </w:p>
    <w:p>
      <w:pPr>
        <w:pStyle w:val="ListBullet"/>
      </w:pPr>
      <w:r>
        <w:rPr>
          <w:b/>
        </w:rPr>
        <w:t>E.3</w:t>
      </w:r>
      <w:r>
        <w:t xml:space="preserve"> el certificado de nacimiento y la cuenta secreta;</w:t>
      </w:r>
    </w:p>
    <w:p>
      <w:pPr>
        <w:pStyle w:val="ListBullet"/>
      </w:pPr>
      <w:r>
        <w:rPr>
          <w:b/>
        </w:rPr>
        <w:t>E.4</w:t>
      </w:r>
      <w:r>
        <w:t xml:space="preserve"> y las fianzas de los cargos públicos.</w:t>
      </w:r>
    </w:p>
    <w:p>
      <w:r>
        <w:t>[09.00-0.1 y 6.1, ya en 2.6]</w:t>
      </w:r>
    </w:p>
    <w:p>
      <w:pPr>
        <w:pStyle w:val="Heading2"/>
      </w:pPr>
      <w:r>
        <w:t>E.1 Meads contra Meads: la sentencia que reunió estas teorías</w:t>
      </w:r>
    </w:p>
    <w:p>
      <w:pPr>
        <w:pBdr>
          <w:left w:val="single" w:sz="24" w:space="6" w:color="E2DED6"/>
        </w:pBdr>
        <w:shd w:val="clear" w:color="auto" w:fill="F1EEE8"/>
        <w:spacing w:before="80" w:after="160"/>
        <w:ind w:left="142" w:right="142"/>
      </w:pPr>
      <w:r>
        <w:rPr>
          <w:b/>
        </w:rPr>
        <w:t>La idea: un tribunal de Canadá reunió estas teorías en una sola sentencia y las examinó una a una.</w:t>
      </w:r>
    </w:p>
    <w:p>
      <w:r>
        <w:t>En 2012, en un pleito de familia, el juez J. D. Rooke, del Tribunal del Banco de la Reina de Alberta (Canadá)</w:t>
      </w:r>
      <w:r>
        <w:t xml:space="preserve"> [original: Court of Queen’s Bench of Alberta]</w:t>
      </w:r>
      <w:r>
        <w:t>, dictó una sentencia de 736 párrafos</w:t>
      </w:r>
      <w:r>
        <w:t xml:space="preserve"> (Meads v. Meads, 2012 ABQB 571, de 18-9-2012, ¶ 736)</w:t>
      </w:r>
      <w:r>
        <w:t>. En ella reúne a unos litigantes que se presentan con distintos nombres («no hay una lista cerrada»)</w:t>
      </w:r>
      <w:r>
        <w:t xml:space="preserve"> [original: «Freemen or Freemen-on-the-Land; Sovereign Men or Sovereign Citizens; […] and other labels - there is no closed list»]</w:t>
      </w:r>
      <w:r>
        <w:t>, y les da un nombre común, que es del juez y no de esta obra: litigantes del «argumento comercial pseudolegal organizado» (OPCA, por sus siglas en inglés)</w:t>
      </w:r>
      <w:r>
        <w:t xml:space="preserve"> [original: «In the absence of a better moniker, I have collectively labelled them as Organized Pseudolegal Commercial Argument litigants [“OPCA litigants”], to functionally define them collectively for what they literally are»]</w:t>
      </w:r>
      <w:r>
        <w:t xml:space="preserve"> (ídem, ¶ 1)</w:t>
      </w:r>
      <w:r>
        <w:br/>
      </w:r>
      <w:r>
        <w:rPr>
          <w:b/>
        </w:rPr>
        <w:t>leída en su fuente · ídem, ¶ 1</w:t>
      </w:r>
      <w:r>
        <w:br/>
      </w:r>
      <w:r>
        <w:rPr>
          <w:b/>
        </w:rPr>
        <w:t>Archivo leído:</w:t>
      </w:r>
      <w:r>
        <w:t xml:space="preserve"> meads_ablawg_2012_opca.html (c9h\meads_v_meads_2012ABQB571_albertacourts_wayback2014.pdf) · contraste del archivo de pasajes: ✔</w:t>
      </w:r>
      <w:r>
        <w:br/>
      </w:r>
      <w:r>
        <w:rPr>
          <w:b/>
        </w:rPr>
        <w:t>Lugar:</w:t>
      </w:r>
      <w:r>
        <w:t xml:space="preserve"> Meads v. Meads, 2012 ABQB 571 (18-IX-2012), pág. PDF 6, párr. [1]</w:t>
      </w:r>
      <w:r>
        <w:br/>
      </w:r>
      <w:r>
        <w:rPr>
          <w:b/>
        </w:rPr>
        <w:t>Tal como está en la fuente:</w:t>
      </w:r>
      <w:r>
        <w:t xml:space="preserve"> In the absence of a better moniker, I have collectively labelled them as Organized Pseudolegal Commercial Argument litigants [“OPCA litigants”], to functionally define them collectively for what they literally are.</w:t>
      </w:r>
      <w:r>
        <w:br/>
      </w:r>
      <w:r>
        <w:rPr>
          <w:b/>
        </w:rPr>
        <w:t>Traducción guardada:</w:t>
      </w:r>
      <w:r>
        <w:t xml:space="preserve"> a falta de un nombre mejor, los he denominado colectivamente litigantes del argumento comercial pseudolegal organizado, litigantes OPCA, para definirlos funcionalmente por lo que son</w:t>
      </w:r>
      <w:r>
        <w:t>.</w:t>
      </w:r>
    </w:p>
    <w:p>
      <w:r>
        <w:t>La sentencia examina las estrategias de estos litigantes una por una, y concluye que la naturaleza y la jurisdicción de los tribunales canadienses las derrotan todas, salvo los esquemas de «dinero a cambio de nada», que examina aparte</w:t>
      </w:r>
      <w:r>
        <w:t xml:space="preserve"> [original: «The nature and jurisdiction of Canadian courts, globally, defeats all the OPCA strategies and concepts identified and reviewed in these Reasons […]. The exceptions are the ‘money for nothing’ schemes that I will review at a later point.»]</w:t>
      </w:r>
      <w:r>
        <w:t xml:space="preserve"> (ídem, ¶ 378)</w:t>
      </w:r>
      <w:r>
        <w:t>. Uno de esos esquemas es el de E.3.</w:t>
      </w:r>
    </w:p>
    <w:p>
      <w:r>
        <w:t>De los papeles que le presentó el propio litigante, el juez dice: «Esto es, por supuesto, un disparate»; no tienen «fuerza ni sentido en derecho»</w:t>
      </w:r>
      <w:r>
        <w:t xml:space="preserve"> [original: «This is, of course, nonsense. As I have noted to Mr. Meads, these materials have no force or meaning in law»]</w:t>
      </w:r>
      <w:r>
        <w:t xml:space="preserve"> (ídem, ¶ 44)</w:t>
      </w:r>
      <w:r>
        <w:br/>
      </w:r>
      <w:r>
        <w:rPr>
          <w:b/>
        </w:rPr>
        <w:t>leída en su fuente · ídem, ¶ 44</w:t>
      </w:r>
      <w:r>
        <w:br/>
      </w:r>
      <w:r>
        <w:rPr>
          <w:b/>
        </w:rPr>
        <w:t>Archivo leído:</w:t>
      </w:r>
      <w:r>
        <w:t xml:space="preserve"> meads_v_meads_2012ABQB571_albertacourts_wayback2014.pdf (c9h\meads_v_meads_2012ABQB571_albertacourts_wayback2014.pdf) · contraste del archivo de pasajes: ✔</w:t>
      </w:r>
      <w:r>
        <w:br/>
      </w:r>
      <w:r>
        <w:rPr>
          <w:b/>
        </w:rPr>
        <w:t>Lugar:</w:t>
      </w:r>
      <w:r>
        <w:t xml:space="preserve"> ídem, ¶ 44</w:t>
      </w:r>
      <w:r>
        <w:br/>
      </w:r>
      <w:r>
        <w:rPr>
          <w:b/>
        </w:rPr>
        <w:t>Tal como está en la fuente:</w:t>
      </w:r>
      <w:r>
        <w:t xml:space="preserve"> This is, of course, nonsense. As I have noted to Mr. Meads, these materials have no force or meaning in law</w:t>
      </w:r>
      <w:r>
        <w:t>.</w:t>
      </w:r>
    </w:p>
    <w:p>
      <w:r>
        <w:t xml:space="preserve">Un estudio publicado en la Alberta Law Review cuenta que, en Canadá, </w:t>
      </w:r>
      <w:r>
        <w:rPr>
          <w:i/>
        </w:rPr>
        <w:t>Meads</w:t>
      </w:r>
      <w:r>
        <w:t xml:space="preserve"> ha sido citada en 198 sentencias y resoluciones de tribunales publicadas y respaldada por cinco tribunales de apelación canadienses</w:t>
      </w:r>
      <w:r>
        <w:t xml:space="preserve"> [original: «In Canada, Meads has been cited in 198 reported court and tribunal decisions, and endorsed by five Canadian Courts of Appeal»]</w:t>
      </w:r>
      <w:r>
        <w:t>, y que CanLII la da como la decisión más citada del Tribunal del Banco de la Reina de Alberta desde 2012</w:t>
      </w:r>
      <w:r>
        <w:t xml:space="preserve"> [original: «CanLII indicates Meads is the most cited post-2012 decision issued by the Alberta Court of Queen’s Bench»]</w:t>
      </w:r>
      <w:r>
        <w:t>. Fuera de Canadá, el mismo estudio dice que se acepta ampliamente en la Commonwealth: Reino Unido, Australia, Jersey, Irlanda, Nueva Zelanda, Irlanda del Norte y Escocia</w:t>
      </w:r>
      <w:r>
        <w:t xml:space="preserve"> [original: «Meads is broadly accepted throughout the Commonwealth: in the UK, Australia, Jersey, the Republic of Ireland, New Zealand, Northern Ireland, and Scotland»]</w:t>
      </w:r>
      <w:r>
        <w:t xml:space="preserve"> (Donald J. Netolitzky, «After the Hammer: Six Years of Meads v. Meads», Alberta Law Review 56:4 (2019), pág. 1186; fuente secundaria, académica)</w:t>
      </w:r>
      <w:r>
        <w:t>.</w:t>
      </w:r>
    </w:p>
    <w:p>
      <w:r>
        <w:t>Fuente leída hoy: Netolitzky, «After the Hammer: Six Years of Meads v. Meads», Alberta Law Review 56:4 (2019), págs. 1167 y siguientes (42 páginas; descargada de albertalawreview.com); la sentencia Meads, leída en local (c9h).</w:t>
      </w:r>
    </w:p>
    <w:p>
      <w:r>
        <w:t>[09.00-3.1 y 3.2; Meads, leído hoy en local (c9h), ¶ 1, 44, 378 y 736; lo de «la más citada», Netolitzky 2019, leído hoy en local (flecos_finales), pág. 1186]</w:t>
      </w:r>
    </w:p>
    <w:p>
      <w:pPr>
        <w:pStyle w:val="Heading2"/>
      </w:pPr>
      <w:r>
        <w:t>E.2 El nombre en mayúsculas</w:t>
      </w:r>
    </w:p>
    <w:p>
      <w:pPr>
        <w:pBdr>
          <w:left w:val="single" w:sz="24" w:space="6" w:color="E2DED6"/>
        </w:pBdr>
        <w:shd w:val="clear" w:color="auto" w:fill="F1EEE8"/>
        <w:spacing w:before="80" w:after="160"/>
        <w:ind w:left="142" w:right="142"/>
      </w:pPr>
      <w:r>
        <w:rPr>
          <w:b/>
        </w:rPr>
        <w:t>La idea: que el nombre en mayúsculas sea otra persona, a la que van las deudas, no tiene respaldo: los tribunales lo han rechazado y a cada persona le corresponde una sola identidad legal.</w:t>
      </w:r>
    </w:p>
    <w:p>
      <w:r>
        <w:rPr>
          <w:b/>
        </w:rPr>
        <w:t>Lo que se afirma.</w:t>
      </w:r>
      <w:r>
        <w:t xml:space="preserve"> La versión más extendida dice que escribir un nombre en mayúsculas («JUAN PÉREZ») crea una persona jurídica distinta de la persona real («Juan Pérez»), un «hombre de paja» al que se atribuyen las deudas y las obligaciones, con el argumento de que «en la Roma antigua ya se distinguía mayúscula de minúscula con ese propósito».</w:t>
      </w:r>
    </w:p>
    <w:p>
      <w:r>
        <w:rPr>
          <w:b/>
        </w:rPr>
        <w:t>El apoyo histórico que se invoca.</w:t>
      </w:r>
      <w:r>
        <w:t xml:space="preserve"> </w:t>
      </w:r>
      <w:r>
        <w:t>presunción</w:t>
      </w:r>
      <w:r>
        <w:t xml:space="preserve"> Se afirma que es un anacronismo: en la epigrafía y la literatura latina clásica solo existían las mayúsculas. La escritura minúscula no se inventa hasta finales del siglo III d. C. (sobre pergamino y papiro), y no se generaliza hasta la minúscula carolingia, en el siglo IX. No pudo existir nunca una distinción jurídica entre mayúsculas y minúsculas en una época en que solo había una forma de escribir.</w:t>
      </w:r>
    </w:p>
    <w:p>
      <w:r>
        <w:t>[09.00-1.1, entero; la historia de la escritura, presunción: sin leer en esta edición; por leer en su fuente, 05, sección 5]</w:t>
      </w:r>
    </w:p>
    <w:p>
      <w:r>
        <w:rPr>
          <w:b/>
        </w:rPr>
        <w:t>Lo que dicen los tribunales.</w:t>
      </w:r>
      <w:r>
        <w:t xml:space="preserve"> Meads la llama la estrategia de la «persona doble o dividida»: el nombre en mayúsculas sería «algún tipo de cosa no humana», y el nombre en minúsculas, el aspecto «de carne y hueso» del litigante</w:t>
      </w:r>
      <w:r>
        <w:t xml:space="preserve"> [original: «In brief, the capital letter version of the name is some kind of non-human thing, while the lower case name is the ‘flesh and blood’ aspect of the litigant»]</w:t>
      </w:r>
      <w:r>
        <w:t xml:space="preserve"> (Meads v. Meads, ¶ 212)</w:t>
      </w:r>
      <w:r>
        <w:t>. Recoge que los tribunales canadienses ya habían rechazado que haya diferencia legal entre un nombre escrito en mayúsculas y minúsculas y un nombre todo en mayúsculas</w:t>
      </w:r>
      <w:r>
        <w:t xml:space="preserve"> [original: «there is no legal distinction between a name in upper case and lower case letters, and a name all in capital letters»]</w:t>
      </w:r>
      <w:r>
        <w:t xml:space="preserve"> (ídem, ¶ 323, con las sentencias que cita)</w:t>
      </w:r>
      <w:r>
        <w:t>. Y concluye: «Los esquemas de la "persona doble o dividida" no tienen efecto jurídico. No tienen base en la ley. A una persona solo le corresponde una identidad legal»</w:t>
      </w:r>
      <w:r>
        <w:t xml:space="preserve"> [original: «‘Double/split person’ schemes have no legal effect. These schemes have no basis in law. There is only one legal identity that attaches to a person.»]</w:t>
      </w:r>
      <w:r>
        <w:t xml:space="preserve"> (ídem, ¶ 445)</w:t>
      </w:r>
      <w:r>
        <w:br/>
      </w:r>
      <w:r>
        <w:rPr>
          <w:b/>
        </w:rPr>
        <w:t>leída en su fuente · ídem, ¶ 445</w:t>
      </w:r>
      <w:r>
        <w:br/>
      </w:r>
      <w:r>
        <w:rPr>
          <w:b/>
        </w:rPr>
        <w:t>Archivo leído:</w:t>
      </w:r>
      <w:r>
        <w:t xml:space="preserve"> meads_v_meads_2012ABQB571_albertacourts_wayback2014.pdf (c9h\meads_v_meads_2012ABQB571_albertacourts_wayback2014.pdf) · contraste del archivo de pasajes: ✔</w:t>
      </w:r>
      <w:r>
        <w:br/>
      </w:r>
      <w:r>
        <w:rPr>
          <w:b/>
        </w:rPr>
        <w:t>Lugar:</w:t>
      </w:r>
      <w:r>
        <w:t xml:space="preserve"> ídem, ¶ 445</w:t>
      </w:r>
      <w:r>
        <w:br/>
      </w:r>
      <w:r>
        <w:rPr>
          <w:b/>
        </w:rPr>
        <w:t>Tal como está en la fuente:</w:t>
      </w:r>
      <w:r>
        <w:t xml:space="preserve"> ‘Double/split person’ schemes have no legal effect. These schemes have no basis in law. There is only one legal identity that attaches to a person.</w:t>
      </w:r>
      <w:r>
        <w:t>.</w:t>
      </w:r>
    </w:p>
    <w:p>
      <w:r>
        <w:t>Un tribunal federal de Estados Unidos rechazó una objeción de este tipo. En United States v. Rodney Class (causa penal n.º 13-253, Tribunal de Distrito de los Estados Unidos para el Distrito de Columbia, 16 de abril de 2014), el acusado alegó que su nombre en mayúsculas en la acusación designaba una entidad «ficticia» o una corporación, y no a «un hombre vivo de carne y hueso». El tribunal dijo que esa objeción, y el argumento de que las mayúsculas le quitan la jurisdicción, «no encuentran apoyo en la ley» y han sido rechazados de plano por al menos otro tribunal</w:t>
      </w:r>
      <w:r>
        <w:t xml:space="preserve"> [original: «find no support in the law and, in fact, have been squarely rejected by at least one court»]</w:t>
      </w:r>
      <w:r>
        <w:t>, que calificó objeciones parecidas de «manifiestamente carentes de fundamento»</w:t>
      </w:r>
      <w:r>
        <w:t xml:space="preserve"> [original: «patently without merit»]</w:t>
      </w:r>
      <w:r>
        <w:t>. Y aclaró que la persona acusada es «Rodney Class, el ser humano, y no una corporación ni ninguna otra “entidad ficticia”»</w:t>
      </w:r>
      <w:r>
        <w:t xml:space="preserve"> [original: «the person charged in this case is Rodney Class the human being, and not a corporation or any other “fictional entity,”»]</w:t>
      </w:r>
      <w:r>
        <w:t xml:space="preserve"> (United States v. Class, causa 13-253 (GK), D.D.C., 16-4-2014, págs. 5 y 6)</w:t>
      </w:r>
      <w:r>
        <w:br/>
      </w:r>
      <w:r>
        <w:rPr>
          <w:b/>
        </w:rPr>
        <w:t>leída en su fuente · United States v. Class, causa 13-253 (GK), D.D.C., 16-4-2014, págs. 5 y 6</w:t>
      </w:r>
      <w:r>
        <w:br/>
      </w:r>
      <w:r>
        <w:rPr>
          <w:b/>
        </w:rPr>
        <w:t>Archivo leído:</w:t>
      </w:r>
      <w:r>
        <w:t xml:space="preserve"> US_v_Class_13-cr-253_DDC_2014-04-16_govinfo_OCR_tesseract.txt (flecos_finales\US_v_Class_13-cr-253_DDC_2014-04-16_govinfo_OCR_tesseract.txt) · contraste del archivo de pasajes: ✔</w:t>
      </w:r>
      <w:r>
        <w:br/>
      </w:r>
      <w:r>
        <w:rPr>
          <w:b/>
        </w:rPr>
        <w:t>Lugar:</w:t>
      </w:r>
      <w:r>
        <w:t xml:space="preserve"> United States v. Class, causa 13-253 (GK), D.D.C., 16-4-2014, págs. 5 y 6</w:t>
      </w:r>
      <w:r>
        <w:br/>
      </w:r>
      <w:r>
        <w:rPr>
          <w:b/>
        </w:rPr>
        <w:t>Tal como está en la fuente:</w:t>
      </w:r>
      <w:r>
        <w:t xml:space="preserve"> the person charged in this case is Rodney Class the human being, and not a corporation or any other “fictional entity,”</w:t>
      </w:r>
      <w:r>
        <w:t>. Otra petición suya, que decía que su nombre de nacimiento se había convertido en un «nombre comercial registrado» en violación del Código de Comercio Uniforme, la descartó por «no respaldada e irrelevante»</w:t>
      </w:r>
      <w:r>
        <w:t xml:space="preserve"> [original: «These allegations are unsupported and irrelevant»]</w:t>
      </w:r>
      <w:r>
        <w:t xml:space="preserve"> (ídem, pág. 29)</w:t>
      </w:r>
      <w:r>
        <w:br/>
      </w:r>
      <w:r>
        <w:rPr>
          <w:b/>
        </w:rPr>
        <w:t>leída en su fuente · ídem, pág. 29</w:t>
      </w:r>
      <w:r>
        <w:br/>
      </w:r>
      <w:r>
        <w:rPr>
          <w:b/>
        </w:rPr>
        <w:t>Archivo leído:</w:t>
      </w:r>
      <w:r>
        <w:t xml:space="preserve"> US_v_Class_13-cr-253_DDC_2014-04-16_govinfo_OCR_tesseract.txt (flecos_finales\US_v_Class_13-cr-253_DDC_2014-04-16_govinfo_OCR_tesseract.txt) · contraste del archivo de pasajes: ✔</w:t>
      </w:r>
      <w:r>
        <w:br/>
      </w:r>
      <w:r>
        <w:rPr>
          <w:b/>
        </w:rPr>
        <w:t>Lugar:</w:t>
      </w:r>
      <w:r>
        <w:t xml:space="preserve"> ídem, pág. 29</w:t>
      </w:r>
      <w:r>
        <w:br/>
      </w:r>
      <w:r>
        <w:rPr>
          <w:b/>
        </w:rPr>
        <w:t>Tal como está en la fuente:</w:t>
      </w:r>
      <w:r>
        <w:t xml:space="preserve"> These allegations are unsupported and irrelevant</w:t>
      </w:r>
      <w:r>
        <w:t>. La sentencia no usa los nombres de «teoría de las mayúsculas» ni «de la entidad ficticia»: contesta a lo que el acusado alegó.</w:t>
      </w:r>
    </w:p>
    <w:p>
      <w:r>
        <w:t>En España, lo mismo: la personalidad la da el nacimiento (</w:t>
      </w:r>
      <w:r>
        <w:t>2.1</w:t>
      </w:r>
      <w:r>
        <w:t>), y no hay otra persona escondida debajo del nombre propio (</w:t>
      </w:r>
      <w:r>
        <w:t>5.2</w:t>
      </w:r>
      <w:r>
        <w:t>).</w:t>
      </w:r>
    </w:p>
    <w:p>
      <w:r>
        <w:t>presunción</w:t>
      </w:r>
      <w:r>
        <w:t xml:space="preserve"> Fuentes que se citan para la historia de la escritura, sin leer en esta edición: Wikipedia, «Mayúsculas cuadradas romanas»; dossier didáctico de epigrafía romana (bv.gva.es); Tentulogo, «La escritura mayúscula romana». La sentencia Class se leyó entera en su original (govinfo.gov, documento 76, 31 páginas; sin capa de texto: reconocimiento óptico y las páginas 6 y 29 a la vista).</w:t>
      </w:r>
    </w:p>
    <w:p>
      <w:r>
        <w:t>[Meads, leído hoy en local (c9h), ¶ 212, 323 y 445; 09.00-1.2 y 1.3; Class, leído hoy en local (flecos_finales), págs. 5, 6 y 29; la historia de la escritura, presunción: sin leer en esta edición]</w:t>
      </w:r>
    </w:p>
    <w:p>
      <w:pPr>
        <w:pStyle w:val="Heading2"/>
      </w:pPr>
      <w:r>
        <w:t>E.3 El certificado de nacimiento y la cuenta secreta</w:t>
      </w:r>
    </w:p>
    <w:p>
      <w:pPr>
        <w:pBdr>
          <w:left w:val="single" w:sz="24" w:space="6" w:color="E2DED6"/>
        </w:pBdr>
        <w:shd w:val="clear" w:color="auto" w:fill="F1EEE8"/>
        <w:spacing w:before="80" w:after="160"/>
        <w:ind w:left="142" w:right="142"/>
      </w:pPr>
      <w:r>
        <w:rPr>
          <w:b/>
        </w:rPr>
        <w:t>La idea: que el certificado de nacimiento abra una cuenta secreta con el valor de cada persona no tiene respaldo: los tribunales lo han rechazado.</w:t>
      </w:r>
    </w:p>
    <w:p>
      <w:r>
        <w:rPr>
          <w:b/>
        </w:rPr>
        <w:t>Lo que se afirma.</w:t>
      </w:r>
      <w:r>
        <w:t xml:space="preserve"> Una variante dice que el certificado de nacimiento une a cada persona con un fideicomiso oculto (un patrimonio que alguien administra en nombre de otro), con bonos del Tesoro y con un supuesto valor financiero de cada ciudadano, guardado en una cuenta secreta. Para darle aire de ley, invoca una ley inglesa de 1666, la Cestui Que Vie Act.</w:t>
      </w:r>
    </w:p>
    <w:p>
      <w:r>
        <w:rPr>
          <w:b/>
        </w:rPr>
        <w:t>El apoyo que se invoca.</w:t>
      </w:r>
      <w:r>
        <w:t xml:space="preserve"> Esa ley existe: es la Cestui Que Vie Act de 1666 (18 y 19 de Carlos II, c. 11), y sigue en el registro de legislación del Reino Unido; sus artículos II y III están derogados (por las leyes de revisión de 1948 y de 1863). Trata de los arrendamientos concedidos «por una o más vidas»: si la persona por cuya vida se concedió la finca se ausenta «más allá de los mares» durante siete años seguidos y no hay prueba de que vive, en el pleito del arrendador por recuperar la finca se la tiene por muerta</w:t>
      </w:r>
      <w:r>
        <w:t xml:space="preserve"> [original: «shall be accounted as naturally dead»]</w:t>
      </w:r>
      <w:r>
        <w:t>; y si reaparece, el arrendatario vuelve a la finca y cobra los beneficios que perdió, con intereses</w:t>
      </w:r>
      <w:r>
        <w:t xml:space="preserve"> (Cestui Que Vie Act 1666, arts. I y IV, legislation.gov.uk)</w:t>
      </w:r>
      <w:r>
        <w:t>. Es un problema práctico de derecho de propiedad del siglo XVII. Leída entera, la ley no menciona certificados de nacimiento, fideicomisos del Estado ni bonos del Tesoro: la cadena que se construye a partir de ella, que conecta los certificados de nacimiento modernos con fideicomisos ocultos, bonos del Tesoro y un supuesto valor financiero oculto de cada ciudadano, no tiene apoyo en su texto. Tampoco se ha hallado ningún estatuto, reglamento ni sentencia que la respalde, y la sentencia Meads la rechaza (más abajo).</w:t>
      </w:r>
    </w:p>
    <w:p>
      <w:r>
        <w:t>Fuente leída hoy: Cestui Que Vie Act 1666, texto revisado de legislation.gov.uk (cuatro artículos, dos derogados; sin efectos pendientes en el registro).</w:t>
      </w:r>
    </w:p>
    <w:p>
      <w:r>
        <w:t>[09.00-2.1 y 2.2, enteros; la Cestui Que Vie Act 1666, leída entera hoy en local (flecos_finales)]</w:t>
      </w:r>
    </w:p>
    <w:p>
      <w:r>
        <w:rPr>
          <w:b/>
        </w:rPr>
        <w:t>Lo que dicen los tribunales.</w:t>
      </w:r>
      <w:r>
        <w:t xml:space="preserve"> El caso Meads lo trae en su propio expediente. El litigante presentó, entre otros papeles, unos registros que ponían su certificado de nacimiento como garantía, a nombre de un fideicomiso suyo («foreign situs cestui qui vie trust»)</w:t>
      </w:r>
      <w:r>
        <w:t xml:space="preserve"> (Meads v. Meads, ¶ 42 y 435)</w:t>
      </w:r>
      <w:r>
        <w:t>, y pidió que lo que debía a su mujer y a sus hijos se pagara desde una cuenta bancaria secreta</w:t>
      </w:r>
      <w:r>
        <w:t xml:space="preserve"> (ídem, ¶ 43 y 538)</w:t>
      </w:r>
      <w:r>
        <w:t>. El juez explica la creencia: quienes venden este esquema aseguran que, «con la combinación correcta de documentos oficiales», una persona puede acceder a su cuenta bancaria secreta y a sus fondos</w:t>
      </w:r>
      <w:r>
        <w:t xml:space="preserve"> [original: «OPCA gurus who sell the A4V scheme claim that, with a correct combination of government documents, a person can access their secret bank account and its funds»]</w:t>
      </w:r>
      <w:r>
        <w:t xml:space="preserve"> (ídem, ¶ 536)</w:t>
      </w:r>
      <w:r>
        <w:t>. Y responde que todo ese esquema ya lo habían examinado y rechazado otros tribunales: «Yo hago lo mismo»</w:t>
      </w:r>
      <w:r>
        <w:t xml:space="preserve"> [original: «The entire A4V concept has been reviewed and rejected in Underworld Services Ltd. v. Money Stop Ltd., 2012 ABQB 327, and Mercedes-Benz Financial v. Kovacevic […]. I do the same.»]</w:t>
      </w:r>
      <w:r>
        <w:t xml:space="preserve"> (ídem, ¶ 541)</w:t>
      </w:r>
      <w:r>
        <w:t>.</w:t>
      </w:r>
    </w:p>
    <w:p>
      <w:r>
        <w:t>[09.00-2.1; Meads, leído hoy en local (c9h), ¶ 42, 43, 435, 536, 538 y 541]</w:t>
      </w:r>
    </w:p>
    <w:p>
      <w:pPr>
        <w:pStyle w:val="Heading2"/>
      </w:pPr>
      <w:r>
        <w:t>E.4 Las fianzas de los cargos públicos</w:t>
      </w:r>
    </w:p>
    <w:p>
      <w:pPr>
        <w:pBdr>
          <w:left w:val="single" w:sz="24" w:space="6" w:color="E2DED6"/>
        </w:pBdr>
        <w:shd w:val="clear" w:color="auto" w:fill="F1EEE8"/>
        <w:spacing w:before="80" w:after="160"/>
        <w:ind w:left="142" w:right="142"/>
      </w:pPr>
      <w:r>
        <w:rPr>
          <w:b/>
        </w:rPr>
        <w:t>La idea: la fianza de algunos cargos públicos de Estados Unidos existe, pero no es de cualquiera que quiera cobrarla.</w:t>
      </w:r>
    </w:p>
    <w:p>
      <w:r>
        <w:rPr>
          <w:b/>
        </w:rPr>
        <w:t>Lo que se afirma.</w:t>
      </w:r>
      <w:r>
        <w:t xml:space="preserve"> La idea viene de Estados Unidos: que todo funcionario o juez tiene contratada una fianza (</w:t>
      </w:r>
      <w:r>
        <w:rPr>
          <w:i/>
        </w:rPr>
        <w:t>surety bond</w:t>
      </w:r>
      <w:r>
        <w:t xml:space="preserve">) y que cualquier ciudadano perjudicado puede reclamar contra ella, o incluso embargar al funcionario, para cobrarse el daño. </w:t>
      </w:r>
      <w:r>
        <w:t>[09.00-4.1]</w:t>
      </w:r>
    </w:p>
    <w:p>
      <w:r>
        <w:rPr>
          <w:b/>
        </w:rPr>
        <w:t>La pieza real.</w:t>
      </w:r>
      <w:r>
        <w:t xml:space="preserve"> En Estados Unidos, algunas leyes obligan a ciertos cargos públicos a depositar una fianza de cargo público (</w:t>
      </w:r>
      <w:r>
        <w:rPr>
          <w:i/>
        </w:rPr>
        <w:t>public official bond</w:t>
      </w:r>
      <w:r>
        <w:t>): el cargo y quien lo avala se comprometen a pagar hasta una cantidad fija si el cargo no cumple fielmente los deberes de su puesto</w:t>
      </w:r>
      <w:r>
        <w:t xml:space="preserve"> [original: «Public official bonds are instruments “by which a public officer and a secondary obligor undertake to pay up to a fixed sum of money if the public officer does not faithfully discharge the duties of his or her office.”»]</w:t>
      </w:r>
      <w:r>
        <w:t>. Las leyes de Illinois la exigen, por ejemplo, a los tesoreros y a los recaudadores de condado</w:t>
      </w:r>
      <w:r>
        <w:t xml:space="preserve"> (Tribunal Supremo de Illinois, Bueker v. Madison County, 2016 IL 120024, de 1-12-2016, ¶ 9, con la definición del Restatement (Third) of Suretyship and Guaranty)</w:t>
      </w:r>
      <w:r>
        <w:t>.</w:t>
      </w:r>
    </w:p>
    <w:p>
      <w:r>
        <w:rPr>
          <w:b/>
        </w:rPr>
        <w:t>Lo que dicen los tribunales.</w:t>
      </w:r>
      <w:r>
        <w:t xml:space="preserve"> Esa fianza no es de quien quiera cobrarla. Unos contribuyentes de un condado de Illinois, que se habían retrasado en el pago de sus impuestos sobre inmuebles, alegaron que el antiguo tesorero del condado se había concertado con otros para inflar los intereses que tuvieron que pagar a quienes compraron sus deudas</w:t>
      </w:r>
      <w:r>
        <w:t xml:space="preserve"> (ídem, ¶ 3)</w:t>
      </w:r>
      <w:r>
        <w:t>, y demandaron directamente a la aseguradora que avalaba su fianza</w:t>
      </w:r>
      <w:r>
        <w:t xml:space="preserve"> (ídem, ¶ 4)</w:t>
      </w:r>
      <w:r>
        <w:t>. El Tribunal Supremo de Illinois confirmó que la demanda contra la aseguradora se desestimara: «los demandantes, como ciudadanos particulares, no pueden reclamar contra la fianza de cargo público exigida por ley de que se trata»</w:t>
      </w:r>
      <w:r>
        <w:t xml:space="preserve"> [original: «We agree and hold that plaintiffs, as private citizens, are precluded from making claims on the statutorily mandated, public official bond at issue in this case.»]</w:t>
      </w:r>
      <w:r>
        <w:t xml:space="preserve"> (ídem, ¶ 1; casi igual en el ¶ 26)</w:t>
      </w:r>
      <w:r>
        <w:br/>
      </w:r>
      <w:r>
        <w:rPr>
          <w:b/>
        </w:rPr>
        <w:t>leída en su fuente · ídem, ¶ 1; casi igual en el ¶ 26</w:t>
      </w:r>
      <w:r>
        <w:br/>
      </w:r>
      <w:r>
        <w:rPr>
          <w:b/>
        </w:rPr>
        <w:t>Archivo leído:</w:t>
      </w:r>
      <w:r>
        <w:t xml:space="preserve"> Bueker_v_Madison_County_2016_IL_120024_illinoiscourts.pdf.txt · contraste del archivo de pasajes: sin archivo</w:t>
      </w:r>
      <w:r>
        <w:br/>
      </w:r>
      <w:r>
        <w:rPr>
          <w:b/>
        </w:rPr>
        <w:t>Lugar:</w:t>
      </w:r>
      <w:r>
        <w:t xml:space="preserve"> 10 FUENTES LEIDAS/c9c (índice, entrada 63)</w:t>
      </w:r>
      <w:r>
        <w:br/>
      </w:r>
      <w:r>
        <w:rPr>
          <w:b/>
        </w:rPr>
        <w:t>Tal como está en la fuente:</w:t>
      </w:r>
      <w:r>
        <w:t xml:space="preserve"> los demandantes, como ciudadanos particulares, no pueden reclamar contra la fianza de cargo público exigida por ley objeto de este caso</w:t>
      </w:r>
      <w:r>
        <w:t>. La fianza nombraba como beneficiario al condado; el Tribunal dice que por error, porque las leyes que la exigen nombran al pueblo del Estado de Illinois</w:t>
      </w:r>
      <w:r>
        <w:t xml:space="preserve"> [original: «the bond at issue in this case erroneously names "Madison County Government" as the obligee instead of "the People of the State of Illinois," as prescribed by the statutes requiring the bond»]</w:t>
      </w:r>
      <w:r>
        <w:t xml:space="preserve"> (ídem, ¶ 16)</w:t>
      </w:r>
      <w:r>
        <w:t>. En ningún caso, a cada ciudadano por su cuenta.</w:t>
      </w:r>
    </w:p>
    <w:p>
      <w:r>
        <w:rPr>
          <w:b/>
        </w:rPr>
        <w:t>Conclusión, lo que arrojan los datos:</w:t>
      </w:r>
      <w:r>
        <w:t xml:space="preserve"> si ni siquiera quienes alegaban un daño concreto causado por ese cargo pudieron cobrar de su fianza, la versión que la presenta como una cuenta a disposición de cualquiera carece de base.</w:t>
      </w:r>
    </w:p>
    <w:p>
      <w:r>
        <w:rPr>
          <w:b/>
        </w:rPr>
        <w:t>La idea, en un expediente.</w:t>
      </w:r>
      <w:r>
        <w:t xml:space="preserve"> El documento del litigante que la sentencia Meads reproduce en su apéndice A (una lista que pone precio a cada acto de un funcionario contra él</w:t>
      </w:r>
      <w:r>
        <w:t xml:space="preserve"> (Meads v. Meads, ¶ 507)</w:t>
      </w:r>
      <w:r>
        <w:t>) exige a ese funcionario entregar «todas y cada una de las fianzas» y pólizas de seguro que hagan falta para pagar lo que el litigante le reclame</w:t>
      </w:r>
      <w:r>
        <w:t xml:space="preserve"> [original: «agrees to surrender any and all surety bonds, public and/or corporate insurance policies, CAFR funds, or corporate property as needed to satisfy any and all claims and/or assessments as filed against said officer, agent, or representative by the Secured Party»]</w:t>
      </w:r>
      <w:r>
        <w:t xml:space="preserve"> (ídem, apéndice A, pág. PDF 181)</w:t>
      </w:r>
      <w:r>
        <w:t>. De esos documentos, el juez dice que no tienen fuerza legal, y que por eso las amenazas que contienen son, por definición, ilícitas</w:t>
      </w:r>
      <w:r>
        <w:t xml:space="preserve"> [original: «Since ‘fee schedules’ have no legal force, the threats they contain are by definition unlawful.»]</w:t>
      </w:r>
      <w:r>
        <w:t xml:space="preserve"> (ídem, ¶ 526)</w:t>
      </w:r>
      <w:r>
        <w:t>.</w:t>
      </w:r>
    </w:p>
    <w:p>
      <w:r>
        <w:rPr>
          <w:b/>
        </w:rPr>
        <w:t>Lo que se dice del uso.</w:t>
      </w:r>
      <w:r>
        <w:t xml:space="preserve"> </w:t>
      </w:r>
      <w:r>
        <w:t>presunción</w:t>
      </w:r>
      <w:r>
        <w:t xml:space="preserve"> Se afirma que estas fianzas se han usado para reclamaciones y embargos falsos contra funcionarios, y que algún estado, como Maine, ha llegado a castigarlo; consta en fuentes secundarias. Fuera del apéndice de Meads, que lo recoge sin nombrarlo, no se ha localizado todavía una sentencia que lo describa por su nombre, como sí ocurre con el nombre en mayúsculas.</w:t>
      </w:r>
    </w:p>
    <w:p>
      <w:r>
        <w:t>[09.00-4.4, entero; lo de Maine, presunción: sin leer en esta edición; por leer en su fuente, 05, sección 5]</w:t>
      </w:r>
    </w:p>
    <w:p>
      <w:r>
        <w:rPr>
          <w:b/>
        </w:rPr>
        <w:t>En España.</w:t>
      </w:r>
      <w:r>
        <w:t xml:space="preserve"> No hay nada parecido a esa fianza privada: quien sufre un daño por un servicio público reclama a la Administración, no al empleado, y solo después la Administración puede exigir a su personal la responsabilidad por dolo o culpa grave (</w:t>
      </w:r>
      <w:r>
        <w:t>10.4</w:t>
      </w:r>
      <w:r>
        <w:t>).</w:t>
      </w:r>
    </w:p>
    <w:p>
      <w:r>
        <w:t>presunción</w:t>
      </w:r>
      <w:r>
        <w:t xml:space="preserve"> Fuentes que se citan, algunas sin leer en esta edición: Tribunal Supremo de Illinois, Bueker v. Madison County, 2016 IL 120024, de 1-XII-2016 (texto oficial, illinoiscourts.gov); Ley 40/2015, arts. 32 a 36; Maine Municipal Association, «Sovereign Citizens» (fuente secundaria).</w:t>
      </w:r>
    </w:p>
    <w:p>
      <w:r>
        <w:t>[09.00-4.1 a 4.5; Bueker, leído hoy en local (c9c), ¶ 1, 3, 4, 9, 16 y 26; Meads, leído hoy en local (c9h), ¶ 507 y 526 y apéndice A; Ley 40/2015, arts. 32 y 36, ya en 10.4; la Maine Municipal Association, presunción: sin leer en esta edición; por leer en su fuente, 05, sección 5]</w:t>
      </w:r>
    </w:p>
    <w:p>
      <w:pPr>
        <w:pStyle w:val="Heading2"/>
      </w:pPr>
      <w:r>
        <w:t>Límite honesto de la prueba</w:t>
      </w:r>
    </w:p>
    <w:p>
      <w:pPr>
        <w:pStyle w:val="ListBullet"/>
      </w:pPr>
      <w:r>
        <w:rPr>
          <w:b/>
        </w:rPr>
        <w:t>Los casos son de Canadá y de Estados Unidos.</w:t>
      </w:r>
      <w:r>
        <w:t xml:space="preserve"> En España no se ha encontrado ninguna sentencia que nombre estas teorías por su nombre; el riesgo real está en la letra del Código Penal (</w:t>
      </w:r>
      <w:r>
        <w:t>2.6</w:t>
      </w:r>
      <w:r>
        <w:t xml:space="preserve">). </w:t>
      </w:r>
      <w:r>
        <w:t>[09.00-5.1, ya en 2.6]</w:t>
      </w:r>
    </w:p>
    <w:p>
      <w:pPr>
        <w:pStyle w:val="ListBullet"/>
      </w:pPr>
      <w:r>
        <w:rPr>
          <w:b/>
        </w:rPr>
        <w:t>La sentencia de Illinois fija la regla de la fianza, pero no trata de quienes la invocan.</w:t>
      </w:r>
      <w:r>
        <w:t xml:space="preserve"> Ese uso se ve en el apéndice de Meads, que lo recoge sin describirlo por su nombre. </w:t>
      </w:r>
      <w:r>
        <w:t>[09.00-4.4]</w:t>
      </w:r>
    </w:p>
    <w:p>
      <w:pPr>
        <w:pStyle w:val="ListBullet"/>
      </w:pPr>
      <w:r>
        <w:rPr>
          <w:b/>
        </w:rPr>
        <w:t>Lo que no tiene documento es una presunción.</w:t>
      </w:r>
      <w:r>
        <w:t xml:space="preserve"> Lo que va con la etiqueta «presunción» (la historia de la escritura romana, el caso Rodney Class, lo que regula la ley inglesa de 1666, que Meads sea la sentencia más citada y lo de Maine) no se ha leído en su fuente en esta edición: no es verdadero ni falso, está sin probar (</w:t>
      </w:r>
      <w:r>
        <w:t>0.4</w:t>
      </w:r>
      <w:r>
        <w:t xml:space="preserve">), y está apuntado en la lista de flecos para leerlo en su fuente. Lo leído en su original (Meads y Bueker) lleva su fuente. </w:t>
      </w:r>
      <w:r>
        <w:t>[Kiko, 8-oct-2026; 09.00-1.1 a 4.5]</w:t>
      </w:r>
    </w:p>
    <w:p>
      <w:pPr>
        <w:pStyle w:val="Heading2"/>
      </w:pPr>
      <w:r>
        <w:t>Dónde se oye la defensa del Estado</w:t>
      </w:r>
    </w:p>
    <w:p>
      <w:r>
        <w:t>Aquí la obra y el Estado coinciden en lo esencial: lo que se afirma sin documento no se admite, y puede poner en riesgo a quien actúe sobre ello. La defensa del Estado frente a este anexo, y lo que la obra le responde, se oyen en el juicio (</w:t>
      </w:r>
      <w:r>
        <w:t>capítulo 11</w:t>
      </w:r>
      <w:r>
        <w:t>):</w:t>
      </w:r>
    </w:p>
    <w:p>
      <w:pPr>
        <w:pStyle w:val="ListBullet"/>
      </w:pPr>
      <w:r>
        <w:rPr>
          <w:b/>
        </w:rPr>
        <w:t>en las cuestiones previas (</w:t>
      </w:r>
      <w:r>
        <w:rPr>
          <w:b/>
        </w:rPr>
        <w:t>11.2</w:t>
      </w:r>
      <w:r>
        <w:rPr>
          <w:b/>
        </w:rPr>
        <w:t>):</w:t>
      </w:r>
      <w:r>
        <w:t xml:space="preserve"> «si esas afirmaciones no tienen documento, la desconfianza es infundada» y «las normas que esas afirmaciones invitan a desobedecer protegen a todos»;</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r>
        <w:t>[09.00-7.1 a 7.10, ya en el capítulo 11; clasificación de las defensas, aprobada]</w:t>
      </w:r>
    </w:p>
    <w:p>
      <w:pPr>
        <w:pStyle w:val="Heading2"/>
      </w:pPr>
      <w:r>
        <w:t>Para recordar</w:t>
      </w:r>
    </w:p>
    <w:p>
      <w:pPr>
        <w:pStyle w:val="ListBullet"/>
      </w:pPr>
      <w:r>
        <w:t>Lo que se afirma sin documento es una presunción (</w:t>
      </w:r>
      <w:r>
        <w:t>0.4</w:t>
      </w:r>
      <w:r>
        <w:t>): esta obra no la admite y pide a quien la sostenga que aporte dónde nace. Estas afirmaciones suelen tomar un hecho real y hacerle decir lo que nunca dijo (</w:t>
      </w:r>
      <w:r>
        <w:t>2.6</w:t>
      </w:r>
      <w:r>
        <w:t>).</w:t>
      </w:r>
    </w:p>
    <w:p>
      <w:pPr>
        <w:pStyle w:val="ListBullet"/>
      </w:pPr>
      <w:r>
        <w:t>El nombre en mayúsculas no es otra persona: a cada persona le corresponde una sola identidad legal.</w:t>
      </w:r>
    </w:p>
    <w:p>
      <w:pPr>
        <w:pStyle w:val="ListBullet"/>
      </w:pPr>
      <w:r>
        <w:t>El certificado de nacimiento no abre ninguna cuenta secreta.</w:t>
      </w:r>
    </w:p>
    <w:p>
      <w:pPr>
        <w:pStyle w:val="ListBullet"/>
      </w:pPr>
      <w:r>
        <w:t>La fianza de un cargo público no es una cuenta a disposición de cualquiera.</w:t>
      </w:r>
    </w:p>
    <w:p>
      <w:pPr>
        <w:pStyle w:val="ListBullet"/>
      </w:pPr>
      <w:r>
        <w:t>En España se reclama a la Administración, por las vías que da la ley (</w:t>
      </w:r>
      <w:r>
        <w:t>10.4</w:t>
      </w:r>
      <w:r>
        <w:t>).</w:t>
      </w:r>
    </w:p>
    <w:p>
      <w:r>
        <w:br w:type="page"/>
      </w:r>
    </w:p>
    <w:p>
      <w:pPr>
        <w:pStyle w:val="Heading1"/>
      </w:pPr>
      <w:r>
        <w:t>Anexo F. El Arca: los textos de cada tradición, con su fuente</w:t>
      </w:r>
    </w:p>
    <w:p>
      <w:pPr>
        <w:spacing w:after="200"/>
      </w:pPr>
      <w:r>
        <w:rPr>
          <w:rFonts w:ascii="Segoe UI" w:hAnsi="Segoe UI" w:eastAsia="Segoe UI" w:cs="Segoe UI"/>
          <w:color w:val="6B665E"/>
          <w:sz w:val="17"/>
        </w:rPr>
        <w:t>Primera versión: 7 de octubre de 2026 · Última revisión: 12 de octubre de 2026 · Cambios anotados en el capítulo: 13 · Citas leídas en su fuente: 423</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(b) en F.9, «algo distinto de lo que» en lugar de «otra cosa de lo que» (07/herramientas/aplicar_cinco_de_forma.py). Ninguna otra palabra cambia. Cambio del 12-oct-2026, el cierre, dentro del paso 3 (B13: Kiko, chat de 08.18, 06:3x, «si» a la forma «sin contacto documentado entre sí»; orden de 08.29, filas 709 y 710 de 08/01, tras la auditoría de 10.36): la frase en este capítulo con la forma de antes pasa a decir «sin contacto documentado» (07/herramientas/aplicar_contacto_documentado.py).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de 08.26 y ADELANTE de 08.27, con su retoque de 1 S 16:13; borrador B23, construido por programa desde los índices verificados D y E de el_camino_y_el_aviso): en F.9, el punto 16 de «Lo extenso» (los pasajes del ungido, en la Reina-Valera Antigua, con el hebreo del códice de Leningrado; la Bhagavad Gita en la traducción inglesa de Arnold y el Shujing y Mencio en la de Legge, con la traducción de esta edición y el inglés al lado), una frase en «La idea», otra en «Cómo se leyó» y su remisión en la línea de fuente. Sin palabra nueva.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y ADELANTE de 08.26; borrador B22, construido por programa desde el índice verificado el_septimo_sello): en F.9, el punto 15 de «Lo extenso» (los pasajes del séptimo sello, en la Reina-Valera Antigua y con el griego de la edición SBLGNT donde dice otra cosa o donde el verbo importa), una frase en «La idea», otra en «Cómo se leyó» y su remisión en la línea de fuente. Sin palabra nueva. Ninguna otra palabra cambia. Cambio del 12-oct-2026 (Kiko, chat de 08.24, 15:0x, pasado por 08.24 tal cual: «SI CONCUERDO» a la línea de dato junto al «¿qué vas a hacer cuando nadie te mira?», fila 569 de 08/01; ADELANTE de 08.25, 15:1x): en F.9, el punto 14 de «Lo extenso» (los pasajes de «todo se ve y queda escrito», tradición por tradición, con la fecha del Ganying Pian según Legge), una frase en «La idea», otra en «Cómo se leyó», las fuentes nuevas en {completo} y su remisión en la línea de fuente (borrador construido por programa desde el índice verificado el_registro_de_todo). Ninguna otra palabra cambia. Cambio del 12-oct-2026 (Kiko, chat de 08.22, 12:1x, pasado por 08.22 tal cual: «si concuerdo» y «concuerdo si» al B19, filas 527 y 528 de 08/01; el cribado, con sus dos decisiones del parlamento 08/23, apartado 10: «si asi es concuerdo», 13:5x, y «si estoy de acuerdo es que se escribe asi... acepto tu recomendacion si», 14:0x, con el remate de 14:1x; orden firme de 08.24, 14:2x, y su «ADELANTE», 14:4x): un apartado nuevo, F.9 «Las reglas del juego de la vida, tradición por tradición», detrás de F.8 (cómo se leyó, lo que cada fuente dice de otro modo y, en «Lo extenso», los pasajes de 3.7 tradición por tradición, los del cribado y la cuenta del aviso y de quién ejecuta); su línea en F.0 (la de F.8 acaba ahora en punto y coma); un punto en «En pocas palabras» y otro en «Para recordar» (borrador B19, construido por programa desde los índices verificados). Y una corrección en el «Límite honesto», en «Lo que no se leyó no entra»: el Popol Vuh no se leyó para los principios del Arca, pero sí después (2.3 y F.9). Ninguna otra palabra cambia. Cambio del 9-oct-2026 (cierre de los avisos de las patas del Arca, tras el informe del agente de fuentes; Kiko: «sigue con el agente y cierra lo pendiente»): en F.1 (P5), en la lista de textos de la P4, en F.4 (Ptahhotep), en F.6 y en F.7 (Gran Ley de la Paz) se ajustan los avisos a lo que sostienen las fuentes leídas. Se quita Wikipedia como fuente (00b §6), se retiran las fechas que la página citada no sostenía y se apoya cada aviso en una fuente leída o lo dice. Cambio del 9-oct-2026 (Kiko: «sí a las tres» el 8-oct y «para todo lo demás, queda confirmado» el 9-oct; filas 6 a 11 de 04p, ajustes 1 a 6 de la línea del tiempo): en F.1, P2 y P5, y la lista de textos de la P4, llevan su aviso (una sola historia; Código de la Alianza; libro 20 de las Analectas); en F.4, el aviso de Ptahhotep; en F.6 y F.7, el aviso de la fecha de la Gran Ley de la Paz. Las fechas y los parecidos entre textos son de enciclopedia (fuente secundaria, nivel B); no se ha cambiado ninguna cita ni ningún texto original. Cambio del 8-oct-2026 (fase de reparación, sexta tanda): corregida una remisión que apuntaba a un apartado que no trata de lo que se remite: el orden de las cuatro leyes (la costumbre por encima de la ley escrita) remitía a 1.2 (La ley de Dios) y está en 1.1. Cambio del 8-oct-2026 (fase de reparación, auditoría con todos los trozos de cada original): el original del hadiz de Muslim 1847 («corazón de demonios») no era literal; ahora lleva la frase tal cual de la traducción de Siddiqui, «men who will have the hearts of devils in the bodies of human beings». Cambio del 8-oct-2026 (fase de reparación; Kiko: «mantener el criterio de los hadices como segunda mano, y especifica el porqué»): escrito el motivo por el que los hadices van como fuente secundaria. Cambio del 8-oct-2026 (fase de reparación, traducciones sin original): puesto el original hebreo de Horayot 10b junto a la cita (leído en Sefaria). Cambio del 8-oct-2026 (fase de reparación, auditoría de las citas contra los originales): (1) Mencio 1B8, el texto de Legge dice «Chau» y no «Zhou» (se pone el literal); (2) Sahih Muslim 1847, leído en la traducción de Siddiqui (hadith-api, libro 33, hadiz 82): el original dice «even if your back is flogged and your wealth is snatched, you should listen and obey», y la cita ya no va reordenada. ESTADO: APROBADO por Kiko el 7-oct-2026 («si a las dos preguntas»: el anexo y el cambio de las notas del capítulo 3 que daban por pendientes lo que está aquí); sus marcas, en 04 CAPITULOS/marcas/marcas del anexo F.txt. Paso 3. Sin agentes ni descargas. Es el segundo de los anexos. Sale del archivo del Arca (06 EDICION DE LECTURA/01 GLOSARIO UNICO/EL ARCA - REFUERZO DE CADA LEY POR TRADICIONES (vivo).md, verificado por Claude el 5-oct: cada texto literal, con su lugar y su nivel; el capítulo 3 se aprobó con él y no se ha vuelto a revisar), de la pieza 07.00 (archivo congelado: 1.1 y 1.2, el pan propio; 2.1 a 10.2, los órdenes de costumbre; 18.5 y 18.6, errar el blanco) y de 01.00-13.4 (las songlines). Se traslada tal cual. Escrito en tres niveles y con remisiones enlazables.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Cifras: el anexo F no tiene ninguna en 16 CIFRAS POR MIRAR. Cada número, en su fila o leído hoy: 930, 1800 y 1845 (Gjerset, pp. 33, 346 y 377); 1861 (Kimball); «ochenta leyes» (Ixtlilxóchitl, p. 187); doce jueces (Zorita, p. 111); 40.000 años (ALRC 31, § 22); unas 250 lenguas y más de 500 dialectos (Oficina de Estadística de Australia, 1999); 2024 (UNESCO, RL 02087); 2022 (Ellis v R); 2001 (NZLC, SP9); 1993 y la Ley 34 de 1995 (gov.za); 1896 (Boas); 2007 (Nunavut); 2017 (Oosten); hacia 2600 a. C. (Biggs, p. 26); hacia 2000 a. C. (Žába, p. 1); 810-870 (Biblioteca del Congreso de Estados Unidos); unos tres mil quinientos años (la suma, 07.00-1.1, corregida el 5-oct); el resto, del archivo del Arca. Leído hoy en su original (en local; libreta 75, 7 bis n.º 11): - 10 FUENTES LEIDAS/g/otros (bajado el 5-oct para el informe g/INFORME_PAN_Y_OTROS.md, grupos 1 a 3): Instrucciones de Shuruppak, ETCSL c.5.6.1, líneas 28-31 (sumerio y traducción); R. D. Biggs, Inscriptions from Tell Abū Ṣalābīkh, 1974, p. 26 (la fecha, «no more than a suggestion»); Z. Žába, Les Maximes de Ptahhotep, 1956, p. 1 y vv. 300 y 317; B. G. Gunn, The Instruction of Ptah-hotep, 1906, máxima 20; Musonio Rufo, Disertación XI (Hense, 1905, pp. 60 y 63); registro de autoridad de al-Bujari (Biblioteca del Congreso, 810-870); Monier-Williams, 1899, p. 51 (apa-rādh y aparādha); Norris y Harney, 2014 (resumen); Norris, 2016, p. 17; Higgins, 2021, pp. 724-725. - 10 FUENTES LEIDAS/g/costumbre: Parker, The Constitution of the Five Nations, 1916, art. 42 («as a birthright»). - 10 FUENTES LEIDAS/ant: Hesíodo, Trabajos y días 240 (Evelyn-White); los traductores ingleses de Perseus y Gutenberg (Rackham para la Política, Bury para las Leyes, Kenyon para la Constitución de los atenienses). - Del registro (paso 2 bis, con su pasaje) y del informe de procedencia de los órdenes de costumbre (g/INFORME_COSTUMBRE.md, 5-oct: 43 datos A, con la cita y su página): 07.00-2.1 a 9.1. Hallado al escribir (sin errata para el 07): - Shuruppak, Ptahhotep (máximas 19 y 20) y Musonio Rufo no estaban sin fuente: los leyó el informe del 5-oct (g/INFORME_PAN_Y_OTROS.md, grupo 1), la pieza 07.00-1.1 ya se corrigió con ellos, y hoy se han leído otra vez en local, letra a letra. El capítulo 3 (3.1) y el aviso los daban por pendientes. Entran en F.4: lo verificado que se omitió se repone (Kiko, 7-oct). - 07.00-4.1, «as a birthright»: el paso 2 bis lo dejó en flecos («sin localizar en lo descargado»); está en Parker, art. 42: «and in them is it vested as a birthright». La búsqueda del paso 2 bis solo miraba en la fuente nombrada del párrafo, y esa fila no tenía ninguna; la copia normalizada de Parker sí lo tiene. Fleco resuelto. - 07.00-9.1: el Tribunal Supremo de Nueva Zelanda declaró por unanimidad que el tikanga ha sido y seguirá siendo reconocido en su common law (§ 19); lo que aceptó la mayoría es que fue el primer derecho del país (§ 22). Va así. - 07.00-8.1: «Tenía un alto tribunal de justicia» va como lo dice la fuente: «it possessed both legislative and judicial powers» (Gjerset, p. 34). No entra: - Del archivo del Arca, lo que da como «No comprobado por Claude» y su «Pendiente»: el Popol Vuh, Grinnell sobre los cheyenes, la Constitución de Hawái (la ley del remo astillado), la Fetha Nagast, el estudio del xeer de 2023, Cicerón, De officiis II, 78 y 84, y Platón, Leyes V (contra la cancelación de deudas, según el agente), la Udyoga Parva 5.34, la Sabha Parva 2.5, la Brihadaranyaka 1.4.14, el edicto en roca 6 de Ashoka y los Angs 1032 y 145. Y lo que el Arca no encontró: el edicto de Ammisaduqa y la frase de Urukagina sobre «el recaudador de impuestos». - 07.00-8.1: que el Althing sea «uno de los parlamentos más antiguos del mundo», sin fuente leída (la web del Althingi devolvió 403). - 07.00-5.1: la remisión a la figura «Geis y Brehon Law» de la Biblioteca (pieza 04.00), que la edición no tiene. - 01.00-13.4: la valoración «un pilar prometedor, pero menos cerrado que Mencio o Heráclito», que es una comparación del autor, no un dato. - 07.00-18.7 (el giri japonés): quitado de la pieza el 5-oct al leerlo en los diccionarios (giri nombra el deber, no la falta; informe g, 2.3); va al límite honesto, como la fila budista que se quitó con él. Lo que no se repite (se nombra, con su remisión): lo que ya está en 3.1 (el pan propio, cinco textos), 3.2 (principio a principio), 3.3 (la usura), 3.4 (quién escribe la pata coja, con sus frutos), 3.6 (el hilo de servir), 5.2 (Lc 11:46), 6.2 (Roboam) y 10.1 (Corán 4:59). Niveles: los textos chinos de Wikisource, A (texto original leído), como en el capítulo 3 (el archivo del Arca proponía unificarlos así); los hadices, B, como en el archivo y en el capítulo 3. Conceptos que usa, ya anclados: el Arca, los nueve principios y la pata coja (3.0 a 3.2); la convergencia y las patas independientes (1.4 y 3.1); quién escribe la pata coja (3.4); errar el blanco (3.2); el orden de las leyes (1.2). Nuevo aquí: los órdenes de costumbre y las piezas de refuerzo, explicados al usarlos (F.7).</w:t>
      </w:r>
    </w:p>
    <w:p>
      <w:pPr>
        <w:pBdr>
          <w:left w:val="single" w:sz="24" w:space="6" w:color="E2DED6"/>
        </w:pBdr>
        <w:shd w:val="clear" w:color="auto" w:fill="F1EEE8"/>
        <w:spacing w:before="80" w:after="160"/>
        <w:ind w:left="142" w:right="142"/>
      </w:pPr>
      <w:r>
        <w:rPr>
          <w:b/>
        </w:rPr>
        <w:t>En pocas palabras:</w:t>
      </w:r>
    </w:p>
    <w:p>
      <w:pPr>
        <w:pStyle w:val="ListBullet"/>
      </w:pPr>
      <w:r>
        <w:t xml:space="preserve">Este anexo reúne los textos del Arca que no caben en el </w:t>
      </w:r>
      <w:r>
        <w:t>capítulo 3</w:t>
      </w:r>
      <w:r>
        <w:t xml:space="preserve">, cada uno con su fuente, ordenados por tradición y por principio. Lo que ya está en el </w:t>
      </w:r>
      <w:r>
        <w:t>capítulo 3</w:t>
      </w:r>
      <w:r>
        <w:t xml:space="preserve"> no se repite: se nombra, con su remisión.</w:t>
      </w:r>
    </w:p>
    <w:p>
      <w:pPr>
        <w:pStyle w:val="ListBullet"/>
      </w:pPr>
      <w:r>
        <w:t>Seis bloques de tradiciones (la Biblia; el islam, Persia y la tradición rabínica; China; el antiguo Oriente, Egipto, Grecia y Roma; la India; y África, América y Oceanía) repiten los nueve principios, y cada uno tiene su pata coja, dicha.</w:t>
      </w:r>
    </w:p>
    <w:p>
      <w:pPr>
        <w:pStyle w:val="ListBullet"/>
      </w:pPr>
      <w:r>
        <w:t>El pan propio, ganado con el propio trabajo, lo mandan ocho textos de seis civilizaciones a lo largo de unos tres mil quinientos años.</w:t>
      </w:r>
    </w:p>
    <w:p>
      <w:pPr>
        <w:pStyle w:val="ListBullet"/>
      </w:pPr>
      <w:r>
        <w:t>Pueblos que se dieron su orden por su cuenta coinciden en la tierra en común, la compensación del daño y la decisión en consejo.</w:t>
      </w:r>
    </w:p>
    <w:p>
      <w:pPr>
        <w:pStyle w:val="ListBullet"/>
      </w:pPr>
      <w:r>
        <w:t>Tres lenguas antiguas llaman a la falta «errar el blanco»: un error de dirección, que se puede corregir.</w:t>
      </w:r>
    </w:p>
    <w:p>
      <w:pPr>
        <w:pStyle w:val="ListBullet"/>
      </w:pPr>
      <w:r>
        <w:t>Doce tradiciones, leídas con la misma pregunta, dicen qué se dio para vivir, qué se perdió y por dónde se vuelve: sus pasajes, cada uno con su fuente, están al final.</w:t>
      </w:r>
    </w:p>
    <w:p>
      <w:pPr>
        <w:pStyle w:val="Heading2"/>
      </w:pPr>
      <w:r>
        <w:t>F.0 Propósito</w:t>
      </w:r>
    </w:p>
    <w:p>
      <w:pPr>
        <w:pBdr>
          <w:left w:val="single" w:sz="24" w:space="6" w:color="E2DED6"/>
        </w:pBdr>
        <w:shd w:val="clear" w:color="auto" w:fill="F1EEE8"/>
        <w:spacing w:before="80" w:after="160"/>
        <w:ind w:left="142" w:right="142"/>
      </w:pPr>
      <w:r>
        <w:rPr>
          <w:b/>
        </w:rPr>
        <w:t xml:space="preserve">La idea: el </w:t>
      </w:r>
      <w:r>
        <w:rPr>
          <w:b/>
        </w:rPr>
        <w:t>capítulo 3</w:t>
      </w:r>
      <w:r>
        <w:rPr>
          <w:b/>
        </w:rPr>
        <w:t xml:space="preserve"> da, de cada principio del Arca, las pruebas más fuertes; este anexo da las demás, cada una con su fuente, para que cualquiera pueda comprobarlas.</w:t>
      </w:r>
    </w:p>
    <w:p>
      <w:r>
        <w:t>El Arca es la ley de Dios tal como la guardaron todos los pueblos: lo que pueblos sin contacto documentado coinciden en guardar, y además pasa la vara (</w:t>
      </w:r>
      <w:r>
        <w:t>3.0</w:t>
      </w:r>
      <w:r>
        <w:t xml:space="preserve"> y </w:t>
      </w:r>
      <w:r>
        <w:t>3.1</w:t>
      </w:r>
      <w:r>
        <w:t xml:space="preserve">). El </w:t>
      </w:r>
      <w:r>
        <w:t>capítulo 3</w:t>
      </w:r>
      <w:r>
        <w:t xml:space="preserve"> da, de cada uno de sus nueve principios, las pruebas más fuertes (</w:t>
      </w:r>
      <w:r>
        <w:t>3.2</w:t>
      </w:r>
      <w:r>
        <w:t>); la usura, aparte (</w:t>
      </w:r>
      <w:r>
        <w:t>3.3</w:t>
      </w:r>
      <w:r>
        <w:t>); quién escribe la pata coja (</w:t>
      </w:r>
      <w:r>
        <w:t>3.4</w:t>
      </w:r>
      <w:r>
        <w:t>); y el hilo que los une, servir (</w:t>
      </w:r>
      <w:r>
        <w:t>3.6</w:t>
      </w:r>
      <w:r>
        <w:t>). Aquí están los demás textos que se leyeron, ordenados por tradición y, dentro de cada una, por principio. Lo que ya está en un capítulo no se repite: se nombra, con su remisión.</w:t>
      </w:r>
    </w:p>
    <w:p>
      <w:r>
        <w:rPr>
          <w:b/>
        </w:rPr>
        <w:t>Los nueve principios</w:t>
      </w:r>
      <w:r>
        <w:t xml:space="preserve"> (</w:t>
      </w:r>
      <w:r>
        <w:t>3.2</w:t>
      </w:r>
      <w:r>
        <w:t>): P1, el gobernante existe para el pueblo; P2, impuestos moderados; P3, no quitar al pueblo su tiempo; P4, pesas y medidas justas; P5, devolver lo confiado; P6, contra la usura, y perdonar las deudas; P7, cada uno responde de lo suyo, y se examina antes de castigar; P8, el castigo no es un negocio, y contra el soborno; P9, más leyes, más pobreza.</w:t>
      </w:r>
    </w:p>
    <w:p>
      <w:r>
        <w:rPr>
          <w:b/>
        </w:rPr>
        <w:t>Cómo se leyó.</w:t>
      </w:r>
      <w:r>
        <w:t xml:space="preserve"> Nada entró sin leerlo en su original o en una traducción reconocida. Lo que se leyó en una copia o en una fuente secundaria se marca así, y lo que no se pudo leer no entra: se dice en el límite honesto. La Biblia va en la Reina-Valera Antigua y el Corán en la traducción de Julio Cortés; las demás traducciones al español son de esta edición, con el texto del que se han hecho al lado (</w:t>
      </w:r>
      <w:r>
        <w:t>0.3</w:t>
      </w:r>
      <w:r>
        <w:t>). Donde ese texto no está a mano, lo que dice va contado con otras palabras, sin comillas. Los hadices (Sahih al-Bujari y Sahih Muslim) se leyeron en una copia de datos de la colección, en árabe y con las traducciones inglesas de Muhsin Khan y de Siddiqui, y no en una edición impresa: por eso van como fuente secundaria. Releerlos en la misma copia no es otra lectura, y la numeración de los hadices cambia de una edición a otra; subirán a fuente primaria cuando se cotejen con una edición impresa.</w:t>
      </w:r>
    </w:p>
    <w:p>
      <w:r>
        <w:t>[archivo del Arca, «Método» y «Los principios», verificado por Claude el 5-oct-2026; 3.2]</w:t>
      </w:r>
    </w:p>
    <w:p>
      <w:r>
        <w:t>Este anexo dice:</w:t>
      </w:r>
    </w:p>
    <w:p>
      <w:pPr>
        <w:pStyle w:val="ListBullet"/>
      </w:pPr>
      <w:r>
        <w:rPr>
          <w:b/>
        </w:rPr>
        <w:t>F.1</w:t>
      </w:r>
      <w:r>
        <w:t xml:space="preserve"> la Biblia;</w:t>
      </w:r>
    </w:p>
    <w:p>
      <w:pPr>
        <w:pStyle w:val="ListBullet"/>
      </w:pPr>
      <w:r>
        <w:rPr>
          <w:b/>
        </w:rPr>
        <w:t>F.2</w:t>
      </w:r>
      <w:r>
        <w:t xml:space="preserve"> el islam, Persia y la tradición rabínica;</w:t>
      </w:r>
    </w:p>
    <w:p>
      <w:pPr>
        <w:pStyle w:val="ListBullet"/>
      </w:pPr>
      <w:r>
        <w:rPr>
          <w:b/>
        </w:rPr>
        <w:t>F.3</w:t>
      </w:r>
      <w:r>
        <w:t xml:space="preserve"> China;</w:t>
      </w:r>
    </w:p>
    <w:p>
      <w:pPr>
        <w:pStyle w:val="ListBullet"/>
      </w:pPr>
      <w:r>
        <w:rPr>
          <w:b/>
        </w:rPr>
        <w:t>F.4</w:t>
      </w:r>
      <w:r>
        <w:t xml:space="preserve"> el antiguo Oriente, Egipto, Grecia y Roma, con los tres textos del pan propio que faltaban en </w:t>
      </w:r>
      <w:r>
        <w:t>3.1</w:t>
      </w:r>
      <w:r>
        <w:t>;</w:t>
      </w:r>
    </w:p>
    <w:p>
      <w:pPr>
        <w:pStyle w:val="ListBullet"/>
      </w:pPr>
      <w:r>
        <w:rPr>
          <w:b/>
        </w:rPr>
        <w:t>F.5</w:t>
      </w:r>
      <w:r>
        <w:t xml:space="preserve"> la India;</w:t>
      </w:r>
    </w:p>
    <w:p>
      <w:pPr>
        <w:pStyle w:val="ListBullet"/>
      </w:pPr>
      <w:r>
        <w:rPr>
          <w:b/>
        </w:rPr>
        <w:t>F.6</w:t>
      </w:r>
      <w:r>
        <w:t xml:space="preserve"> África, América y Oceanía;</w:t>
      </w:r>
    </w:p>
    <w:p>
      <w:pPr>
        <w:pStyle w:val="ListBullet"/>
      </w:pPr>
      <w:r>
        <w:rPr>
          <w:b/>
        </w:rPr>
        <w:t>F.7</w:t>
      </w:r>
      <w:r>
        <w:t xml:space="preserve"> los órdenes de costumbre de los pueblos que se dieron su orden por su cuenta;</w:t>
      </w:r>
    </w:p>
    <w:p>
      <w:pPr>
        <w:pStyle w:val="ListBullet"/>
      </w:pPr>
      <w:r>
        <w:rPr>
          <w:b/>
        </w:rPr>
        <w:t>F.8</w:t>
      </w:r>
      <w:r>
        <w:t xml:space="preserve"> errar el blanco, en una tercera lengua;</w:t>
      </w:r>
    </w:p>
    <w:p>
      <w:pPr>
        <w:pStyle w:val="ListBullet"/>
      </w:pPr>
      <w:r>
        <w:rPr>
          <w:b/>
        </w:rPr>
        <w:t>F.9</w:t>
      </w:r>
      <w:r>
        <w:t xml:space="preserve"> y las reglas del juego de la vida: los pasajes de </w:t>
      </w:r>
      <w:r>
        <w:t>3.7</w:t>
      </w:r>
      <w:r>
        <w:t>, tradición por tradición.</w:t>
      </w:r>
    </w:p>
    <w:p>
      <w:pPr>
        <w:pStyle w:val="Heading2"/>
      </w:pPr>
      <w:r>
        <w:t>F.1 La Biblia</w:t>
      </w:r>
    </w:p>
    <w:p>
      <w:pPr>
        <w:pBdr>
          <w:left w:val="single" w:sz="24" w:space="6" w:color="E2DED6"/>
        </w:pBdr>
        <w:shd w:val="clear" w:color="auto" w:fill="F1EEE8"/>
        <w:spacing w:before="80" w:after="160"/>
        <w:ind w:left="142" w:right="142"/>
      </w:pPr>
      <w:r>
        <w:rPr>
          <w:b/>
        </w:rPr>
        <w:t>La idea: la Biblia pone al rey bajo la ley y no por encima de sus hermanos, y acusa al pastor que se apacienta a sí mismo.</w:t>
      </w:r>
    </w:p>
    <w:p>
      <w:r>
        <w:t>Fuente: la Reina-Valera Antigua (biblegateway). Nivel A.</w:t>
      </w:r>
    </w:p>
    <w:p>
      <w:pPr>
        <w:pStyle w:val="ListBullet"/>
      </w:pPr>
      <w:r>
        <w:rPr>
          <w:b/>
        </w:rPr>
        <w:t>P1.</w:t>
      </w:r>
      <w:r>
        <w:t xml:space="preserve"> El rey no amontonará riquezas y llevará consigo la ley: «ni plata ni oro acrecentará para sí en gran copia. Y será, cuando se asentare sobre el solio de su reino, que ha de escribir para sí en un libro un traslado de esta ley […] y leerá en él todos los días de su vida […] Para que no se eleve su corazón sobre sus hermanos»</w:t>
      </w:r>
      <w:r>
        <w:t xml:space="preserve"> (Dt 17:17-20)</w:t>
      </w:r>
      <w:r>
        <w:br/>
      </w:r>
      <w:r>
        <w:rPr>
          <w:b/>
        </w:rPr>
        <w:t>leída en su fuente · Dt 17:17-20</w:t>
      </w:r>
      <w:r>
        <w:br/>
      </w:r>
      <w:r>
        <w:rPr>
          <w:b/>
        </w:rPr>
        <w:t>Original donde está:</w:t>
      </w:r>
      <w:r>
        <w:t xml:space="preserve"> spaRV1909_texto_corrido.txt</w:t>
      </w:r>
      <w:r>
        <w:br/>
      </w:r>
      <w:r>
        <w:t>El pasaje literal no está en el archivo de pasajes con este comienzo; la auditoría lo halló en ese original.</w:t>
      </w:r>
      <w:r>
        <w:t>. Y el profeta acusa a los que mandan para sí: «¡Ay de los pastores de Israel, que se apacientan á sí mismos! ¿No apacientan los pastores los rebaños? Coméis la leche, y os vestís de la lana […] no apacentáis las ovejas […] sino que os habéis enseñoreado de ellas con dureza y con violencia»</w:t>
      </w:r>
      <w:r>
        <w:t xml:space="preserve"> (Ez 34:2-4)</w:t>
      </w:r>
      <w:r>
        <w:br/>
      </w:r>
      <w:r>
        <w:rPr>
          <w:b/>
        </w:rPr>
        <w:t>leída en su fuente · Ez 34:2-4</w:t>
      </w:r>
      <w:r>
        <w:br/>
      </w:r>
      <w:r>
        <w:rPr>
          <w:b/>
        </w:rPr>
        <w:t>Archivo leído:</w:t>
      </w:r>
      <w:r>
        <w:t xml:space="preserve"> spaRV1909_texto_corrido.txt (biblia_rv1909\spaRV1909_texto_corrido.txt) · contraste del archivo de pasajes: ✔</w:t>
      </w:r>
      <w:r>
        <w:br/>
      </w:r>
      <w:r>
        <w:rPr>
          <w:b/>
        </w:rPr>
        <w:t>Lugar:</w:t>
      </w:r>
      <w:r>
        <w:t xml:space="preserve"> Ez 34:2-4</w:t>
      </w:r>
      <w:r>
        <w:br/>
      </w:r>
      <w:r>
        <w:rPr>
          <w:b/>
        </w:rPr>
        <w:t>Tal como está en la fuente:</w:t>
      </w:r>
      <w:r>
        <w:t xml:space="preserve"> ¡Ay de los pastores de Israel, que se apacientan á sí mismos! ¿No apacientan los pastores los rebaños? Coméis la leche, y os vestís de la lana […] no apacentáis las ovejas […] sino que os habéis enseñoreado de ellas con dureza y con violencia</w:t>
      </w:r>
      <w:r>
        <w:t xml:space="preserve">. El que quiera ser grande, que sea servidor (Mt 20:25-26), en </w:t>
      </w:r>
      <w:r>
        <w:t>3.2</w:t>
      </w:r>
      <w:r>
        <w:t>.</w:t>
      </w:r>
    </w:p>
    <w:p>
      <w:pPr>
        <w:pStyle w:val="ListBullet"/>
      </w:pPr>
      <w:r>
        <w:rPr>
          <w:b/>
        </w:rPr>
        <w:t>P2.</w:t>
      </w:r>
      <w:r>
        <w:t xml:space="preserve"> El diezmo del rey (1 Sam 8) y el yugo de Roboam, que dividió el reino (1 R 12), en </w:t>
      </w:r>
      <w:r>
        <w:t>3.2</w:t>
      </w:r>
      <w:r>
        <w:t xml:space="preserve"> y en </w:t>
      </w:r>
      <w:r>
        <w:t>6.2</w:t>
      </w:r>
      <w:r>
        <w:t>. Son una sola historia: cuentan como una pata (</w:t>
      </w:r>
      <w:r>
        <w:t>3.2</w:t>
      </w:r>
      <w:r>
        <w:t>).</w:t>
      </w:r>
    </w:p>
    <w:p>
      <w:pPr>
        <w:pStyle w:val="ListBullet"/>
      </w:pPr>
      <w:r>
        <w:rPr>
          <w:b/>
        </w:rPr>
        <w:t>P3.</w:t>
      </w:r>
      <w:r>
        <w:t xml:space="preserve"> El descanso del séptimo día, también para el siervo (</w:t>
      </w:r>
      <w:r>
        <w:t>3.2</w:t>
      </w:r>
      <w:r>
        <w:t>), lleva su razón: «Y acuérdate que fuiste siervo en tierra de Egipto»</w:t>
      </w:r>
      <w:r>
        <w:t xml:space="preserve"> (Dt 5:15)</w:t>
      </w:r>
      <w:r>
        <w:br/>
      </w:r>
      <w:r>
        <w:rPr>
          <w:b/>
        </w:rPr>
        <w:t>leída en su fuente · Dt 5:15</w:t>
      </w:r>
      <w:r>
        <w:br/>
      </w:r>
      <w:r>
        <w:rPr>
          <w:b/>
        </w:rPr>
        <w:t>Archivo leído:</w:t>
      </w:r>
      <w:r>
        <w:t xml:space="preserve"> spaRV1909_texto_corrido.txt (biblia_rv1909\spaRV1909_texto_corrido.txt) · contraste del archivo de pasajes: ✔</w:t>
      </w:r>
      <w:r>
        <w:br/>
      </w:r>
      <w:r>
        <w:rPr>
          <w:b/>
        </w:rPr>
        <w:t>Lugar:</w:t>
      </w:r>
      <w:r>
        <w:t xml:space="preserve"> Dt 5:15</w:t>
      </w:r>
      <w:r>
        <w:br/>
      </w:r>
      <w:r>
        <w:rPr>
          <w:b/>
        </w:rPr>
        <w:t>Tal como está en la fuente:</w:t>
      </w:r>
      <w:r>
        <w:t xml:space="preserve"> Y acuérdate que fuiste siervo en tierra de Egipto</w:t>
      </w:r>
      <w:r>
        <w:t>.</w:t>
      </w:r>
    </w:p>
    <w:p>
      <w:pPr>
        <w:pStyle w:val="ListBullet"/>
      </w:pPr>
      <w:r>
        <w:rPr>
          <w:b/>
        </w:rPr>
        <w:t>P4.</w:t>
      </w:r>
      <w:r>
        <w:t xml:space="preserve"> «No tendrás en tu bolsa pesa grande y pesa chica. No tendrás en tu casa epha grande y epha pequeño. Pesas cumplidas y justas tendrás»</w:t>
      </w:r>
      <w:r>
        <w:t xml:space="preserve"> (Dt 25:13-15)</w:t>
      </w:r>
      <w:r>
        <w:br/>
      </w:r>
      <w:r>
        <w:rPr>
          <w:b/>
        </w:rPr>
        <w:t>leída en su fuente · Dt 25:13-15</w:t>
      </w:r>
      <w:r>
        <w:br/>
      </w:r>
      <w:r>
        <w:rPr>
          <w:b/>
        </w:rPr>
        <w:t>Original donde está:</w:t>
      </w:r>
      <w:r>
        <w:t xml:space="preserve"> spaRV1909_texto_corrido.txt</w:t>
      </w:r>
      <w:r>
        <w:br/>
      </w:r>
      <w:r>
        <w:t>El pasaje literal no está en el archivo de pasajes con este comienzo; la auditoría lo halló en ese original.</w:t>
      </w:r>
      <w:r>
        <w:t xml:space="preserve">. Lv 19:36 y Pr 11:1, en </w:t>
      </w:r>
      <w:r>
        <w:t>3.2</w:t>
      </w:r>
      <w:r>
        <w:t>.</w:t>
      </w:r>
    </w:p>
    <w:p>
      <w:pPr>
        <w:pStyle w:val="ListBullet"/>
      </w:pPr>
      <w:r>
        <w:rPr>
          <w:b/>
        </w:rPr>
        <w:t>P5 y P8.</w:t>
      </w:r>
      <w:r>
        <w:t xml:space="preserve"> Zaqueo, recaudador de impuestos, devuelve lo exigido de más: «si en algo he defraudado á alguno, lo vuelvo con el cuatro tanto»</w:t>
      </w:r>
      <w:r>
        <w:t xml:space="preserve"> (Lc 19:8)</w:t>
      </w:r>
      <w:r>
        <w:br/>
      </w:r>
      <w:r>
        <w:rPr>
          <w:b/>
        </w:rPr>
        <w:t>leída en su fuente · Lc 19:8</w:t>
      </w:r>
      <w:r>
        <w:br/>
      </w:r>
      <w:r>
        <w:rPr>
          <w:b/>
        </w:rPr>
        <w:t>Archivo leído:</w:t>
      </w:r>
      <w:r>
        <w:t xml:space="preserve"> lc_19_8-9_rva.html (c9g\lc_19_8-9_rva.html) · contraste del archivo de pasajes: ✔</w:t>
      </w:r>
      <w:r>
        <w:br/>
      </w:r>
      <w:r>
        <w:rPr>
          <w:b/>
        </w:rPr>
        <w:t>Lugar:</w:t>
      </w:r>
      <w:r>
        <w:t xml:space="preserve"> v. 8</w:t>
      </w:r>
      <w:r>
        <w:br/>
      </w:r>
      <w:r>
        <w:rPr>
          <w:b/>
        </w:rPr>
        <w:t>Dirección:</w:t>
      </w:r>
      <w:r>
        <w:t xml:space="preserve"> </w:t>
      </w:r>
      <w:r>
        <w:t>https://www.biblegateway.com/passage/?search=Luke+19%3A8-9&amp;version=RVA</w:t>
      </w:r>
      <w:r>
        <w:br/>
      </w:r>
      <w:r>
        <w:rPr>
          <w:b/>
        </w:rPr>
        <w:t>Tal como está en la fuente:</w:t>
      </w:r>
      <w:r>
        <w:t xml:space="preserve"> Entonces Zaqueo, puesto en pie, dijo al Señor: He aquí, Señor, la mitad de mis bienes doy á los pobres; y si en algo he defraudado á alguno, lo vuelvo con el cuatro tanto.</w:t>
      </w:r>
      <w:r>
        <w:t xml:space="preserve">. Lo dado a guardar (Ex 22:7-8, que trata del mismo caso que el §124 de Hammurabi: no cuenta aparte de Mesopotamia), el soborno que ciega (Ex 23:8) y «No exijáis más de lo que os está ordenado» (Lc 3:13), en </w:t>
      </w:r>
      <w:r>
        <w:t>3.2</w:t>
      </w:r>
      <w:r>
        <w:t>.</w:t>
      </w:r>
    </w:p>
    <w:p>
      <w:pPr>
        <w:pStyle w:val="ListBullet"/>
      </w:pPr>
      <w:r>
        <w:rPr>
          <w:b/>
        </w:rPr>
        <w:t>P6 y P7.</w:t>
      </w:r>
      <w:r>
        <w:t xml:space="preserve"> El perdón de las deudas y la usura, en </w:t>
      </w:r>
      <w:r>
        <w:t>3.3</w:t>
      </w:r>
      <w:r>
        <w:t xml:space="preserve">; «cada uno morirá por su pecado» (Dt 24:16), en </w:t>
      </w:r>
      <w:r>
        <w:t>3.2</w:t>
      </w:r>
      <w:r>
        <w:t>.</w:t>
      </w:r>
    </w:p>
    <w:p>
      <w:pPr>
        <w:pStyle w:val="ListBullet"/>
      </w:pPr>
      <w:r>
        <w:rPr>
          <w:b/>
        </w:rPr>
        <w:t>P9.</w:t>
      </w:r>
      <w:r>
        <w:t xml:space="preserve"> Las cargas que no se pueden llevar (Lc 11:46), en </w:t>
      </w:r>
      <w:r>
        <w:t>5.2</w:t>
      </w:r>
      <w:r>
        <w:t xml:space="preserve">; y Mt 23:4, en </w:t>
      </w:r>
      <w:r>
        <w:t>3.2</w:t>
      </w:r>
      <w:r>
        <w:t>.</w:t>
      </w:r>
    </w:p>
    <w:p>
      <w:pPr>
        <w:pStyle w:val="ListBullet"/>
      </w:pPr>
      <w:r>
        <w:rPr>
          <w:b/>
        </w:rPr>
        <w:t>La pata coja:</w:t>
      </w:r>
      <w:r>
        <w:t xml:space="preserve"> la usura permitida con el extranjero (Dt 23:19-20), en </w:t>
      </w:r>
      <w:r>
        <w:t>3.3</w:t>
      </w:r>
      <w:r>
        <w:t>.</w:t>
      </w:r>
    </w:p>
    <w:p>
      <w:r>
        <w:t>[archivo del Arca, bloque de la Biblia (Reina-Valera Antigua, biblegateway), nivel A]</w:t>
      </w:r>
    </w:p>
    <w:p>
      <w:pPr>
        <w:pStyle w:val="Heading2"/>
      </w:pPr>
      <w:r>
        <w:t>F.2 El islam, Persia y la tradición rabínica</w:t>
      </w:r>
    </w:p>
    <w:p>
      <w:pPr>
        <w:pBdr>
          <w:left w:val="single" w:sz="24" w:space="6" w:color="E2DED6"/>
        </w:pBdr>
        <w:shd w:val="clear" w:color="auto" w:fill="F1EEE8"/>
        <w:spacing w:before="80" w:after="160"/>
        <w:ind w:left="142" w:right="142"/>
      </w:pPr>
      <w:r>
        <w:rPr>
          <w:b/>
        </w:rPr>
        <w:t>La idea: el Corán, la Mishná, el Talmud y el Avesta repiten los nueve principios, y la tradición rabínica da la regla más directa contra las cargas imposibles; las tres tienen su pata coja.</w:t>
      </w:r>
    </w:p>
    <w:p>
      <w:r>
        <w:t>Fuentes: el Corán, en la traducción de Julio Cortés (tanzil.net; las 35 aleyas, letra a letra); la Mishná y el Talmud, en hebreo y arameo (Sefaria; los 21 pasajes coinciden); el Avesta, en avesta.org, con las traducciones de Bartholomae, Mills y Darmesteter. Nivel A. Los hadices se leyeron en una copia de datos de las colecciones (fawazahmed0/hadith-api), con las traducciones inglesas de Muhsin Khan (al-Bujari) y Siddiqui (Muslim): son fuente secundaria hasta cotejarlos con una edición impresa, y así se marcan.</w:t>
      </w:r>
    </w:p>
    <w:p>
      <w:pPr>
        <w:pStyle w:val="ListBullet"/>
      </w:pPr>
      <w:r>
        <w:rPr>
          <w:b/>
        </w:rPr>
        <w:t>P1. El gobernante existe para el pueblo.</w:t>
      </w:r>
      <w:r>
        <w:t xml:space="preserve"> </w:t>
      </w:r>
    </w:p>
    <w:p>
      <w:pPr>
        <w:pStyle w:val="ListBullet2"/>
      </w:pPr>
      <w:r>
        <w:rPr>
          <w:b/>
        </w:rPr>
        <w:t>Persia:</w:t>
      </w:r>
      <w:r>
        <w:t xml:space="preserve"> «que nos gobiernen buenos gobernantes, no malos»</w:t>
      </w:r>
      <w:r>
        <w:t xml:space="preserve"> [original: «huxshathrâ xshêñtãm mâ-nê dushe-xshathrâ xshêñtâ»; en la traducción de Bartholomae, «Let good rulers rule us, not evil rulers»]</w:t>
      </w:r>
      <w:r>
        <w:t xml:space="preserve"> (Avesta, Yasna 48.5)</w:t>
      </w:r>
      <w:r>
        <w:br/>
      </w:r>
      <w:r>
        <w:rPr>
          <w:b/>
        </w:rPr>
        <w:t>leída en su fuente · Avesta, Yasna 48.5</w:t>
      </w:r>
      <w:r>
        <w:br/>
      </w:r>
      <w:r>
        <w:rPr>
          <w:b/>
        </w:rPr>
        <w:t>Archivo leído:</w:t>
      </w:r>
      <w:r>
        <w:t xml:space="preserve"> avesta_org_yasna_47-50.htm (reparacion_citas\avesta_org_yasna_47-50.htm) · contraste del archivo de pasajes: ✔</w:t>
      </w:r>
      <w:r>
        <w:br/>
      </w:r>
      <w:r>
        <w:rPr>
          <w:b/>
        </w:rPr>
        <w:t>Lugar:</w:t>
      </w:r>
      <w:r>
        <w:t xml:space="preserve"> Avesta, Yasna 48.5</w:t>
      </w:r>
      <w:r>
        <w:br/>
      </w:r>
      <w:r>
        <w:rPr>
          <w:b/>
        </w:rPr>
        <w:t>Tal como está en la fuente:</w:t>
      </w:r>
      <w:r>
        <w:t xml:space="preserve"> huxshathrâ xshêñtãm mâ-nê dushe-xshathrâ xshêñtâ</w:t>
      </w:r>
      <w:r>
        <w:t>. Y la plegaria Ahuna Vairya: «el Reino es para Ahura, que dará al pobre quien lo sustente»</w:t>
      </w:r>
      <w:r>
        <w:t xml:space="preserve"> [original: «the Kingdom (is) for Ahura which to the poor shall offer a nurturer», en la traducción de Mills]</w:t>
      </w:r>
      <w:r>
        <w:t xml:space="preserve"> (Avesta, Ahuna Vairya)</w:t>
      </w:r>
      <w:r>
        <w:br/>
      </w:r>
      <w:r>
        <w:rPr>
          <w:b/>
        </w:rPr>
        <w:t>leída en su fuente · Avesta, Ahuna Vairya</w:t>
      </w:r>
      <w:r>
        <w:br/>
      </w:r>
      <w:r>
        <w:rPr>
          <w:b/>
        </w:rPr>
        <w:t>Archivo leído:</w:t>
      </w:r>
      <w:r>
        <w:t xml:space="preserve"> yasna_ingles_avesta_org.html (c4\yasna_ingles_avesta_org.html) · contraste del archivo de pasajes: ✔</w:t>
      </w:r>
      <w:r>
        <w:br/>
      </w:r>
      <w:r>
        <w:rPr>
          <w:b/>
        </w:rPr>
        <w:t>Lugar:</w:t>
      </w:r>
      <w:r>
        <w:t xml:space="preserve"> Avesta, Ahuna Vairya</w:t>
      </w:r>
      <w:r>
        <w:br/>
      </w:r>
      <w:r>
        <w:rPr>
          <w:b/>
        </w:rPr>
        <w:t>Tal como está en la fuente:</w:t>
      </w:r>
      <w:r>
        <w:t xml:space="preserve"> the Kingdom (is) for Ahura which to the poor shall offer a nurturer</w:t>
      </w:r>
      <w:r>
        <w:t>.</w:t>
      </w:r>
    </w:p>
    <w:p>
      <w:pPr>
        <w:pStyle w:val="ListBullet2"/>
      </w:pPr>
      <w:r>
        <w:rPr>
          <w:b/>
        </w:rPr>
        <w:t>El islam:</w:t>
      </w:r>
      <w:r>
        <w:t xml:space="preserve"> «¡No obedezcáis las órdenes de los inmoderados, que corrompen en la tierra y no la reforman!»</w:t>
      </w:r>
      <w:r>
        <w:t xml:space="preserve"> (Corán 26:151-152, traducción de Julio Cortés)</w:t>
      </w:r>
      <w:r>
        <w:br/>
      </w:r>
      <w:r>
        <w:rPr>
          <w:b/>
        </w:rPr>
        <w:t>leída en su fuente · Corán 26:151-152, traducción de Julio Cortés</w:t>
      </w:r>
      <w:r>
        <w:br/>
      </w:r>
      <w:r>
        <w:rPr>
          <w:b/>
        </w:rPr>
        <w:t>Archivo leído:</w:t>
      </w:r>
      <w:r>
        <w:t xml:space="preserve"> coran_cortes_texto_corrido.txt (c4\coran_cortes_texto_corrido.txt) · contraste del archivo de pasajes: ✔</w:t>
      </w:r>
      <w:r>
        <w:br/>
      </w:r>
      <w:r>
        <w:rPr>
          <w:b/>
        </w:rPr>
        <w:t>Lugar:</w:t>
      </w:r>
      <w:r>
        <w:t xml:space="preserve"> Corán 26:151-152, traducción de Julio Cortés</w:t>
      </w:r>
      <w:r>
        <w:br/>
      </w:r>
      <w:r>
        <w:rPr>
          <w:b/>
        </w:rPr>
        <w:t>Tal como está en la fuente:</w:t>
      </w:r>
      <w:r>
        <w:t xml:space="preserve"> ¡No obedezcáis las órdenes de los inmoderados, que corrompen en la tierra y no la reforman!</w:t>
      </w:r>
      <w:r>
        <w:t>. Y: «Mi alianza no incluye a los impíos»</w:t>
      </w:r>
      <w:r>
        <w:t xml:space="preserve"> (Corán 2:124, traducción de Julio Cortés)</w:t>
      </w:r>
      <w:r>
        <w:br/>
      </w:r>
      <w:r>
        <w:rPr>
          <w:b/>
        </w:rPr>
        <w:t>leída en su fuente · Corán 2:124,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2:124, traducción de Julio Cortés</w:t>
      </w:r>
      <w:r>
        <w:br/>
      </w:r>
      <w:r>
        <w:rPr>
          <w:b/>
        </w:rPr>
        <w:t>Tal como está en la fuente:</w:t>
      </w:r>
      <w:r>
        <w:t xml:space="preserve"> Mi alianza no incluye a los impíos</w:t>
      </w:r>
      <w:r>
        <w:t>, dicho del liderazgo prometido a Abraham; aplicarlo al gobernante civil es lectura.</w:t>
      </w:r>
    </w:p>
    <w:p>
      <w:pPr>
        <w:pStyle w:val="ListBullet2"/>
      </w:pPr>
      <w:r>
        <w:rPr>
          <w:b/>
        </w:rPr>
        <w:t>Un hadiz</w:t>
      </w:r>
      <w:r>
        <w:t xml:space="preserve"> (fuente secundaria): quien recibe de Dios autoridad sobre un pueblo y no lo cuida con honradez «nunca sentirá ni siquiera el aroma del Paraíso»</w:t>
      </w:r>
      <w:r>
        <w:t xml:space="preserve"> [original: «Any man whom Allah has given the authority of ruling some people and he does not look after them in an honest manner, will never feel even the smell of Paradise», en la traducción de Muhsin Khan]</w:t>
      </w:r>
      <w:r>
        <w:t xml:space="preserve"> (Sahih al-Bujari 7150; fuente secundaria)</w:t>
      </w:r>
      <w:r>
        <w:br/>
      </w:r>
      <w:r>
        <w:rPr>
          <w:b/>
        </w:rPr>
        <w:t>leída en su fuente · Sahih al-Bujari 7150; fuente secundaria</w:t>
      </w:r>
      <w:r>
        <w:br/>
      </w:r>
      <w:r>
        <w:rPr>
          <w:b/>
        </w:rPr>
        <w:t>Archivo leído:</w:t>
      </w:r>
      <w:r>
        <w:t xml:space="preserve"> eng-bukhari.json (cierre_B3_B4_9oct\hadices_completos_hadith_api\eng-bukhari.json) · contraste del archivo de pasajes: ✔</w:t>
      </w:r>
      <w:r>
        <w:br/>
      </w:r>
      <w:r>
        <w:rPr>
          <w:b/>
        </w:rPr>
        <w:t>Lugar:</w:t>
      </w:r>
      <w:r>
        <w:t xml:space="preserve"> Sahih al-Bujari 7150; fuente secundaria</w:t>
      </w:r>
      <w:r>
        <w:br/>
      </w:r>
      <w:r>
        <w:rPr>
          <w:b/>
        </w:rPr>
        <w:t>Tal como está en la fuente:</w:t>
      </w:r>
      <w:r>
        <w:t xml:space="preserve"> Any man whom Allah has given the authority of ruling some people and he does not look after them in an honest manner, will never feel even the smell of Paradise</w:t>
      </w:r>
      <w:r>
        <w:t>.</w:t>
      </w:r>
    </w:p>
    <w:p>
      <w:pPr>
        <w:pStyle w:val="ListBullet2"/>
      </w:pPr>
      <w:r>
        <w:t>«¿Creéis que os doy autoridad? Servidumbre os doy»</w:t>
      </w:r>
      <w:r>
        <w:t xml:space="preserve"> [original: «עַבְדוּת אֲנִי נוֹתֵן לָכֶם»]</w:t>
      </w:r>
      <w:r>
        <w:t xml:space="preserve"> (Talmud, Horayot 10b), en </w:t>
      </w:r>
      <w:r>
        <w:t>3.2</w:t>
      </w:r>
      <w:r>
        <w:t>.</w:t>
      </w:r>
    </w:p>
    <w:p>
      <w:pPr>
        <w:pStyle w:val="ListBullet"/>
      </w:pPr>
      <w:r>
        <w:rPr>
          <w:b/>
        </w:rPr>
        <w:t>P2. Impuestos moderados.</w:t>
      </w:r>
      <w:r>
        <w:t xml:space="preserve"> </w:t>
      </w:r>
    </w:p>
    <w:p>
      <w:pPr>
        <w:pStyle w:val="ListBullet2"/>
      </w:pPr>
      <w:r>
        <w:rPr>
          <w:b/>
        </w:rPr>
        <w:t>Hadices</w:t>
      </w:r>
      <w:r>
        <w:t xml:space="preserve"> (fuente secundaria): al enviar a Muadh a recaudar al Yemen, el Profeta le mandó guardarse de tomar lo mejor de los bienes de la gente y temer la súplica del oprimido, porque entre ella y Dios no hay velo (Sahih al-Bujari 1496); y en otro, el cobrador de tributo abusivo (</w:t>
      </w:r>
      <w:r>
        <w:rPr>
          <w:i/>
        </w:rPr>
        <w:t>sahib maks</w:t>
      </w:r>
      <w:r>
        <w:t>) aparece como modelo del pecador más grave (Sahih Muslim 1695).</w:t>
      </w:r>
    </w:p>
    <w:p>
      <w:pPr>
        <w:pStyle w:val="ListBullet2"/>
      </w:pPr>
      <w:r>
        <w:t xml:space="preserve">La caja de los aduaneros sin tasa fija, que se presume robada (Mishná y Talmud, Bava Kamma), en </w:t>
      </w:r>
      <w:r>
        <w:t>3.2</w:t>
      </w:r>
      <w:r>
        <w:t>.</w:t>
      </w:r>
    </w:p>
    <w:p>
      <w:pPr>
        <w:pStyle w:val="ListBullet"/>
      </w:pPr>
      <w:r>
        <w:rPr>
          <w:b/>
        </w:rPr>
        <w:t>P3. No quitar al pueblo su tiempo.</w:t>
      </w:r>
      <w:r>
        <w:t xml:space="preserve"> </w:t>
      </w:r>
    </w:p>
    <w:p>
      <w:pPr>
        <w:pStyle w:val="ListBullet2"/>
      </w:pPr>
      <w:r>
        <w:rPr>
          <w:b/>
        </w:rPr>
        <w:t>La tradición rabínica:</w:t>
      </w:r>
      <w:r>
        <w:t xml:space="preserve"> quien contrata jornaleros y les manda madrugar y trasnochar donde no es costumbre «no está autorizado a obligarles»</w:t>
      </w:r>
      <w:r>
        <w:t xml:space="preserve"> [original: «אֵינוֹ רַשַּׁאי לְכוֹפָן»]</w:t>
      </w:r>
      <w:r>
        <w:t xml:space="preserve"> (Mishná, Bava Metsiá 7:1)</w:t>
      </w:r>
      <w:r>
        <w:br/>
      </w:r>
      <w:r>
        <w:rPr>
          <w:b/>
        </w:rPr>
        <w:t>leída en su fuente · Mishná, Bava Metsiá 7:1</w:t>
      </w:r>
      <w:r>
        <w:br/>
      </w:r>
      <w:r>
        <w:rPr>
          <w:b/>
        </w:rPr>
        <w:t>Original donde está:</w:t>
      </w:r>
      <w:r>
        <w:t xml:space="preserve"> sefaria_Mishnah_Bava_Metzia_entera.json</w:t>
      </w:r>
      <w:r>
        <w:br/>
      </w:r>
      <w:r>
        <w:t>El pasaje literal no está en el archivo de pasajes con este comienzo; la auditoría lo halló en ese original.</w:t>
      </w:r>
      <w:r>
        <w:t xml:space="preserve">. «Y no siervos de siervos» (Bava Metsiá 10a), en </w:t>
      </w:r>
      <w:r>
        <w:t>3.2</w:t>
      </w:r>
      <w:r>
        <w:t>.</w:t>
      </w:r>
    </w:p>
    <w:p>
      <w:pPr>
        <w:pStyle w:val="ListBullet2"/>
      </w:pPr>
      <w:r>
        <w:rPr>
          <w:b/>
        </w:rPr>
        <w:t>El islam:</w:t>
      </w:r>
      <w:r>
        <w:t xml:space="preserve"> Dios «ha establecido la noche para vosotros para que descanséis y el día para que busquéis Su favor»</w:t>
      </w:r>
      <w:r>
        <w:t xml:space="preserve"> (Corán 28:73, traducción de Julio Cortés)</w:t>
      </w:r>
      <w:r>
        <w:br/>
      </w:r>
      <w:r>
        <w:rPr>
          <w:b/>
        </w:rPr>
        <w:t>leída en su fuente · Corán 28:73,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28:73, traducción de Julio Cortés</w:t>
      </w:r>
      <w:r>
        <w:br/>
      </w:r>
      <w:r>
        <w:rPr>
          <w:b/>
        </w:rPr>
        <w:t>Tal como está en la fuente:</w:t>
      </w:r>
      <w:r>
        <w:t xml:space="preserve"> ha establecido la noche para vosotros para que descanséis y el día para que busquéis Su favor</w:t>
      </w:r>
      <w:r>
        <w:t>; y ha «hecho de vuestro sueño descanso […] del día medio de subsistencia»</w:t>
      </w:r>
      <w:r>
        <w:t xml:space="preserve"> (Corán 78:9-11, traducción de Julio Cortés)</w:t>
      </w:r>
      <w:r>
        <w:br/>
      </w:r>
      <w:r>
        <w:rPr>
          <w:b/>
        </w:rPr>
        <w:t>leída en su fuente · Corán 78:9-11,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78:9-11, traducción de Julio Cortés</w:t>
      </w:r>
      <w:r>
        <w:br/>
      </w:r>
      <w:r>
        <w:rPr>
          <w:b/>
        </w:rPr>
        <w:t>Tal como está en la fuente:</w:t>
      </w:r>
      <w:r>
        <w:t xml:space="preserve"> hecho de vuestro sueño descanso […] del día medio de subsistencia</w:t>
      </w:r>
      <w:r>
        <w:t>.</w:t>
      </w:r>
    </w:p>
    <w:p>
      <w:pPr>
        <w:pStyle w:val="ListBullet"/>
      </w:pPr>
      <w:r>
        <w:rPr>
          <w:b/>
        </w:rPr>
        <w:t>P4. Pesas y medidas justas.</w:t>
      </w:r>
      <w:r>
        <w:t xml:space="preserve"> </w:t>
      </w:r>
    </w:p>
    <w:p>
      <w:pPr>
        <w:pStyle w:val="ListBullet2"/>
      </w:pPr>
      <w:r>
        <w:rPr>
          <w:b/>
        </w:rPr>
        <w:t>El islam:</w:t>
      </w:r>
      <w:r>
        <w:t xml:space="preserve"> el profeta Suayb a los madianitas: «¡Dad la medida y el peso justos, no defraudéis a los hombres en sus bienes! ¡No corrompáis en la tierra después de reformada!»</w:t>
      </w:r>
      <w:r>
        <w:t xml:space="preserve"> (Corán 7:85, traducción de Julio Cortés)</w:t>
      </w:r>
      <w:r>
        <w:br/>
      </w:r>
      <w:r>
        <w:rPr>
          <w:b/>
        </w:rPr>
        <w:t>leída en su fuente · Corán 7:85,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7:85, traducción de Julio Cortés</w:t>
      </w:r>
      <w:r>
        <w:br/>
      </w:r>
      <w:r>
        <w:rPr>
          <w:b/>
        </w:rPr>
        <w:t>Tal como está en la fuente:</w:t>
      </w:r>
      <w:r>
        <w:t xml:space="preserve"> ¡Dad la medida y el peso justos, no defraudéis a los hombres en sus bienes! ¡No corrompáis en la tierra después de reformada!</w:t>
      </w:r>
      <w:r>
        <w:t>; y lo mismo en 11:84-85, 26:181-183 y 17:35.</w:t>
      </w:r>
    </w:p>
    <w:p>
      <w:pPr>
        <w:pStyle w:val="ListBullet2"/>
      </w:pPr>
      <w:r>
        <w:t xml:space="preserve">Los defraudadores (Corán 83:1-3) y la balanza limpia en cada pesada (Mishná, Bava Batra 5:10), en </w:t>
      </w:r>
      <w:r>
        <w:t>3.2</w:t>
      </w:r>
      <w:r>
        <w:t>.</w:t>
      </w:r>
    </w:p>
    <w:p>
      <w:pPr>
        <w:pStyle w:val="ListBullet"/>
      </w:pPr>
      <w:r>
        <w:rPr>
          <w:b/>
        </w:rPr>
        <w:t>P5. Devolver lo confiado.</w:t>
      </w:r>
      <w:r>
        <w:t xml:space="preserve"> </w:t>
      </w:r>
    </w:p>
    <w:p>
      <w:pPr>
        <w:pStyle w:val="ListBullet2"/>
      </w:pPr>
      <w:r>
        <w:rPr>
          <w:b/>
        </w:rPr>
        <w:t>El islam:</w:t>
      </w:r>
      <w:r>
        <w:t xml:space="preserve"> «Si uno confía un depósito a otro, debe el depositario restituir el depósito en el temor de Alá»</w:t>
      </w:r>
      <w:r>
        <w:t xml:space="preserve"> (Corán 2:283, traducción de Julio Cortés)</w:t>
      </w:r>
      <w:r>
        <w:br/>
      </w:r>
      <w:r>
        <w:rPr>
          <w:b/>
        </w:rPr>
        <w:t>leída en su fuente · Corán 2:283,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2:283, traducción de Julio Cortés</w:t>
      </w:r>
      <w:r>
        <w:br/>
      </w:r>
      <w:r>
        <w:rPr>
          <w:b/>
        </w:rPr>
        <w:t>Tal como está en la fuente:</w:t>
      </w:r>
      <w:r>
        <w:t xml:space="preserve"> Si uno confía un depósito a otro, debe el depositario restituir el depósito en el temor de Alá</w:t>
      </w:r>
      <w:r>
        <w:t xml:space="preserve">. Corán 4:58 y 8:27, en </w:t>
      </w:r>
      <w:r>
        <w:t>3.2</w:t>
      </w:r>
      <w:r>
        <w:t>.</w:t>
      </w:r>
    </w:p>
    <w:p>
      <w:pPr>
        <w:pStyle w:val="ListBullet2"/>
      </w:pPr>
      <w:r>
        <w:rPr>
          <w:b/>
        </w:rPr>
        <w:t>Persia:</w:t>
      </w:r>
      <w:r>
        <w:t xml:space="preserve"> «no rompas el contrato, ni el que hiciste con un infiel ni el que hiciste con uno de tu fe»</w:t>
      </w:r>
      <w:r>
        <w:t xml:space="preserve"> [original: «Break not the contract […] neither the one that thou hadst entered into with one of the unfaithful, nor the one […] with one of the faithful», en la traducción de Darmesteter]</w:t>
      </w:r>
      <w:r>
        <w:t xml:space="preserve"> (Avesta, Mihr Yasht 10.2)</w:t>
      </w:r>
      <w:r>
        <w:br/>
      </w:r>
      <w:r>
        <w:rPr>
          <w:b/>
        </w:rPr>
        <w:t>leída en su fuente · Avesta, Mihr Yasht 10.2</w:t>
      </w:r>
      <w:r>
        <w:br/>
      </w:r>
      <w:r>
        <w:rPr>
          <w:b/>
        </w:rPr>
        <w:t>Archivo leído:</w:t>
      </w:r>
      <w:r>
        <w:t xml:space="preserve"> avesta_org_mihr_yasht_SBE.htm (reparacion_citas\avesta_org_mihr_yasht_SBE.htm) · contraste del archivo de pasajes: ✔</w:t>
      </w:r>
      <w:r>
        <w:br/>
      </w:r>
      <w:r>
        <w:rPr>
          <w:b/>
        </w:rPr>
        <w:t>Lugar:</w:t>
      </w:r>
      <w:r>
        <w:t xml:space="preserve"> Avesta, Mihr Yasht 10.2</w:t>
      </w:r>
      <w:r>
        <w:br/>
      </w:r>
      <w:r>
        <w:rPr>
          <w:b/>
        </w:rPr>
        <w:t>Tal como está en la fuente:</w:t>
      </w:r>
      <w:r>
        <w:t xml:space="preserve"> Break not the contract […] neither the one that thou hadst entered into with one of the unfaithful, nor the one […] with one of the faithful</w:t>
      </w:r>
      <w:r>
        <w:t xml:space="preserve">. El préstamo no devuelto, que «roba la cosa y despoja al hombre» (Vendidad 4.1), en </w:t>
      </w:r>
      <w:r>
        <w:t>3.2</w:t>
      </w:r>
      <w:r>
        <w:t>.</w:t>
      </w:r>
    </w:p>
    <w:p>
      <w:pPr>
        <w:pStyle w:val="ListBullet2"/>
      </w:pPr>
      <w:r>
        <w:rPr>
          <w:b/>
        </w:rPr>
        <w:t>La tradición rabínica:</w:t>
      </w:r>
      <w:r>
        <w:t xml:space="preserve"> lo robado se devuelve «aunque sea hasta Media» (</w:t>
      </w:r>
      <w:r>
        <w:t>3.2</w:t>
      </w:r>
      <w:r>
        <w:t>)</w:t>
      </w:r>
      <w:r>
        <w:t xml:space="preserve"> [original: «אֲפִלּוּ לְמָדַי»]</w:t>
      </w:r>
      <w:r>
        <w:t xml:space="preserve"> y, si la víctima murió, a sus herederos</w:t>
      </w:r>
      <w:r>
        <w:t xml:space="preserve"> (Mishná, Bava Kamma 9:5)</w:t>
      </w:r>
      <w:r>
        <w:t>.</w:t>
      </w:r>
    </w:p>
    <w:p>
      <w:pPr>
        <w:pStyle w:val="ListBullet"/>
      </w:pPr>
      <w:r>
        <w:rPr>
          <w:b/>
        </w:rPr>
        <w:t>P6. Contra la usura; perdonar las deudas.</w:t>
      </w:r>
      <w:r>
        <w:t xml:space="preserve"> El Corán y la Mishná, en </w:t>
      </w:r>
      <w:r>
        <w:t>3.3</w:t>
      </w:r>
      <w:r>
        <w:t>. Y un hadiz (fuente secundaria): en su sermón de despedida, el Profeta declaró abolida la usura de la época de la ignorancia, y la primera que anuló fue la de los suyos (Sahih Muslim 1218).</w:t>
      </w:r>
    </w:p>
    <w:p>
      <w:pPr>
        <w:pStyle w:val="ListBullet"/>
      </w:pPr>
      <w:r>
        <w:rPr>
          <w:b/>
        </w:rPr>
        <w:t>P7. Cada uno responde de lo suyo; examinar antes de castigar.</w:t>
      </w:r>
      <w:r>
        <w:t xml:space="preserve"> </w:t>
      </w:r>
    </w:p>
    <w:p>
      <w:pPr>
        <w:pStyle w:val="ListBullet2"/>
      </w:pPr>
      <w:r>
        <w:rPr>
          <w:b/>
        </w:rPr>
        <w:t>El islam:</w:t>
      </w:r>
      <w:r>
        <w:t xml:space="preserve"> «Nadie cargará con la carga ajena» (Corán 6:164, en </w:t>
      </w:r>
      <w:r>
        <w:t>3.2</w:t>
      </w:r>
      <w:r>
        <w:t>) se repite en 17:15 y 35:18; y «el hombre sólo será sancionado con arreglo a su propio esfuerzo»</w:t>
      </w:r>
      <w:r>
        <w:t xml:space="preserve"> (Corán 53:39, traducción de Julio Cortés)</w:t>
      </w:r>
      <w:r>
        <w:br/>
      </w:r>
      <w:r>
        <w:rPr>
          <w:b/>
        </w:rPr>
        <w:t>leída en su fuente · Corán 53:39,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53:39, traducción de Julio Cortés</w:t>
      </w:r>
      <w:r>
        <w:br/>
      </w:r>
      <w:r>
        <w:rPr>
          <w:b/>
        </w:rPr>
        <w:t>Tal como está en la fuente:</w:t>
      </w:r>
      <w:r>
        <w:t xml:space="preserve"> el hombre sólo será sancionado con arreglo a su propio esfuerzo</w:t>
      </w:r>
      <w:r>
        <w:t xml:space="preserve">. «Examinadla bien» (49:6), en </w:t>
      </w:r>
      <w:r>
        <w:t>3.2</w:t>
      </w:r>
      <w:r>
        <w:t>.</w:t>
      </w:r>
    </w:p>
    <w:p>
      <w:pPr>
        <w:pStyle w:val="ListBullet2"/>
      </w:pPr>
      <w:r>
        <w:rPr>
          <w:b/>
        </w:rPr>
        <w:t>La tradición rabínica:</w:t>
      </w:r>
      <w:r>
        <w:t xml:space="preserve"> interrogar a fondo a los testigos y ser pausados en el juicio (Avot 1:9 y 1:1), en </w:t>
      </w:r>
      <w:r>
        <w:t>3.2</w:t>
      </w:r>
      <w:r>
        <w:t>; y la Mishná tiene por digno de alabanza a todo el que multiplica las comprobaciones (Sanedrín 5:2).</w:t>
      </w:r>
    </w:p>
    <w:p>
      <w:pPr>
        <w:pStyle w:val="ListBullet"/>
      </w:pPr>
      <w:r>
        <w:rPr>
          <w:b/>
        </w:rPr>
        <w:t>P8. El castigo no es un negocio; contra el soborno.</w:t>
      </w:r>
      <w:r>
        <w:t xml:space="preserve"> </w:t>
      </w:r>
    </w:p>
    <w:p>
      <w:pPr>
        <w:pStyle w:val="ListBullet2"/>
      </w:pPr>
      <w:r>
        <w:rPr>
          <w:b/>
        </w:rPr>
        <w:t>El islam:</w:t>
      </w:r>
      <w:r>
        <w:t xml:space="preserve"> el soborno a los jueces (Corán 2:188), en </w:t>
      </w:r>
      <w:r>
        <w:t>3.2</w:t>
      </w:r>
      <w:r>
        <w:t>; y el Corán reprocha a quienes «devoran el soborno»</w:t>
      </w:r>
      <w:r>
        <w:t xml:space="preserve"> (Corán 5:42 y 5:63, traducción de Julio Cortés)</w:t>
      </w:r>
      <w:r>
        <w:t>.</w:t>
      </w:r>
    </w:p>
    <w:p>
      <w:pPr>
        <w:pStyle w:val="ListBullet2"/>
      </w:pPr>
      <w:r>
        <w:rPr>
          <w:b/>
        </w:rPr>
        <w:t>La tradición rabínica:</w:t>
      </w:r>
      <w:r>
        <w:t xml:space="preserve"> quien cobra por juzgar (Bejorot 4:6), en </w:t>
      </w:r>
      <w:r>
        <w:t>3.2</w:t>
      </w:r>
      <w:r>
        <w:t>; y el Talmud enseña que la Torá prohíbe aceptar soborno aun para absolver al inocente y condenar al culpable (Ketubot 105a).</w:t>
      </w:r>
    </w:p>
    <w:p>
      <w:pPr>
        <w:pStyle w:val="ListBullet2"/>
      </w:pPr>
      <w:r>
        <w:rPr>
          <w:b/>
        </w:rPr>
        <w:t>Un hadiz</w:t>
      </w:r>
      <w:r>
        <w:t xml:space="preserve"> (fuente secundaria): al recaudador que se quedó con los regalos que le hicieron, el Profeta le preguntó por qué no se quedaba en casa de su padre y de su madre, a ver si le regalaban algo (Sahih al-Bujari 7174).</w:t>
      </w:r>
    </w:p>
    <w:p>
      <w:pPr>
        <w:pStyle w:val="ListBullet2"/>
      </w:pPr>
      <w:r>
        <w:rPr>
          <w:b/>
        </w:rPr>
        <w:t>Lo que no se encontró:</w:t>
      </w:r>
      <w:r>
        <w:t xml:space="preserve"> ninguna de las tres tradiciones tiene un texto expreso contra las multas como ingreso del poder (</w:t>
      </w:r>
      <w:r>
        <w:t>3.2</w:t>
      </w:r>
      <w:r>
        <w:t>).</w:t>
      </w:r>
    </w:p>
    <w:p>
      <w:pPr>
        <w:pStyle w:val="ListBullet"/>
      </w:pPr>
      <w:r>
        <w:rPr>
          <w:b/>
        </w:rPr>
        <w:t>P9. Más leyes, más pobreza.</w:t>
      </w:r>
      <w:r>
        <w:t xml:space="preserve"> </w:t>
      </w:r>
    </w:p>
    <w:p>
      <w:pPr>
        <w:pStyle w:val="ListBullet2"/>
      </w:pPr>
      <w:r>
        <w:rPr>
          <w:b/>
        </w:rPr>
        <w:t>El islam:</w:t>
      </w:r>
      <w:r>
        <w:t xml:space="preserve"> «Alá quiere hacéroslo fácil y no difícil»</w:t>
      </w:r>
      <w:r>
        <w:t xml:space="preserve"> (Corán 2:185, traducción de Julio Cortés)</w:t>
      </w:r>
      <w:r>
        <w:br/>
      </w:r>
      <w:r>
        <w:rPr>
          <w:b/>
        </w:rPr>
        <w:t>leída en su fuente · Corán 2:185,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2:185, traducción de Julio Cortés</w:t>
      </w:r>
      <w:r>
        <w:br/>
      </w:r>
      <w:r>
        <w:rPr>
          <w:b/>
        </w:rPr>
        <w:t>Tal como está en la fuente:</w:t>
      </w:r>
      <w:r>
        <w:t xml:space="preserve"> Alá quiere hacéroslo fácil y no difícil</w:t>
      </w:r>
      <w:r>
        <w:t>; el Profeta «les libera de sus cargas y de las cadenas que sobre ellos pesaban»</w:t>
      </w:r>
      <w:r>
        <w:t xml:space="preserve"> (Corán 7:157, traducción de Julio Cortés)</w:t>
      </w:r>
      <w:r>
        <w:br/>
      </w:r>
      <w:r>
        <w:rPr>
          <w:b/>
        </w:rPr>
        <w:t>leída en su fuente · Corán 7:157,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7:157, traducción de Julio Cortés</w:t>
      </w:r>
      <w:r>
        <w:br/>
      </w:r>
      <w:r>
        <w:rPr>
          <w:b/>
        </w:rPr>
        <w:t>Tal como está en la fuente:</w:t>
      </w:r>
      <w:r>
        <w:t xml:space="preserve"> les libera de sus cargas y de las cadenas que sobre ellos pesaban</w:t>
      </w:r>
      <w:r>
        <w:t>; Dios «no os ha impuesto ninguna carga en la religión»</w:t>
      </w:r>
      <w:r>
        <w:t xml:space="preserve"> (Corán 22:78, traducción de Julio Cortés)</w:t>
      </w:r>
      <w:r>
        <w:br/>
      </w:r>
      <w:r>
        <w:rPr>
          <w:b/>
        </w:rPr>
        <w:t>leída en su fuente · Corán 22:78,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22:78, traducción de Julio Cortés</w:t>
      </w:r>
      <w:r>
        <w:br/>
      </w:r>
      <w:r>
        <w:rPr>
          <w:b/>
        </w:rPr>
        <w:t>Tal como está en la fuente:</w:t>
      </w:r>
      <w:r>
        <w:t xml:space="preserve"> no os ha impuesto ninguna carga en la religión</w:t>
      </w:r>
      <w:r>
        <w:t xml:space="preserve">. «Alá no pide nada a nadie más allá de sus posibilidades» (2:286), en </w:t>
      </w:r>
      <w:r>
        <w:t>3.2</w:t>
      </w:r>
      <w:r>
        <w:t>.</w:t>
      </w:r>
    </w:p>
    <w:p>
      <w:pPr>
        <w:pStyle w:val="ListBullet2"/>
      </w:pPr>
      <w:r>
        <w:rPr>
          <w:b/>
        </w:rPr>
        <w:t>Un hadiz</w:t>
      </w:r>
      <w:r>
        <w:t xml:space="preserve"> (fuente secundaria): el mayor culpable es quien preguntó por algo que no estaba prohibido y, por su pregunta, quedó prohibido (Sahih al-Bujari 7289).</w:t>
      </w:r>
    </w:p>
    <w:p>
      <w:pPr>
        <w:pStyle w:val="ListBullet2"/>
      </w:pPr>
      <w:r>
        <w:t xml:space="preserve">La regla más directa de todas: no se decreta una norma sobre la comunidad si la mayoría no puede cumplirla (Talmud, Avodá Zará 36a), en </w:t>
      </w:r>
      <w:r>
        <w:t>3.2</w:t>
      </w:r>
      <w:r>
        <w:t>.</w:t>
      </w:r>
    </w:p>
    <w:p>
      <w:pPr>
        <w:pStyle w:val="ListBullet"/>
      </w:pPr>
      <w:r>
        <w:rPr>
          <w:b/>
        </w:rPr>
        <w:t>La pata coja, que se dice:</w:t>
      </w:r>
      <w:r>
        <w:t xml:space="preserve"> </w:t>
      </w:r>
    </w:p>
    <w:p>
      <w:pPr>
        <w:pStyle w:val="ListBullet2"/>
      </w:pPr>
      <w:r>
        <w:rPr>
          <w:b/>
        </w:rPr>
        <w:t>El islam</w:t>
      </w:r>
      <w:r>
        <w:t xml:space="preserve"> (fuente secundaria): ante gobernantes «con corazón de demonios», un hadiz manda: «aunque te azoten la espalda y te quiten tus bienes, debes escuchar y obedecer»</w:t>
      </w:r>
      <w:r>
        <w:t xml:space="preserve"> [original: «men who will have the hearts of devils in the bodies of human beings»; «even if your back is flogged and your wealth is snatched, you should listen and obey», en la traducción de Siddiqui]</w:t>
      </w:r>
      <w:r>
        <w:t xml:space="preserve"> (Sahih Muslim 1847; fuente secundaria)</w:t>
      </w:r>
      <w:r>
        <w:br/>
      </w:r>
      <w:r>
        <w:rPr>
          <w:b/>
        </w:rPr>
        <w:t>leída en su fuente · Sahih Muslim 1847; fuente secundaria</w:t>
      </w:r>
      <w:r>
        <w:br/>
      </w:r>
      <w:r>
        <w:rPr>
          <w:b/>
        </w:rPr>
        <w:t>Archivo leído:</w:t>
      </w:r>
      <w:r>
        <w:t xml:space="preserve"> hadith_api_eng-muslim.json (reparacion_citas\hadith_api_eng-muslim.json) · contraste del archivo de pasajes: ✔</w:t>
      </w:r>
      <w:r>
        <w:br/>
      </w:r>
      <w:r>
        <w:rPr>
          <w:b/>
        </w:rPr>
        <w:t>Lugar:</w:t>
      </w:r>
      <w:r>
        <w:t xml:space="preserve"> Sahih Muslim 1847; fuente secundaria</w:t>
      </w:r>
      <w:r>
        <w:br/>
      </w:r>
      <w:r>
        <w:rPr>
          <w:b/>
        </w:rPr>
        <w:t>Tal como está en la fuente:</w:t>
      </w:r>
      <w:r>
        <w:t xml:space="preserve"> men who will have the hearts of devils in the bodies of human beings</w:t>
      </w:r>
      <w:r>
        <w:t xml:space="preserve">. Choca de frente con P1 y P2, y van en la misma línea Muslim 1846 y 1855 y Bujari 7053. El límite que pone la propia tradición es que no hay obediencia en el pecado (Sahih al-Bujari 7144); pero ese límite es el pecado, no el mal gobierno ni el exceso de tributos. Obedecer «a aquellos de vosotros que tengan autoridad» (Corán 4:59), con su condición en 4:58, está en </w:t>
      </w:r>
      <w:r>
        <w:t>10.1</w:t>
      </w:r>
      <w:r>
        <w:t>.</w:t>
      </w:r>
    </w:p>
    <w:p>
      <w:pPr>
        <w:pStyle w:val="ListBullet2"/>
      </w:pPr>
      <w:r>
        <w:rPr>
          <w:b/>
        </w:rPr>
        <w:t>La tradición rabínica:</w:t>
      </w:r>
      <w:r>
        <w:t xml:space="preserve"> «la ley del reino es ley»</w:t>
      </w:r>
      <w:r>
        <w:t xml:space="preserve"> [original: «דִּינָא דְמַלְכוּתָא דִּינָא»]</w:t>
      </w:r>
      <w:r>
        <w:t xml:space="preserve"> (Talmud, Bava Kamma 113a)</w:t>
      </w:r>
      <w:r>
        <w:t>, aunque el propio Talmud la limita al recaudador con tasa fija. Avot 3:2 manda rezar por la paz del gobierno, porque sin el temor que inspira cada uno se tragaría vivo a su prójimo. Para unos sabios, el rey tiene permitido todo lo que 1 Sam 8 dice de él (el diezmo y los campos), y otros lo discuten (Sanedrín 20b). La Mishná dice que el camino del rey no tiene medida (Sanedrín 2:4). Y, contra P8, los sabios dan al rey los bienes de los ejecutados por el reino, frente a R. Yehudá, que los da a los herederos (Sanedrín 48b).</w:t>
      </w:r>
    </w:p>
    <w:p>
      <w:pPr>
        <w:pStyle w:val="ListBullet2"/>
      </w:pPr>
      <w:r>
        <w:rPr>
          <w:b/>
        </w:rPr>
        <w:t>Persia:</w:t>
      </w:r>
      <w:r>
        <w:t xml:space="preserve"> el Vendidad hace responsables a los parientes de quien rompe un contrato, contra P7 (Vendidad 4.5-10); su traductor, Darmesteter, anota que la tradición posterior cargó la pena solo sobre el culpable.</w:t>
      </w:r>
    </w:p>
    <w:p>
      <w:r>
        <w:t>[archivo del Arca, bloque del islam, Persia y la tradición rabínica, verificado por Claude el 5-oct: el Corán, la Mishná, el Talmud y el Avesta, nivel A; los hadices, nivel B (Bujari 7150 y Muslim 1847, comprobados por Claude en la copia de datos)]</w:t>
      </w:r>
    </w:p>
    <w:p>
      <w:pPr>
        <w:pStyle w:val="Heading2"/>
      </w:pPr>
      <w:r>
        <w:t>F.3 China</w:t>
      </w:r>
    </w:p>
    <w:p>
      <w:pPr>
        <w:pBdr>
          <w:left w:val="single" w:sz="24" w:space="6" w:color="E2DED6"/>
        </w:pBdr>
        <w:shd w:val="clear" w:color="auto" w:fill="F1EEE8"/>
        <w:spacing w:before="80" w:after="160"/>
        <w:ind w:left="142" w:right="142"/>
      </w:pPr>
      <w:r>
        <w:rPr>
          <w:b/>
        </w:rPr>
        <w:t>La idea: los clásicos chinos dicen que el gobernante existe para el pueblo, que el diezmo es la medida justa y que multiplicar los reglamentos anuncia la ruina; su pata coja, el legalismo, fundó el primer imperio.</w:t>
      </w:r>
    </w:p>
    <w:p>
      <w:r>
        <w:t>Fuentes: el texto chino original de Wikisource, cita por cita (35 coinciden letra a letra; la 36.ª, el Daodejing 79, está con el comentario de Wang Bi intercalado); las traducciones inglesas de James Legge y, para Zhuangzi, la de Giles. No se usó ctext.org, cuya página prohíbe el acceso automatizado. Nivel A.</w:t>
      </w:r>
    </w:p>
    <w:p>
      <w:pPr>
        <w:pStyle w:val="ListBullet"/>
      </w:pPr>
      <w:r>
        <w:rPr>
          <w:b/>
        </w:rPr>
        <w:t>P1. El gobernante existe para el pueblo.</w:t>
      </w:r>
      <w:r>
        <w:t xml:space="preserve"> </w:t>
      </w:r>
    </w:p>
    <w:p>
      <w:pPr>
        <w:pStyle w:val="ListBullet2"/>
      </w:pPr>
      <w:r>
        <w:t>El tirano deja de ser rey: «he oído que se ajustició al sujeto Zhou; no he oído que se matara a un soberano»</w:t>
      </w:r>
      <w:r>
        <w:t xml:space="preserve"> [original: «聞誅一夫紂矣，未聞弒君也»; Legge: «I have heard of the cutting off of the fellow Chau, but I have not heard of the putting a sovereign to death»]</w:t>
      </w:r>
      <w:r>
        <w:t xml:space="preserve"> (Mencio 1B8)</w:t>
      </w:r>
      <w:r>
        <w:br/>
      </w:r>
      <w:r>
        <w:rPr>
          <w:b/>
        </w:rPr>
        <w:t>leída en su fuente · Mencio 1B8</w:t>
      </w:r>
      <w:r>
        <w:br/>
      </w:r>
      <w:r>
        <w:rPr>
          <w:b/>
        </w:rPr>
        <w:t>Archivo leído:</w:t>
      </w:r>
      <w:r>
        <w:t xml:space="preserve"> 8.3_24_Legge_1895_Chinese_Classics_vol2_Mencius_OCR_archive.txt (c8a\8.3_24_Legge_1895_Chinese_Classics_vol2_Mencius_OCR_archive.txt) · contraste del archivo de pasajes: ✔</w:t>
      </w:r>
      <w:r>
        <w:br/>
      </w:r>
      <w:r>
        <w:rPr>
          <w:b/>
        </w:rPr>
        <w:t>Lugar:</w:t>
      </w:r>
      <w:r>
        <w:t xml:space="preserve"> Mencio 1B8</w:t>
      </w:r>
      <w:r>
        <w:br/>
      </w:r>
      <w:r>
        <w:rPr>
          <w:b/>
        </w:rPr>
        <w:t>Tal como está en la fuente:</w:t>
      </w:r>
      <w:r>
        <w:t xml:space="preserve"> I have heard of the cutting off of the fellow Chau, but I have not heard of the putting a sovereign to death</w:t>
      </w:r>
      <w:r>
        <w:t>.</w:t>
      </w:r>
    </w:p>
    <w:p>
      <w:pPr>
        <w:pStyle w:val="ListBullet2"/>
      </w:pPr>
      <w:r>
        <w:t>El gobernante es la barca y el pueblo, el agua: «el agua la sostiene y el agua la vuelca»</w:t>
      </w:r>
      <w:r>
        <w:t xml:space="preserve"> [original: «水則載舟，水則覆舟»]</w:t>
      </w:r>
      <w:r>
        <w:t xml:space="preserve"> (Xunzi, 王制)</w:t>
      </w:r>
      <w:r>
        <w:br/>
      </w:r>
      <w:r>
        <w:rPr>
          <w:b/>
        </w:rPr>
        <w:t>leída en su fuente · Xunzi, 王制</w:t>
      </w:r>
      <w:r>
        <w:br/>
      </w:r>
      <w:r>
        <w:rPr>
          <w:b/>
        </w:rPr>
        <w:t>Original donde está:</w:t>
      </w:r>
      <w:r>
        <w:t xml:space="preserve"> zhwikisource_Xunzi_Wangzhi.txt</w:t>
      </w:r>
      <w:r>
        <w:br/>
      </w:r>
      <w:r>
        <w:t>El pasaje literal no está en el archivo de pasajes con este comienzo; la auditoría lo halló en ese original.</w:t>
      </w:r>
      <w:r>
        <w:t>.</w:t>
      </w:r>
    </w:p>
    <w:p>
      <w:pPr>
        <w:pStyle w:val="ListBullet2"/>
      </w:pPr>
      <w:r>
        <w:t>«El Cielo ve como ve mi pueblo; el Cielo oye como oye mi pueblo»</w:t>
      </w:r>
      <w:r>
        <w:t xml:space="preserve"> [original: «天視自我民視，天聽自我民聽»; Legge: «Heaven sees according as my people see; Heaven hears according as my people hear»]</w:t>
      </w:r>
      <w:r>
        <w:t xml:space="preserve"> (Mencio 5A5)</w:t>
      </w:r>
      <w:r>
        <w:br/>
      </w:r>
      <w:r>
        <w:rPr>
          <w:b/>
        </w:rPr>
        <w:t>leída en su fuente · Mencio 5A5</w:t>
      </w:r>
      <w:r>
        <w:br/>
      </w:r>
      <w:r>
        <w:rPr>
          <w:b/>
        </w:rPr>
        <w:t>Archivo leído:</w:t>
      </w:r>
      <w:r>
        <w:t xml:space="preserve"> 8.3_24_Legge_1895_Chinese_Classics_vol2_Mencius_OCR_archive.txt (cierre_B3_B4_9oct\mencio_legge_wikisource\chapter09.txt; c8a\8.3_24_Legge_1895_Chinese_Classics_vol2_Mencius_OCR_archive.txt) · contraste del archivo de pasajes: ✔</w:t>
      </w:r>
      <w:r>
        <w:br/>
      </w:r>
      <w:r>
        <w:rPr>
          <w:b/>
        </w:rPr>
        <w:t>Lugar:</w:t>
      </w:r>
      <w:r>
        <w:t xml:space="preserve"> Mencio 5A5</w:t>
      </w:r>
      <w:r>
        <w:br/>
      </w:r>
      <w:r>
        <w:rPr>
          <w:b/>
        </w:rPr>
        <w:t>Tal como está en la fuente:</w:t>
      </w:r>
      <w:r>
        <w:t xml:space="preserve"> Heaven sees according as my people see; Heaven hears according as my people hear</w:t>
      </w:r>
      <w:r>
        <w:t>.</w:t>
      </w:r>
    </w:p>
    <w:p>
      <w:pPr>
        <w:pStyle w:val="ListBullet2"/>
      </w:pPr>
      <w:r>
        <w:t>Los jefes no se pusieron para engrosar sus rangos y salarios, sino «para procurar el beneficio y quitar el daño a todo el pueblo»</w:t>
      </w:r>
      <w:r>
        <w:t xml:space="preserve"> [original: «將以爲萬民興利除害»]</w:t>
      </w:r>
      <w:r>
        <w:t xml:space="preserve"> (Mozi, 尚同中)</w:t>
      </w:r>
      <w:r>
        <w:br/>
      </w:r>
      <w:r>
        <w:rPr>
          <w:b/>
        </w:rPr>
        <w:t>leída en su fuente · Mozi, 尚同中</w:t>
      </w:r>
      <w:r>
        <w:br/>
      </w:r>
      <w:r>
        <w:rPr>
          <w:b/>
        </w:rPr>
        <w:t>Original donde está:</w:t>
      </w:r>
      <w:r>
        <w:t xml:space="preserve"> zhwikisource_Mozi_Shangtong_zhong.txt</w:t>
      </w:r>
      <w:r>
        <w:br/>
      </w:r>
      <w:r>
        <w:t>El pasaje literal no está en el archivo de pasajes con este comienzo; la auditoría lo halló en ese original.</w:t>
      </w:r>
      <w:r>
        <w:t>.</w:t>
      </w:r>
    </w:p>
    <w:p>
      <w:pPr>
        <w:pStyle w:val="ListBullet2"/>
      </w:pPr>
      <w:r>
        <w:t xml:space="preserve">El Cielo instituyó al gobernante por causa del pueblo (Xunzi) y el pueblo es lo más valioso (Mencio 7B14), en </w:t>
      </w:r>
      <w:r>
        <w:t>3.2</w:t>
      </w:r>
      <w:r>
        <w:t>.</w:t>
      </w:r>
    </w:p>
    <w:p>
      <w:pPr>
        <w:pStyle w:val="ListBullet"/>
      </w:pPr>
      <w:r>
        <w:rPr>
          <w:b/>
        </w:rPr>
        <w:t>P2. Impuestos moderados: el diezmo.</w:t>
      </w:r>
      <w:r>
        <w:t xml:space="preserve"> </w:t>
      </w:r>
    </w:p>
    <w:p>
      <w:pPr>
        <w:pStyle w:val="ListBullet2"/>
      </w:pPr>
      <w:r>
        <w:t>En los tiempos antiguos, «en realidad todos eran el diezmo»</w:t>
      </w:r>
      <w:r>
        <w:t xml:space="preserve"> [original: «其實皆什一也»]</w:t>
      </w:r>
      <w:r>
        <w:t>, y el señor sabio «toma del pueblo con límite fijo»</w:t>
      </w:r>
      <w:r>
        <w:t xml:space="preserve"> [original: «取於民有制»]</w:t>
      </w:r>
      <w:r>
        <w:t xml:space="preserve"> (Mencio 3A3)</w:t>
      </w:r>
      <w:r>
        <w:br/>
      </w:r>
      <w:r>
        <w:rPr>
          <w:b/>
        </w:rPr>
        <w:t>leída en su fuente · Mencio 3A3</w:t>
      </w:r>
      <w:r>
        <w:br/>
      </w:r>
      <w:r>
        <w:rPr>
          <w:b/>
        </w:rPr>
        <w:t>Original donde está:</w:t>
      </w:r>
      <w:r>
        <w:t xml:space="preserve"> zhwikisource_Mencio_滕文公上.txt</w:t>
      </w:r>
      <w:r>
        <w:br/>
      </w:r>
      <w:r>
        <w:t>El pasaje literal no está en el archivo de pasajes con este comienzo; la auditoría lo halló en ese original.</w:t>
      </w:r>
      <w:r>
        <w:t>.</w:t>
      </w:r>
    </w:p>
    <w:p>
      <w:pPr>
        <w:pStyle w:val="ListBullet2"/>
      </w:pPr>
      <w:r>
        <w:t>Cargar más que el camino de los reyes sabios Yao y Shun «es un gran Jie o un pequeño Jie»</w:t>
      </w:r>
      <w:r>
        <w:t xml:space="preserve"> [original: «大桀、小桀也»]</w:t>
      </w:r>
      <w:r>
        <w:t>, es decir, un tirano</w:t>
      </w:r>
      <w:r>
        <w:t xml:space="preserve"> (Mencio 6B10)</w:t>
      </w:r>
      <w:r>
        <w:t>. Cautela: «más del diezmo es tiranía» une este pasaje con 3A3; no es una frase literal.</w:t>
      </w:r>
    </w:p>
    <w:p>
      <w:pPr>
        <w:pStyle w:val="ListBullet2"/>
      </w:pPr>
      <w:r>
        <w:t>A quien pide esperar al año siguiente para volver al diezmo: «si se sabe que es injusto, se deja de inmediato; ¿por qué esperar al año próximo?»</w:t>
      </w:r>
      <w:r>
        <w:t xml:space="preserve"> [original: «如知其非義，斯速已矣，何待來年»]</w:t>
      </w:r>
      <w:r>
        <w:t xml:space="preserve"> (Mencio 3B8)</w:t>
      </w:r>
      <w:r>
        <w:br/>
      </w:r>
      <w:r>
        <w:rPr>
          <w:b/>
        </w:rPr>
        <w:t>leída en su fuente · Mencio 3B8</w:t>
      </w:r>
      <w:r>
        <w:br/>
      </w:r>
      <w:r>
        <w:rPr>
          <w:b/>
        </w:rPr>
        <w:t>Original donde está:</w:t>
      </w:r>
      <w:r>
        <w:t xml:space="preserve"> zhwikisource_Mencio_滕文公下.txt</w:t>
      </w:r>
      <w:r>
        <w:br/>
      </w:r>
      <w:r>
        <w:t>El pasaje literal no está en el archivo de pasajes con este comienzo; la auditoría lo halló en ese original.</w:t>
      </w:r>
      <w:r>
        <w:t>. Lo compara con robar cada día una gallina al vecino.</w:t>
      </w:r>
    </w:p>
    <w:p>
      <w:pPr>
        <w:pStyle w:val="ListBullet2"/>
      </w:pPr>
      <w:r>
        <w:t xml:space="preserve">El pueblo que pasa hambre por los impuestos (Daodejing 75), «¿por qué no el diezmo?» (Analectas 12.9) y el matiz de Mencio contra el impuesto demasiado bajo, en </w:t>
      </w:r>
      <w:r>
        <w:t>3.2</w:t>
      </w:r>
      <w:r>
        <w:t>.</w:t>
      </w:r>
    </w:p>
    <w:p>
      <w:pPr>
        <w:pStyle w:val="ListBullet"/>
      </w:pPr>
      <w:r>
        <w:rPr>
          <w:b/>
        </w:rPr>
        <w:t>P3. No quitar al pueblo su tiempo.</w:t>
      </w:r>
      <w:r>
        <w:t xml:space="preserve"> «Recaudar sin atender al tiempo es tiranía»</w:t>
      </w:r>
      <w:r>
        <w:t xml:space="preserve"> [original: «歛也無時，暴也»]</w:t>
      </w:r>
      <w:r>
        <w:t>, palabras que Xunzi atribuye a Confucio</w:t>
      </w:r>
      <w:r>
        <w:t xml:space="preserve"> (Xunzi, 宥坐)</w:t>
      </w:r>
      <w:r>
        <w:t xml:space="preserve">. Mencio 1A5, Analectas 1.5 y Mozi, en </w:t>
      </w:r>
      <w:r>
        <w:t>3.2</w:t>
      </w:r>
      <w:r>
        <w:t>.</w:t>
      </w:r>
    </w:p>
    <w:p>
      <w:pPr>
        <w:pStyle w:val="ListBullet"/>
      </w:pPr>
      <w:r>
        <w:rPr>
          <w:b/>
        </w:rPr>
        <w:t>P4. Pesas y medidas justas.</w:t>
      </w:r>
      <w:r>
        <w:t xml:space="preserve"> </w:t>
      </w:r>
    </w:p>
    <w:p>
      <w:pPr>
        <w:pStyle w:val="ListBullet2"/>
      </w:pPr>
      <w:r>
        <w:t>Si el superior ama el lucro, los funcionarios toman de más y dan de menos, «sacando del pueblo sin medida»</w:t>
      </w:r>
      <w:r>
        <w:t xml:space="preserve"> [original: «以無度取於民»]</w:t>
      </w:r>
      <w:r>
        <w:t xml:space="preserve"> (Xunzi, 君道)</w:t>
      </w:r>
      <w:r>
        <w:br/>
      </w:r>
      <w:r>
        <w:rPr>
          <w:b/>
        </w:rPr>
        <w:t>leída en su fuente · Xunzi, 君道</w:t>
      </w:r>
      <w:r>
        <w:br/>
      </w:r>
      <w:r>
        <w:rPr>
          <w:b/>
        </w:rPr>
        <w:t>Original donde está:</w:t>
      </w:r>
      <w:r>
        <w:t xml:space="preserve"> zhwikisource_Xunzi_Jundao.txt</w:t>
      </w:r>
      <w:r>
        <w:br/>
      </w:r>
      <w:r>
        <w:t>El pasaje literal no está en el archivo de pasajes con este comienzo; la auditoría lo halló en ese original.</w:t>
      </w:r>
      <w:r>
        <w:t>.</w:t>
      </w:r>
    </w:p>
    <w:p>
      <w:pPr>
        <w:pStyle w:val="ListBullet2"/>
      </w:pPr>
      <w:r>
        <w:t>En el equinoccio «se unifican las medidas y se igualan las balanzas»</w:t>
      </w:r>
      <w:r>
        <w:t xml:space="preserve"> [original: «同度量，平權衡»]</w:t>
      </w:r>
      <w:r>
        <w:t xml:space="preserve"> (Libro de los Ritos, 月令)</w:t>
      </w:r>
      <w:r>
        <w:br/>
      </w:r>
      <w:r>
        <w:rPr>
          <w:b/>
        </w:rPr>
        <w:t>leída en su fuente · Libro de los Ritos, 月令</w:t>
      </w:r>
      <w:r>
        <w:br/>
      </w:r>
      <w:r>
        <w:rPr>
          <w:b/>
        </w:rPr>
        <w:t>Original donde está:</w:t>
      </w:r>
      <w:r>
        <w:t xml:space="preserve"> zhwikisource_Liji_Yueling.txt</w:t>
      </w:r>
      <w:r>
        <w:br/>
      </w:r>
      <w:r>
        <w:t>El pasaje literal no está en el archivo de pasajes con este comienzo; la auditoría lo halló en ese original.</w:t>
      </w:r>
      <w:r>
        <w:t>.</w:t>
      </w:r>
    </w:p>
    <w:p>
      <w:pPr>
        <w:pStyle w:val="ListBullet2"/>
      </w:pPr>
      <w:r>
        <w:t>«Los tiranos y los funcionarios corruptos siempre descuidan los linderos»</w:t>
      </w:r>
      <w:r>
        <w:t xml:space="preserve"> [original: «暴君污吏必慢其經界»]</w:t>
      </w:r>
      <w:r>
        <w:t xml:space="preserve"> (Mencio 3A3)</w:t>
      </w:r>
      <w:r>
        <w:br/>
      </w:r>
      <w:r>
        <w:rPr>
          <w:b/>
        </w:rPr>
        <w:t>leída en su fuente · Mencio 3A3</w:t>
      </w:r>
      <w:r>
        <w:br/>
      </w:r>
      <w:r>
        <w:rPr>
          <w:b/>
        </w:rPr>
        <w:t>Original donde está:</w:t>
      </w:r>
      <w:r>
        <w:t xml:space="preserve"> zhwikisource_Mencio_滕文公上.txt</w:t>
      </w:r>
      <w:r>
        <w:br/>
      </w:r>
      <w:r>
        <w:t>El pasaje literal no está en el archivo de pasajes con este comienzo; la auditoría lo halló en ese original.</w:t>
      </w:r>
      <w:r>
        <w:t>.</w:t>
      </w:r>
    </w:p>
    <w:p>
      <w:pPr>
        <w:pStyle w:val="ListBullet2"/>
      </w:pPr>
      <w:r>
        <w:t xml:space="preserve">Cuidar las pesas y medidas (Analectas 20.1, del libro 20, que una tesis tradicional tiene por tardío; también el Canon de Shun y el Yueling), en </w:t>
      </w:r>
      <w:r>
        <w:t>3.2</w:t>
      </w:r>
      <w:r>
        <w:t>.</w:t>
      </w:r>
    </w:p>
    <w:p>
      <w:pPr>
        <w:pStyle w:val="ListBullet"/>
      </w:pPr>
      <w:r>
        <w:rPr>
          <w:b/>
        </w:rPr>
        <w:t>P5. Devolver lo confiado.</w:t>
      </w:r>
      <w:r>
        <w:t xml:space="preserve"> </w:t>
      </w:r>
    </w:p>
    <w:p>
      <w:pPr>
        <w:pStyle w:val="ListBullet2"/>
      </w:pPr>
      <w:r>
        <w:t>Quien recibe los bueyes y las ovejas de otro para cuidarlos, si no encuentra pasto, ha de preguntarse: «¿los devolverá a su dueño?»</w:t>
      </w:r>
      <w:r>
        <w:t xml:space="preserve"> [original: «則反諸其人乎»]</w:t>
      </w:r>
      <w:r>
        <w:t>, o se quedará mirando cómo mueren</w:t>
      </w:r>
      <w:r>
        <w:t xml:space="preserve"> (Mencio 2B4)</w:t>
      </w:r>
      <w:r>
        <w:t>.</w:t>
      </w:r>
    </w:p>
    <w:p>
      <w:pPr>
        <w:pStyle w:val="ListBullet2"/>
      </w:pPr>
      <w:r>
        <w:t>Es noble aquel a quien «se le puede confiar un huérfano»</w:t>
      </w:r>
      <w:r>
        <w:t xml:space="preserve"> [original: «可以託六尺之孤»]</w:t>
      </w:r>
      <w:r>
        <w:t xml:space="preserve"> (Analectas 8.6)</w:t>
      </w:r>
      <w:r>
        <w:br/>
      </w:r>
      <w:r>
        <w:rPr>
          <w:b/>
        </w:rPr>
        <w:t>leída en su fuente · Analectas 8.6</w:t>
      </w:r>
      <w:r>
        <w:br/>
      </w:r>
      <w:r>
        <w:rPr>
          <w:b/>
        </w:rPr>
        <w:t>Original donde está:</w:t>
      </w:r>
      <w:r>
        <w:t xml:space="preserve"> gutenberg4094.txt</w:t>
      </w:r>
      <w:r>
        <w:br/>
      </w:r>
      <w:r>
        <w:t>El pasaje literal no está en el archivo de pasajes con este comienzo; la auditoría lo halló en ese original.</w:t>
      </w:r>
      <w:r>
        <w:t>.</w:t>
      </w:r>
    </w:p>
    <w:p>
      <w:pPr>
        <w:pStyle w:val="ListBullet2"/>
      </w:pPr>
      <w:r>
        <w:rPr>
          <w:b/>
        </w:rPr>
        <w:t>Lo que no se encontró:</w:t>
      </w:r>
      <w:r>
        <w:t xml:space="preserve"> una norma expresa sobre devolver depósitos.</w:t>
      </w:r>
    </w:p>
    <w:p>
      <w:pPr>
        <w:pStyle w:val="ListBullet"/>
      </w:pPr>
      <w:r>
        <w:rPr>
          <w:b/>
        </w:rPr>
        <w:t>P6. Perdonar las deudas.</w:t>
      </w:r>
      <w:r>
        <w:t xml:space="preserve"> </w:t>
      </w:r>
    </w:p>
    <w:p>
      <w:pPr>
        <w:pStyle w:val="ListBullet2"/>
      </w:pPr>
      <w:r>
        <w:t>Feng Xuan perdonó las deudas del pueblo de Xue, «y quemó los contratos, y el pueblo gritó "¡viva!"»</w:t>
      </w:r>
      <w:r>
        <w:t xml:space="preserve"> [original: «因燒其券，民稱萬歲»]</w:t>
      </w:r>
      <w:r>
        <w:t>, y dijo a su señor que así le había comprado la justicia</w:t>
      </w:r>
      <w:r>
        <w:t xml:space="preserve"> (Estrategias de los Reinos Combatientes, Feng Xuan)</w:t>
      </w:r>
      <w:r>
        <w:t>.</w:t>
      </w:r>
    </w:p>
    <w:p>
      <w:pPr>
        <w:pStyle w:val="ListBullet2"/>
      </w:pPr>
      <w:r>
        <w:t>«El sabio guarda la mitad izquierda del contrato y no reclama a los demás»</w:t>
      </w:r>
      <w:r>
        <w:t xml:space="preserve"> [original: «是以聖人執左契，而不責於人»]</w:t>
      </w:r>
      <w:r>
        <w:t xml:space="preserve"> (Daodejing 79)</w:t>
      </w:r>
      <w:r>
        <w:br/>
      </w:r>
      <w:r>
        <w:rPr>
          <w:b/>
        </w:rPr>
        <w:t>pasaje guardado · Daodejing 79</w:t>
      </w:r>
      <w:r>
        <w:br/>
      </w:r>
      <w:r>
        <w:rPr>
          <w:b/>
        </w:rPr>
        <w:t>Original donde está:</w:t>
      </w:r>
      <w:r>
        <w:t xml:space="preserve"> reparacion_citas/zhwikisource_Daodejing_WangBi.txt</w:t>
      </w:r>
      <w:r>
        <w:br/>
      </w:r>
      <w:r>
        <w:t>El pasaje literal no está en el archivo de pasajes con este comienzo; la auditoría lo halló en ese original.</w:t>
      </w:r>
      <w:r>
        <w:t>. Cautela: el comentario de Wang Bi lee el carácter 徹, del mismo pasaje, como «vigilar las faltas ajenas», no como el tributo; leerlo como tributo es interpretación.</w:t>
      </w:r>
    </w:p>
    <w:p>
      <w:pPr>
        <w:pStyle w:val="ListBullet2"/>
      </w:pPr>
      <w:r>
        <w:t xml:space="preserve">El duque Huan y los intereses de los pobres (Guanzi 83), en </w:t>
      </w:r>
      <w:r>
        <w:t>3.3</w:t>
      </w:r>
      <w:r>
        <w:t>.</w:t>
      </w:r>
    </w:p>
    <w:p>
      <w:pPr>
        <w:pStyle w:val="ListBullet2"/>
      </w:pPr>
      <w:r>
        <w:rPr>
          <w:b/>
        </w:rPr>
        <w:t>Lo que no se encontró:</w:t>
      </w:r>
      <w:r>
        <w:t xml:space="preserve"> una condena expresa del préstamo con interés en el confucianismo, el taoísmo o el mohismo.</w:t>
      </w:r>
    </w:p>
    <w:p>
      <w:pPr>
        <w:pStyle w:val="ListBullet"/>
      </w:pPr>
      <w:r>
        <w:rPr>
          <w:b/>
        </w:rPr>
        <w:t>P7. Cada uno responde de lo suyo; examinar antes de castigar.</w:t>
      </w:r>
      <w:r>
        <w:t xml:space="preserve"> </w:t>
      </w:r>
    </w:p>
    <w:p>
      <w:pPr>
        <w:pStyle w:val="ListBullet2"/>
      </w:pPr>
      <w:r>
        <w:t>En el buen gobierno del rey Wen, el castigo no alcanzaba a la mujer ni a los hijos del culpable</w:t>
      </w:r>
      <w:r>
        <w:t xml:space="preserve"> [original: «罪人不孥»; Legge: «the wives and children of criminals were not involved in their guilt»]</w:t>
      </w:r>
      <w:r>
        <w:t xml:space="preserve"> (Mencio 1B5)</w:t>
      </w:r>
      <w:r>
        <w:t>.</w:t>
      </w:r>
    </w:p>
    <w:p>
      <w:pPr>
        <w:pStyle w:val="ListBullet2"/>
      </w:pPr>
      <w:r>
        <w:t>«El castigo no excedía el delito»</w:t>
      </w:r>
      <w:r>
        <w:t xml:space="preserve"> [original: «刑不過罪»]</w:t>
      </w:r>
      <w:r>
        <w:t>; en los tiempos de desorden, «si uno delinque, se extermina a los tres clanes»</w:t>
      </w:r>
      <w:r>
        <w:t xml:space="preserve"> [original: «一人有罪而三族皆夷»]</w:t>
      </w:r>
      <w:r>
        <w:t xml:space="preserve"> (Xunzi, 君子)</w:t>
      </w:r>
      <w:r>
        <w:br/>
      </w:r>
      <w:r>
        <w:rPr>
          <w:b/>
        </w:rPr>
        <w:t>leída en su fuente · Xunzi, 君子</w:t>
      </w:r>
      <w:r>
        <w:br/>
      </w:r>
      <w:r>
        <w:rPr>
          <w:b/>
        </w:rPr>
        <w:t>Original donde está:</w:t>
      </w:r>
      <w:r>
        <w:t xml:space="preserve"> zhwikisource_Xunzi_Junzi.txt</w:t>
      </w:r>
      <w:r>
        <w:br/>
      </w:r>
      <w:r>
        <w:t>El pasaje literal no está en el archivo de pasajes con este comienzo; la auditoría lo halló en ese original.</w:t>
      </w:r>
      <w:r>
        <w:t>.</w:t>
      </w:r>
    </w:p>
    <w:p>
      <w:pPr>
        <w:pStyle w:val="ListBullet2"/>
      </w:pPr>
      <w:r>
        <w:t>«Si todos lo odian, hay que examinarlo»</w:t>
      </w:r>
      <w:r>
        <w:t xml:space="preserve"> [original: «眾惡之，必察焉»]</w:t>
      </w:r>
      <w:r>
        <w:t xml:space="preserve"> (Analectas 15.27)</w:t>
      </w:r>
      <w:r>
        <w:br/>
      </w:r>
      <w:r>
        <w:rPr>
          <w:b/>
        </w:rPr>
        <w:t>leída en su fuente · Analectas 15.27</w:t>
      </w:r>
      <w:r>
        <w:br/>
      </w:r>
      <w:r>
        <w:rPr>
          <w:b/>
        </w:rPr>
        <w:t>Original donde está:</w:t>
      </w:r>
      <w:r>
        <w:t xml:space="preserve"> zhwikisource_Analectas_衛靈公第十五.txt</w:t>
      </w:r>
      <w:r>
        <w:br/>
      </w:r>
      <w:r>
        <w:t>El pasaje literal no está en el archivo de pasajes con este comienzo; la auditoría lo halló en ese original.</w:t>
      </w:r>
      <w:r>
        <w:t>.</w:t>
      </w:r>
    </w:p>
    <w:p>
      <w:pPr>
        <w:pStyle w:val="ListBullet2"/>
      </w:pPr>
      <w:r>
        <w:t xml:space="preserve">Mencio 1B7 y el Comentario de Zuo, en </w:t>
      </w:r>
      <w:r>
        <w:t>3.2</w:t>
      </w:r>
      <w:r>
        <w:t>.</w:t>
      </w:r>
    </w:p>
    <w:p>
      <w:pPr>
        <w:pStyle w:val="ListBullet"/>
      </w:pPr>
      <w:r>
        <w:rPr>
          <w:b/>
        </w:rPr>
        <w:t>P8. Contra el soborno.</w:t>
      </w:r>
      <w:r>
        <w:t xml:space="preserve"> </w:t>
      </w:r>
    </w:p>
    <w:p>
      <w:pPr>
        <w:pStyle w:val="ListBullet2"/>
      </w:pPr>
      <w:r>
        <w:t>Entre los vicios del juez, «los sobornos»</w:t>
      </w:r>
      <w:r>
        <w:t xml:space="preserve"> [original: «惟貨»]</w:t>
      </w:r>
      <w:r>
        <w:t>, y quien incurre en ellos comete un delito igual al del reo; y «lo que se gana con los pleitos no es un tesoro»: acumula culpa</w:t>
      </w:r>
      <w:r>
        <w:t xml:space="preserve"> [original: «獄貨非寶»; Legge: «Gain (so) got by the decision of cases is no precious acquisition; it is an accumulation of guilt»]</w:t>
      </w:r>
      <w:r>
        <w:t xml:space="preserve"> (Libro de los Documentos, 呂刑)</w:t>
      </w:r>
      <w:r>
        <w:t>.</w:t>
      </w:r>
    </w:p>
    <w:p>
      <w:pPr>
        <w:pStyle w:val="ListBullet2"/>
      </w:pPr>
      <w:r>
        <w:t>Esperar a que el pueblo sin medios caiga en delito para castigarlo «es tenderle una red al pueblo»</w:t>
      </w:r>
      <w:r>
        <w:t xml:space="preserve"> [original: «是罔民也»]</w:t>
      </w:r>
      <w:r>
        <w:t xml:space="preserve"> (Mencio 3A3)</w:t>
      </w:r>
      <w:r>
        <w:br/>
      </w:r>
      <w:r>
        <w:rPr>
          <w:b/>
        </w:rPr>
        <w:t>leída en su fuente · Mencio 3A3</w:t>
      </w:r>
      <w:r>
        <w:br/>
      </w:r>
      <w:r>
        <w:rPr>
          <w:b/>
        </w:rPr>
        <w:t>Original donde está:</w:t>
      </w:r>
      <w:r>
        <w:t xml:space="preserve"> 8.3_24_Mencio_Liang_Hui_Wang_I_zh_Wikisource.txt</w:t>
      </w:r>
      <w:r>
        <w:br/>
      </w:r>
      <w:r>
        <w:t>El pasaje literal no está en el archivo de pasajes con este comienzo; la auditoría lo halló en ese original.</w:t>
      </w:r>
      <w:r>
        <w:t>.</w:t>
      </w:r>
    </w:p>
    <w:p>
      <w:pPr>
        <w:pStyle w:val="ListBullet2"/>
      </w:pPr>
      <w:r>
        <w:t xml:space="preserve">Ser parco en castigos y multas (Mencio 1A5), en </w:t>
      </w:r>
      <w:r>
        <w:t>3.2</w:t>
      </w:r>
      <w:r>
        <w:t xml:space="preserve">. </w:t>
      </w:r>
      <w:r>
        <w:rPr>
          <w:b/>
        </w:rPr>
        <w:t>Lo que no se encontró:</w:t>
      </w:r>
      <w:r>
        <w:t xml:space="preserve"> una frase expresa de que las multas no deben ser ingreso.</w:t>
      </w:r>
    </w:p>
    <w:p>
      <w:pPr>
        <w:pStyle w:val="ListBullet"/>
      </w:pPr>
      <w:r>
        <w:rPr>
          <w:b/>
        </w:rPr>
        <w:t>P9. Más leyes, más pobreza.</w:t>
      </w:r>
      <w:r>
        <w:t xml:space="preserve"> </w:t>
      </w:r>
    </w:p>
    <w:p>
      <w:pPr>
        <w:pStyle w:val="ListBullet2"/>
      </w:pPr>
      <w:r>
        <w:t>Con el código escrito, «correrán los sobornos»</w:t>
      </w:r>
      <w:r>
        <w:t xml:space="preserve"> [original: «賄賂並行»]</w:t>
      </w:r>
      <w:r>
        <w:t xml:space="preserve"> (Comentario de Zuo, duque Zhao, año 6)</w:t>
      </w:r>
      <w:r>
        <w:t xml:space="preserve">; el mismo pasaje, «cuando un Estado va a perecer, multiplica sus reglamentos», está en </w:t>
      </w:r>
      <w:r>
        <w:t>3.2</w:t>
      </w:r>
      <w:r>
        <w:t>.</w:t>
      </w:r>
    </w:p>
    <w:p>
      <w:pPr>
        <w:pStyle w:val="ListBullet2"/>
      </w:pPr>
      <w:r>
        <w:t>«Cuantos más castigos, menos se vence el mal»</w:t>
      </w:r>
      <w:r>
        <w:t xml:space="preserve"> [original: «刑彌繁而邪不勝»]</w:t>
      </w:r>
      <w:r>
        <w:t xml:space="preserve"> (Xunzi, 宥坐)</w:t>
      </w:r>
      <w:r>
        <w:br/>
      </w:r>
      <w:r>
        <w:rPr>
          <w:b/>
        </w:rPr>
        <w:t>leída en su fuente · Xunzi, 宥坐</w:t>
      </w:r>
      <w:r>
        <w:br/>
      </w:r>
      <w:r>
        <w:rPr>
          <w:b/>
        </w:rPr>
        <w:t>Original donde está:</w:t>
      </w:r>
      <w:r>
        <w:t xml:space="preserve"> zhwikisource_Xunzi_Youzuo.txt</w:t>
      </w:r>
      <w:r>
        <w:br/>
      </w:r>
      <w:r>
        <w:t>El pasaje literal no está en el archivo de pasajes con este comienzo; la auditoría lo halló en ese original.</w:t>
      </w:r>
      <w:r>
        <w:t>.</w:t>
      </w:r>
    </w:p>
    <w:p>
      <w:pPr>
        <w:pStyle w:val="ListBullet2"/>
      </w:pPr>
      <w:r>
        <w:t>Los gobernantes de hoy cargan pesos excesivos y castigan al que no puede; «sin bienes, [el pueblo] roba»: ¿a quién hay que culpar?</w:t>
      </w:r>
      <w:r>
        <w:t xml:space="preserve"> [original: «財不足則盜»; Giles: «If their means are insufficient, they will steal. And for such robbery and theft, who is really responsible?»]</w:t>
      </w:r>
      <w:r>
        <w:t xml:space="preserve"> (Zhuangzi, 則陽)</w:t>
      </w:r>
      <w:r>
        <w:t>.</w:t>
      </w:r>
    </w:p>
    <w:p>
      <w:pPr>
        <w:pStyle w:val="ListBullet2"/>
      </w:pPr>
      <w:r>
        <w:t xml:space="preserve">Daodejing 57, en </w:t>
      </w:r>
      <w:r>
        <w:t>3.2</w:t>
      </w:r>
      <w:r>
        <w:t>.</w:t>
      </w:r>
    </w:p>
    <w:p>
      <w:pPr>
        <w:pStyle w:val="ListBullet"/>
      </w:pPr>
      <w:r>
        <w:rPr>
          <w:b/>
        </w:rPr>
        <w:t>La pata coja: el legalismo</w:t>
      </w:r>
      <w:r>
        <w:t xml:space="preserve"> (texto original comprobado). </w:t>
      </w:r>
    </w:p>
    <w:p>
      <w:pPr>
        <w:pStyle w:val="ListBullet2"/>
      </w:pPr>
      <w:r>
        <w:t xml:space="preserve">«Pueblo débil, Estado fuerte» y «castigo duro y culpa compartida» (Libro del señor Shang), en </w:t>
      </w:r>
      <w:r>
        <w:t>3.2</w:t>
      </w:r>
      <w:r>
        <w:t>.</w:t>
      </w:r>
    </w:p>
    <w:p>
      <w:pPr>
        <w:pStyle w:val="ListBullet2"/>
      </w:pPr>
      <w:r>
        <w:t>Shang Yang implantó la vigilancia mutua y la responsabilidad colectiva</w:t>
      </w:r>
      <w:r>
        <w:t xml:space="preserve"> [original: «相牧司連坐»]</w:t>
      </w:r>
      <w:r>
        <w:t>; a los que opinaban sobre las leyes los desterró, y después «nadie se atrevió a opinar sobre las órdenes»</w:t>
      </w:r>
      <w:r>
        <w:t xml:space="preserve"> [original: «民莫敢議令»]</w:t>
      </w:r>
      <w:r>
        <w:t xml:space="preserve"> (Shiji 68)</w:t>
      </w:r>
      <w:r>
        <w:br/>
      </w:r>
      <w:r>
        <w:rPr>
          <w:b/>
        </w:rPr>
        <w:t>leída en su fuente · Shiji 68</w:t>
      </w:r>
      <w:r>
        <w:br/>
      </w:r>
      <w:r>
        <w:rPr>
          <w:b/>
        </w:rPr>
        <w:t>Original donde está:</w:t>
      </w:r>
      <w:r>
        <w:t xml:space="preserve"> shiji68.html</w:t>
      </w:r>
      <w:r>
        <w:br/>
      </w:r>
      <w:r>
        <w:t>El pasaje literal no está en el archivo de pasajes con este comienzo; la auditoría lo halló en ese original.</w:t>
      </w:r>
      <w:r>
        <w:t>.</w:t>
      </w:r>
    </w:p>
    <w:p>
      <w:pPr>
        <w:pStyle w:val="ListBullet2"/>
      </w:pPr>
      <w:r>
        <w:t>Han Feizi defiende «agravar las penas para prohibir el mal»</w:t>
      </w:r>
      <w:r>
        <w:t xml:space="preserve"> [original: «脩刑重罰以爲禁邪也»]</w:t>
      </w:r>
      <w:r>
        <w:t xml:space="preserve"> y la recaudación «para llenar los graneros»</w:t>
      </w:r>
      <w:r>
        <w:t xml:space="preserve"> [original: «徵賦錢粟以實倉庫»]</w:t>
      </w:r>
      <w:r>
        <w:t>, y dice que la inteligencia del pueblo no sirve, porque es «como la mente de un niño de pecho»</w:t>
      </w:r>
      <w:r>
        <w:t xml:space="preserve"> [original: «猶嬰兒之心也»]</w:t>
      </w:r>
      <w:r>
        <w:t xml:space="preserve"> (Han Feizi, 顯學)</w:t>
      </w:r>
      <w:r>
        <w:br/>
      </w:r>
      <w:r>
        <w:rPr>
          <w:b/>
        </w:rPr>
        <w:t>leída en su fuente · Han Feizi, 顯學</w:t>
      </w:r>
      <w:r>
        <w:br/>
      </w:r>
      <w:r>
        <w:rPr>
          <w:b/>
        </w:rPr>
        <w:t>Original donde está:</w:t>
      </w:r>
      <w:r>
        <w:t xml:space="preserve"> zhwikisource_HanFeizi_顯學.txt</w:t>
      </w:r>
      <w:r>
        <w:br/>
      </w:r>
      <w:r>
        <w:t>El pasaje literal no está en el archivo de pasajes con este comienzo; la auditoría lo halló en ese original.</w:t>
      </w:r>
      <w:r>
        <w:t>.</w:t>
      </w:r>
    </w:p>
    <w:p>
      <w:pPr>
        <w:pStyle w:val="ListBullet2"/>
      </w:pPr>
      <w:r>
        <w:t xml:space="preserve">Es la escuela que fundó el primer imperio, el de Qin, y la tradición confuciana la tuvo siempre por la contraria del buen gobierno. Quién la escribió, y sus frutos, en </w:t>
      </w:r>
      <w:r>
        <w:t>3.4</w:t>
      </w:r>
      <w:r>
        <w:t>.</w:t>
      </w:r>
    </w:p>
    <w:p>
      <w:r>
        <w:t>[archivo del Arca, bloque de China, verificado por Claude el 5-oct: texto chino de Wikisource, nivel A]</w:t>
      </w:r>
    </w:p>
    <w:p>
      <w:pPr>
        <w:pStyle w:val="Heading2"/>
      </w:pPr>
      <w:r>
        <w:t>F.4 El antiguo Oriente, Egipto, Grecia y Roma</w:t>
      </w:r>
    </w:p>
    <w:p>
      <w:pPr>
        <w:pBdr>
          <w:left w:val="single" w:sz="24" w:space="6" w:color="E2DED6"/>
        </w:pBdr>
        <w:shd w:val="clear" w:color="auto" w:fill="F1EEE8"/>
        <w:spacing w:before="80" w:after="160"/>
        <w:ind w:left="142" w:right="142"/>
      </w:pPr>
      <w:r>
        <w:rPr>
          <w:b/>
        </w:rPr>
        <w:t>La idea: desde los primeros códigos de Mesopotamia hasta Roma, el poder se justifica por proteger al débil; y de la misma época son los textos más antiguos del pan propio.</w:t>
      </w:r>
    </w:p>
    <w:p>
      <w:r>
        <w:t>Fuentes: Hammurabi, en la traducción de L. W. King (Avalon Project); Urukagina y Ur-Namma, en el CDLI (sumerio y traducción línea a línea); Hesíodo (Evelyn-White), Ptahhotep y la Constitución de los atenienses (Kenyon), en Gutenberg; el Campesino Elocuente y la Enseñanza para Merikare, en Erman y Blackman (1927); Cicerón, Séneca y Tácito, en latín (The Latin Library); Platón (Bury), Aristóteles (Rackham) e Isócrates, en Perseus. Se comprobaron 44 frases exactas, y todas coinciden. Nivel A.</w:t>
      </w:r>
    </w:p>
    <w:p>
      <w:pPr>
        <w:pStyle w:val="ListBullet"/>
      </w:pPr>
      <w:r>
        <w:rPr>
          <w:b/>
        </w:rPr>
        <w:t>P1. El gobernante existe para el pueblo.</w:t>
      </w:r>
      <w:r>
        <w:t xml:space="preserve"> </w:t>
      </w:r>
    </w:p>
    <w:p>
      <w:pPr>
        <w:pStyle w:val="ListBullet2"/>
      </w:pPr>
      <w:r>
        <w:t>El epílogo de Hammurabi repite el propósito de su prólogo (</w:t>
      </w:r>
      <w:r>
        <w:t>3.2</w:t>
      </w:r>
      <w:r>
        <w:t>): «para que el fuerte no perjudique al débil, para proteger a viudas y huérfanos»</w:t>
      </w:r>
      <w:r>
        <w:t xml:space="preserve"> [original: «That the strong might not injure the weak, in order to protect the widows and orphans», en la traducción de King]</w:t>
      </w:r>
      <w:r>
        <w:t xml:space="preserve"> (Código de Hammurabi, epílogo)</w:t>
      </w:r>
      <w:r>
        <w:br/>
      </w:r>
      <w:r>
        <w:rPr>
          <w:b/>
        </w:rPr>
        <w:t>leída en su fuente · Código de Hammurabi, epílogo</w:t>
      </w:r>
      <w:r>
        <w:br/>
      </w:r>
      <w:r>
        <w:rPr>
          <w:b/>
        </w:rPr>
        <w:t>Archivo leído:</w:t>
      </w:r>
      <w:r>
        <w:t xml:space="preserve"> ham.txt (ant\ham.txt) · contraste del archivo de pasajes: ✔</w:t>
      </w:r>
      <w:r>
        <w:br/>
      </w:r>
      <w:r>
        <w:rPr>
          <w:b/>
        </w:rPr>
        <w:t>Lugar:</w:t>
      </w:r>
      <w:r>
        <w:t xml:space="preserve"> Código de Hammurabi, epílogo</w:t>
      </w:r>
      <w:r>
        <w:br/>
      </w:r>
      <w:r>
        <w:rPr>
          <w:b/>
        </w:rPr>
        <w:t>Tal como está en la fuente:</w:t>
      </w:r>
      <w:r>
        <w:t xml:space="preserve"> That the strong might not injure the weak, in order to protect the widows and orphans</w:t>
      </w:r>
      <w:r>
        <w:t>.</w:t>
      </w:r>
    </w:p>
    <w:p>
      <w:pPr>
        <w:pStyle w:val="ListBullet2"/>
      </w:pPr>
      <w:r>
        <w:t>«El huérfano no será sometido al rico»</w:t>
      </w:r>
      <w:r>
        <w:t xml:space="preserve"> [original: «The orphan to the rich man should not be made subordinate», en la traducción del CDLI]</w:t>
      </w:r>
      <w:r>
        <w:t xml:space="preserve"> (Código de Ur-Namma, líneas 162-163)</w:t>
      </w:r>
      <w:r>
        <w:br/>
      </w:r>
      <w:r>
        <w:rPr>
          <w:b/>
        </w:rPr>
        <w:t>pasaje guardado · Código de Ur-Namma, líneas 162-163</w:t>
      </w:r>
      <w:r>
        <w:br/>
      </w:r>
      <w:r>
        <w:rPr>
          <w:b/>
        </w:rPr>
        <w:t>Archivo leído:</w:t>
      </w:r>
      <w:r>
        <w:t xml:space="preserve"> urn2.txt (ant\urn2.txt) · contraste del archivo de pasajes: parcial</w:t>
      </w:r>
      <w:r>
        <w:br/>
      </w:r>
      <w:r>
        <w:rPr>
          <w:b/>
        </w:rPr>
        <w:t>Lugar:</w:t>
      </w:r>
      <w:r>
        <w:t xml:space="preserve"> Código de Ur-Namma, líneas 162-163</w:t>
      </w:r>
      <w:r>
        <w:br/>
      </w:r>
      <w:r>
        <w:rPr>
          <w:b/>
        </w:rPr>
        <w:t>Tal como está en la fuente:</w:t>
      </w:r>
      <w:r>
        <w:t xml:space="preserve"> The orphan to the rich man should not be made subordinate</w:t>
      </w:r>
      <w:r>
        <w:t>; y Urukagina dice lo mismo de la viuda y el huérfano frente al poderoso.</w:t>
      </w:r>
    </w:p>
    <w:p>
      <w:pPr>
        <w:pStyle w:val="ListBullet2"/>
      </w:pPr>
      <w:r>
        <w:t>Dios hizo para los hombres gobernantes, «un sostén para sostener la espalda del débil»</w:t>
      </w:r>
      <w:r>
        <w:t xml:space="preserve"> [original: «a supporter to support the back of the weak», en la traducción de Erman y Blackman]</w:t>
      </w:r>
      <w:r>
        <w:t xml:space="preserve"> (Enseñanza para Merikare)</w:t>
      </w:r>
      <w:r>
        <w:br/>
      </w:r>
      <w:r>
        <w:rPr>
          <w:b/>
        </w:rPr>
        <w:t>leída en su fuente · Enseñanza para Merikare</w:t>
      </w:r>
      <w:r>
        <w:br/>
      </w:r>
      <w:r>
        <w:rPr>
          <w:b/>
        </w:rPr>
        <w:t>Archivo leído:</w:t>
      </w:r>
      <w:r>
        <w:t xml:space="preserve"> erman.txt (ant\erman.txt) · contraste del archivo de pasajes: ✔</w:t>
      </w:r>
      <w:r>
        <w:br/>
      </w:r>
      <w:r>
        <w:rPr>
          <w:b/>
        </w:rPr>
        <w:t>Lugar:</w:t>
      </w:r>
      <w:r>
        <w:t xml:space="preserve"> Enseñanza para Merikare</w:t>
      </w:r>
      <w:r>
        <w:br/>
      </w:r>
      <w:r>
        <w:rPr>
          <w:b/>
        </w:rPr>
        <w:t>Tal como está en la fuente:</w:t>
      </w:r>
      <w:r>
        <w:t xml:space="preserve"> a supporter to support the back of the weak</w:t>
      </w:r>
      <w:r>
        <w:t>.</w:t>
      </w:r>
    </w:p>
    <w:p>
      <w:pPr>
        <w:pStyle w:val="ListBullet2"/>
      </w:pPr>
      <w:r>
        <w:t>La administración del Estado como una tutela (Cicerón) y los magistrados, servidores de la ley (Platón), en 3.2.</w:t>
      </w:r>
    </w:p>
    <w:p>
      <w:pPr>
        <w:pStyle w:val="ListBullet"/>
      </w:pPr>
      <w:r>
        <w:rPr>
          <w:b/>
        </w:rPr>
        <w:t>P2. Impuestos moderados.</w:t>
      </w:r>
      <w:r>
        <w:t xml:space="preserve"> </w:t>
      </w:r>
    </w:p>
    <w:p>
      <w:pPr>
        <w:pStyle w:val="ListBullet2"/>
      </w:pPr>
      <w:r>
        <w:t>Empobrecer a los súbditos es recurso de la tiranía (</w:t>
      </w:r>
      <w:r>
        <w:t>3.2</w:t>
      </w:r>
      <w:r>
        <w:t>): en Siracusa, con Dionisio, por los impuestos, «en cinco años la gente había entregado toda su hacienda»</w:t>
      </w:r>
      <w:r>
        <w:t xml:space="preserve"> [original: «in five years men had contributed the whole of their substance», en la traducción de Rackham]</w:t>
      </w:r>
      <w:r>
        <w:t xml:space="preserve"> (Aristóteles, Política V, 1313b)</w:t>
      </w:r>
      <w:r>
        <w:br/>
      </w:r>
      <w:r>
        <w:rPr>
          <w:b/>
        </w:rPr>
        <w:t>leída en su fuente · Aristóteles, Política V, 1313b</w:t>
      </w:r>
      <w:r>
        <w:br/>
      </w:r>
      <w:r>
        <w:rPr>
          <w:b/>
        </w:rPr>
        <w:t>Archivo leído:</w:t>
      </w:r>
      <w:r>
        <w:t xml:space="preserve"> pol1313.txt (ant\pol1313.txt) · contraste del archivo de pasajes: ✔</w:t>
      </w:r>
      <w:r>
        <w:br/>
      </w:r>
      <w:r>
        <w:rPr>
          <w:b/>
        </w:rPr>
        <w:t>Lugar:</w:t>
      </w:r>
      <w:r>
        <w:t xml:space="preserve"> Aristóteles, Política V, 1313b</w:t>
      </w:r>
      <w:r>
        <w:br/>
      </w:r>
      <w:r>
        <w:rPr>
          <w:b/>
        </w:rPr>
        <w:t>Tal como está en la fuente:</w:t>
      </w:r>
      <w:r>
        <w:t xml:space="preserve"> in five years men had contributed the whole of their substance</w:t>
      </w:r>
      <w:r>
        <w:t>.</w:t>
      </w:r>
    </w:p>
    <w:p>
      <w:pPr>
        <w:pStyle w:val="ListBullet2"/>
      </w:pPr>
      <w:r>
        <w:t>Hay que esforzarse para que no haya que imponer el tributo «por la escasez del erario»</w:t>
      </w:r>
      <w:r>
        <w:t xml:space="preserve"> [original: «propter aerarii tenuitatem»]</w:t>
      </w:r>
      <w:r>
        <w:t xml:space="preserve"> (Cicerón, De officiis II, 74)</w:t>
      </w:r>
      <w:r>
        <w:br/>
      </w:r>
      <w:r>
        <w:rPr>
          <w:b/>
        </w:rPr>
        <w:t>leída en su fuente · Cicerón, De officiis II, 74</w:t>
      </w:r>
      <w:r>
        <w:br/>
      </w:r>
      <w:r>
        <w:rPr>
          <w:b/>
        </w:rPr>
        <w:t>Archivo leído:</w:t>
      </w:r>
      <w:r>
        <w:t xml:space="preserve"> off2.txt (ant\off2.txt) · contraste del archivo de pasajes: ✔</w:t>
      </w:r>
      <w:r>
        <w:br/>
      </w:r>
      <w:r>
        <w:rPr>
          <w:b/>
        </w:rPr>
        <w:t>Lugar:</w:t>
      </w:r>
      <w:r>
        <w:t xml:space="preserve"> Cicerón, De officiis II, 74</w:t>
      </w:r>
      <w:r>
        <w:br/>
      </w:r>
      <w:r>
        <w:rPr>
          <w:b/>
        </w:rPr>
        <w:t>Tal como está en la fuente:</w:t>
      </w:r>
      <w:r>
        <w:t xml:space="preserve"> propter aerarii tenuitatem</w:t>
      </w:r>
      <w:r>
        <w:t>.</w:t>
      </w:r>
    </w:p>
    <w:p>
      <w:pPr>
        <w:pStyle w:val="ListBullet2"/>
      </w:pPr>
      <w:r>
        <w:t>Pisístrato «cargó al pueblo lo menos posible»</w:t>
      </w:r>
      <w:r>
        <w:t xml:space="preserve"> [original: «burdened the people as little as possible», en la traducción de Kenyon]</w:t>
      </w:r>
      <w:r>
        <w:t xml:space="preserve"> (Constitución de los atenienses 16)</w:t>
      </w:r>
      <w:r>
        <w:br/>
      </w:r>
      <w:r>
        <w:rPr>
          <w:b/>
        </w:rPr>
        <w:t>leída en su fuente · Constitución de los atenienses 16</w:t>
      </w:r>
      <w:r>
        <w:br/>
      </w:r>
      <w:r>
        <w:rPr>
          <w:b/>
        </w:rPr>
        <w:t>Archivo leído:</w:t>
      </w:r>
      <w:r>
        <w:t xml:space="preserve"> ath.txt (ant\ath.txt) · contraste del archivo de pasajes: ✔</w:t>
      </w:r>
      <w:r>
        <w:br/>
      </w:r>
      <w:r>
        <w:rPr>
          <w:b/>
        </w:rPr>
        <w:t>Lugar:</w:t>
      </w:r>
      <w:r>
        <w:t xml:space="preserve"> Constitución de los atenienses 16</w:t>
      </w:r>
      <w:r>
        <w:br/>
      </w:r>
      <w:r>
        <w:rPr>
          <w:b/>
        </w:rPr>
        <w:t>Tal como está en la fuente:</w:t>
      </w:r>
      <w:r>
        <w:t xml:space="preserve"> burdened the people as little as possible</w:t>
      </w:r>
      <w:r>
        <w:t>.</w:t>
      </w:r>
    </w:p>
    <w:p>
      <w:pPr>
        <w:pStyle w:val="ListBullet"/>
      </w:pPr>
      <w:r>
        <w:rPr>
          <w:b/>
        </w:rPr>
        <w:t>P3. No quitar al pueblo su tiempo.</w:t>
      </w:r>
      <w:r>
        <w:t xml:space="preserve"> Las pirámides (Aristóteles) y la máxima 11 de Ptahhotep, en </w:t>
      </w:r>
      <w:r>
        <w:t>3.2</w:t>
      </w:r>
      <w:r>
        <w:t>.</w:t>
      </w:r>
    </w:p>
    <w:p>
      <w:pPr>
        <w:pStyle w:val="ListBullet"/>
      </w:pPr>
      <w:r>
        <w:rPr>
          <w:b/>
        </w:rPr>
        <w:t>P4. Pesas y medidas justas.</w:t>
      </w:r>
      <w:r>
        <w:t xml:space="preserve"> </w:t>
      </w:r>
    </w:p>
    <w:p>
      <w:pPr>
        <w:pStyle w:val="ListBullet2"/>
      </w:pPr>
      <w:r>
        <w:t>En el Campesino Elocuente, «una balanza que se inclina» es la imagen de la injusticia; y «el engaño empequeñece la justicia; hay que dar buena medida»</w:t>
      </w:r>
      <w:r>
        <w:t xml:space="preserve"> [original: «a balance that tilteth»; «Cheating maketh justice too small; one must give good measure», en la traducción de Erman y Blackman]</w:t>
      </w:r>
      <w:r>
        <w:t xml:space="preserve"> (El Campesino Elocuente)</w:t>
      </w:r>
      <w:r>
        <w:br/>
      </w:r>
      <w:r>
        <w:rPr>
          <w:b/>
        </w:rPr>
        <w:t>leída en su fuente · El Campesino Elocuente</w:t>
      </w:r>
      <w:r>
        <w:br/>
      </w:r>
      <w:r>
        <w:rPr>
          <w:b/>
        </w:rPr>
        <w:t>Archivo leído:</w:t>
      </w:r>
      <w:r>
        <w:t xml:space="preserve"> erman.txt (ant\erman.txt) · contraste del archivo de pasajes: ✔</w:t>
      </w:r>
      <w:r>
        <w:br/>
      </w:r>
      <w:r>
        <w:rPr>
          <w:b/>
        </w:rPr>
        <w:t>Lugar:</w:t>
      </w:r>
      <w:r>
        <w:t xml:space="preserve"> El Campesino Elocuente</w:t>
      </w:r>
      <w:r>
        <w:br/>
      </w:r>
      <w:r>
        <w:rPr>
          <w:b/>
        </w:rPr>
        <w:t>Tal como está en la fuente:</w:t>
      </w:r>
      <w:r>
        <w:t xml:space="preserve"> a balance that tilteth</w:t>
      </w:r>
      <w:r>
        <w:t>.</w:t>
      </w:r>
    </w:p>
    <w:p>
      <w:pPr>
        <w:pStyle w:val="ListBullet2"/>
      </w:pPr>
      <w:r>
        <w:t>En Atenas, los inspectores de pesos y medidas, elegidos por sorteo, «vigilan que los vendedores usen pesos y medidas justos»</w:t>
      </w:r>
      <w:r>
        <w:t xml:space="preserve"> [original: «see that sellers use fair weights and measures», en la traducción de Kenyon]</w:t>
      </w:r>
      <w:r>
        <w:t xml:space="preserve"> (Constitución de los atenienses 51)</w:t>
      </w:r>
      <w:r>
        <w:br/>
      </w:r>
      <w:r>
        <w:rPr>
          <w:b/>
        </w:rPr>
        <w:t>leída en su fuente · Constitución de los atenienses 51</w:t>
      </w:r>
      <w:r>
        <w:br/>
      </w:r>
      <w:r>
        <w:rPr>
          <w:b/>
        </w:rPr>
        <w:t>Archivo leído:</w:t>
      </w:r>
      <w:r>
        <w:t xml:space="preserve"> ath.txt (ant\ath.txt) · contraste del archivo de pasajes: ✔</w:t>
      </w:r>
      <w:r>
        <w:br/>
      </w:r>
      <w:r>
        <w:rPr>
          <w:b/>
        </w:rPr>
        <w:t>Lugar:</w:t>
      </w:r>
      <w:r>
        <w:t xml:space="preserve"> Constitución de los atenienses 51</w:t>
      </w:r>
      <w:r>
        <w:br/>
      </w:r>
      <w:r>
        <w:rPr>
          <w:b/>
        </w:rPr>
        <w:t>Tal como está en la fuente:</w:t>
      </w:r>
      <w:r>
        <w:t xml:space="preserve"> see that sellers use fair weights and measures</w:t>
      </w:r>
      <w:r>
        <w:t>.</w:t>
      </w:r>
    </w:p>
    <w:p>
      <w:pPr>
        <w:pStyle w:val="ListBullet2"/>
      </w:pPr>
      <w:r>
        <w:t>«Toma medida justa de tu vecino y devuélvele con justicia la misma medida»</w:t>
      </w:r>
      <w:r>
        <w:t xml:space="preserve"> [original: «Take fair measure from your neighbour and pay him back fairly with the same measure», en la traducción de Evelyn-White]</w:t>
      </w:r>
      <w:r>
        <w:t xml:space="preserve"> (Hesíodo, Trabajos y días 349-350)</w:t>
      </w:r>
      <w:r>
        <w:br/>
      </w:r>
      <w:r>
        <w:rPr>
          <w:b/>
        </w:rPr>
        <w:t>leída en su fuente · Hesíodo, Trabajos y días 349-350</w:t>
      </w:r>
      <w:r>
        <w:br/>
      </w:r>
      <w:r>
        <w:rPr>
          <w:b/>
        </w:rPr>
        <w:t>Archivo leído:</w:t>
      </w:r>
      <w:r>
        <w:t xml:space="preserve"> hes.txt (ant\hes.txt) · contraste del archivo de pasajes: ✔</w:t>
      </w:r>
      <w:r>
        <w:br/>
      </w:r>
      <w:r>
        <w:rPr>
          <w:b/>
        </w:rPr>
        <w:t>Lugar:</w:t>
      </w:r>
      <w:r>
        <w:t xml:space="preserve"> Hesíodo, Trabajos y días 349-350</w:t>
      </w:r>
      <w:r>
        <w:br/>
      </w:r>
      <w:r>
        <w:rPr>
          <w:b/>
        </w:rPr>
        <w:t>Tal como está en la fuente:</w:t>
      </w:r>
      <w:r>
        <w:t xml:space="preserve"> Take fair measure from your neighbour and pay him back fairly with the same measure</w:t>
      </w:r>
      <w:r>
        <w:t>.</w:t>
      </w:r>
    </w:p>
    <w:p>
      <w:pPr>
        <w:pStyle w:val="ListBullet2"/>
      </w:pPr>
      <w:r>
        <w:t xml:space="preserve">La medida real justa de Ur-Namma, en </w:t>
      </w:r>
      <w:r>
        <w:t>3.2</w:t>
      </w:r>
      <w:r>
        <w:t>. El § 108 de Hammurabi trata del precio del grano, no de pesas falsas, y no se usa.</w:t>
      </w:r>
    </w:p>
    <w:p>
      <w:pPr>
        <w:pStyle w:val="ListBullet"/>
      </w:pPr>
      <w:r>
        <w:rPr>
          <w:b/>
        </w:rPr>
        <w:t>P5. Devolver lo confiado.</w:t>
      </w:r>
      <w:r>
        <w:t xml:space="preserve"> Hammurabi § 124 y la buena fe de Cicerón, en </w:t>
      </w:r>
      <w:r>
        <w:t>3.2</w:t>
      </w:r>
      <w:r>
        <w:t>.</w:t>
      </w:r>
    </w:p>
    <w:p>
      <w:pPr>
        <w:pStyle w:val="ListBullet"/>
      </w:pPr>
      <w:r>
        <w:rPr>
          <w:b/>
        </w:rPr>
        <w:t>P6. Perdonar las deudas.</w:t>
      </w:r>
      <w:r>
        <w:t xml:space="preserve"> Urukagina, Hammurabi y Solón, en </w:t>
      </w:r>
      <w:r>
        <w:t>3.3</w:t>
      </w:r>
      <w:r>
        <w:t>. Solón prohibió además prestar con la persona del deudor como garantía</w:t>
      </w:r>
      <w:r>
        <w:t xml:space="preserve"> (Constitución de los atenienses 6)</w:t>
      </w:r>
      <w:r>
        <w:t>.</w:t>
      </w:r>
    </w:p>
    <w:p>
      <w:pPr>
        <w:pStyle w:val="ListBullet"/>
      </w:pPr>
      <w:r>
        <w:rPr>
          <w:b/>
        </w:rPr>
        <w:t>P7. Cada uno responde de lo suyo; examinar antes de castigar.</w:t>
      </w:r>
      <w:r>
        <w:t xml:space="preserve"> </w:t>
      </w:r>
    </w:p>
    <w:p>
      <w:pPr>
        <w:pStyle w:val="ListBullet2"/>
      </w:pPr>
      <w:r>
        <w:t>La razón da tiempo a las dos partes (</w:t>
      </w:r>
      <w:r>
        <w:t>3.2</w:t>
      </w:r>
      <w:r>
        <w:t>), porque «la ira se precipita»</w:t>
      </w:r>
      <w:r>
        <w:t xml:space="preserve"> [original: «ira festinat»]</w:t>
      </w:r>
      <w:r>
        <w:t xml:space="preserve"> (Séneca, De ira I, 18)</w:t>
      </w:r>
      <w:r>
        <w:t>.</w:t>
      </w:r>
    </w:p>
    <w:p>
      <w:pPr>
        <w:pStyle w:val="ListBullet2"/>
      </w:pPr>
      <w:r>
        <w:t>«Toma al hombre por sus actos»</w:t>
      </w:r>
      <w:r>
        <w:t xml:space="preserve"> [original: «take to thyself a man because of his actions», en la traducción de Erman y Blackman]</w:t>
      </w:r>
      <w:r>
        <w:t xml:space="preserve"> (Enseñanza para Merikare)</w:t>
      </w:r>
      <w:r>
        <w:br/>
      </w:r>
      <w:r>
        <w:rPr>
          <w:b/>
        </w:rPr>
        <w:t>leída en su fuente · Enseñanza para Merikare</w:t>
      </w:r>
      <w:r>
        <w:br/>
      </w:r>
      <w:r>
        <w:rPr>
          <w:b/>
        </w:rPr>
        <w:t>Archivo leído:</w:t>
      </w:r>
      <w:r>
        <w:t xml:space="preserve"> erman.txt (ant\erman.txt) · contraste del archivo de pasajes: ✔</w:t>
      </w:r>
      <w:r>
        <w:br/>
      </w:r>
      <w:r>
        <w:rPr>
          <w:b/>
        </w:rPr>
        <w:t>Lugar:</w:t>
      </w:r>
      <w:r>
        <w:t xml:space="preserve"> Enseñanza para Merikare</w:t>
      </w:r>
      <w:r>
        <w:br/>
      </w:r>
      <w:r>
        <w:rPr>
          <w:b/>
        </w:rPr>
        <w:t>Tal como está en la fuente:</w:t>
      </w:r>
      <w:r>
        <w:t xml:space="preserve"> take to thyself a man because of his actions</w:t>
      </w:r>
      <w:r>
        <w:t>.</w:t>
      </w:r>
    </w:p>
    <w:p>
      <w:pPr>
        <w:pStyle w:val="ListBullet2"/>
      </w:pPr>
      <w:r>
        <w:t>Platón, Merikare («guárdate de castigar injustamente») y Hammurabi § 9, en 3.2.</w:t>
      </w:r>
    </w:p>
    <w:p>
      <w:pPr>
        <w:pStyle w:val="ListBullet"/>
      </w:pPr>
      <w:r>
        <w:rPr>
          <w:b/>
        </w:rPr>
        <w:t>P8. Contra el soborno; el castigo no es un negocio.</w:t>
      </w:r>
      <w:r>
        <w:t xml:space="preserve"> </w:t>
      </w:r>
    </w:p>
    <w:p>
      <w:pPr>
        <w:pStyle w:val="ListBullet2"/>
      </w:pPr>
      <w:r>
        <w:t>Hesíodo llama a los reyes «devoradores de regalos»</w:t>
      </w:r>
      <w:r>
        <w:t xml:space="preserve"> [original: «βασιλῆς […] δωροφάγοι»]</w:t>
      </w:r>
      <w:r>
        <w:t xml:space="preserve"> (Trabajos y días 263-264)</w:t>
      </w:r>
      <w:r>
        <w:t xml:space="preserve">; su «enderezad vuestras sentencias», en </w:t>
      </w:r>
      <w:r>
        <w:t>3.2</w:t>
      </w:r>
      <w:r>
        <w:t>.</w:t>
      </w:r>
    </w:p>
    <w:p>
      <w:pPr>
        <w:pStyle w:val="ListBullet2"/>
      </w:pPr>
      <w:r>
        <w:t>La ley dice: «no prestes ningún servicio a cambio de regalos»</w:t>
      </w:r>
      <w:r>
        <w:t xml:space="preserve"> [original: «Perform no service for gifts», en la traducción de Bury]</w:t>
      </w:r>
      <w:r>
        <w:t xml:space="preserve"> (Platón, Leyes XII, 955d)</w:t>
      </w:r>
      <w:r>
        <w:br/>
      </w:r>
      <w:r>
        <w:rPr>
          <w:b/>
        </w:rPr>
        <w:t>leída en su fuente · Platón, Leyes XII, 955d</w:t>
      </w:r>
      <w:r>
        <w:br/>
      </w:r>
      <w:r>
        <w:rPr>
          <w:b/>
        </w:rPr>
        <w:t>Archivo leído:</w:t>
      </w:r>
      <w:r>
        <w:t xml:space="preserve"> leg955d.txt (ant\leg955d.txt) · contraste del archivo de pasajes: ✔</w:t>
      </w:r>
      <w:r>
        <w:br/>
      </w:r>
      <w:r>
        <w:rPr>
          <w:b/>
        </w:rPr>
        <w:t>Lugar:</w:t>
      </w:r>
      <w:r>
        <w:t xml:space="preserve"> Platón, Leyes XII, 955d</w:t>
      </w:r>
      <w:r>
        <w:br/>
      </w:r>
      <w:r>
        <w:rPr>
          <w:b/>
        </w:rPr>
        <w:t>Tal como está en la fuente:</w:t>
      </w:r>
      <w:r>
        <w:t xml:space="preserve"> Perform no service for gifts</w:t>
      </w:r>
      <w:r>
        <w:t>.</w:t>
      </w:r>
    </w:p>
    <w:p>
      <w:pPr>
        <w:pStyle w:val="ListBullet2"/>
      </w:pPr>
      <w:r>
        <w:t xml:space="preserve">La ley endurecida «para aumentar el erario» (Tácito), en </w:t>
      </w:r>
      <w:r>
        <w:t>3.2</w:t>
      </w:r>
      <w:r>
        <w:t>.</w:t>
      </w:r>
    </w:p>
    <w:p>
      <w:pPr>
        <w:pStyle w:val="ListBullet"/>
      </w:pPr>
      <w:r>
        <w:rPr>
          <w:b/>
        </w:rPr>
        <w:t>P9. Más leyes, más pobreza.</w:t>
      </w:r>
      <w:r>
        <w:t xml:space="preserve"> Justo antes del pasaje de Tácito que está en </w:t>
      </w:r>
      <w:r>
        <w:t>3.2</w:t>
      </w:r>
      <w:r>
        <w:t>, el mismo autor escribe: «y como antes el país sufría por sus vicios, ahora sufría por sus leyes»</w:t>
      </w:r>
      <w:r>
        <w:t xml:space="preserve"> [original: «utque antehac flagitiis ita tunc legibus laborabatur»]</w:t>
      </w:r>
      <w:r>
        <w:t xml:space="preserve"> (Tácito, Anales III, 25)</w:t>
      </w:r>
      <w:r>
        <w:br/>
      </w:r>
      <w:r>
        <w:rPr>
          <w:b/>
        </w:rPr>
        <w:t>leída en su fuente · Tácito, Anales III, 25</w:t>
      </w:r>
      <w:r>
        <w:br/>
      </w:r>
      <w:r>
        <w:rPr>
          <w:b/>
        </w:rPr>
        <w:t>Archivo leído:</w:t>
      </w:r>
      <w:r>
        <w:t xml:space="preserve"> ann3.txt (ant\ann3.txt) · contraste del archivo de pasajes: ✔</w:t>
      </w:r>
      <w:r>
        <w:br/>
      </w:r>
      <w:r>
        <w:rPr>
          <w:b/>
        </w:rPr>
        <w:t>Lugar:</w:t>
      </w:r>
      <w:r>
        <w:t xml:space="preserve"> Tácito, Anales III, 25</w:t>
      </w:r>
      <w:r>
        <w:br/>
      </w:r>
      <w:r>
        <w:rPr>
          <w:b/>
        </w:rPr>
        <w:t>Tal como está en la fuente:</w:t>
      </w:r>
      <w:r>
        <w:t xml:space="preserve"> utque antehac flagitiis ita tunc legibus laborabatur</w:t>
      </w:r>
      <w:r>
        <w:t xml:space="preserve">. Isócrates y Platón, en </w:t>
      </w:r>
      <w:r>
        <w:t>3.2</w:t>
      </w:r>
      <w:r>
        <w:t>.</w:t>
      </w:r>
    </w:p>
    <w:p>
      <w:pPr>
        <w:pStyle w:val="ListBullet"/>
      </w:pPr>
      <w:r>
        <w:rPr>
          <w:b/>
        </w:rPr>
        <w:t>La pata coja</w:t>
      </w:r>
      <w:r>
        <w:t xml:space="preserve"> (comprobada). </w:t>
      </w:r>
    </w:p>
    <w:p>
      <w:pPr>
        <w:pStyle w:val="ListBullet2"/>
      </w:pPr>
      <w:r>
        <w:t>Contra P7, el castigo por la culpa ajena: además del hijo del constructor (</w:t>
      </w:r>
      <w:r>
        <w:t>3.2</w:t>
      </w:r>
      <w:r>
        <w:t>), «se dará muerte a la hija de él»</w:t>
      </w:r>
      <w:r>
        <w:t xml:space="preserve"> [original: «his daughter shall be put to death», en la traducción de King]</w:t>
      </w:r>
      <w:r>
        <w:t xml:space="preserve"> (Código de Hammurabi § 210)</w:t>
      </w:r>
      <w:r>
        <w:br/>
      </w:r>
      <w:r>
        <w:rPr>
          <w:b/>
        </w:rPr>
        <w:t>leída en su fuente · Código de Hammurabi § 210</w:t>
      </w:r>
      <w:r>
        <w:br/>
      </w:r>
      <w:r>
        <w:rPr>
          <w:b/>
        </w:rPr>
        <w:t>Archivo leído:</w:t>
      </w:r>
      <w:r>
        <w:t xml:space="preserve"> ham.txt (ant\ham.txt) · contraste del archivo de pasajes: ✔</w:t>
      </w:r>
      <w:r>
        <w:br/>
      </w:r>
      <w:r>
        <w:rPr>
          <w:b/>
        </w:rPr>
        <w:t>Lugar:</w:t>
      </w:r>
      <w:r>
        <w:t xml:space="preserve"> Código de Hammurabi § 210</w:t>
      </w:r>
      <w:r>
        <w:br/>
      </w:r>
      <w:r>
        <w:rPr>
          <w:b/>
        </w:rPr>
        <w:t>Tal como está en la fuente:</w:t>
      </w:r>
      <w:r>
        <w:t xml:space="preserve"> his daughter shall be put to death</w:t>
      </w:r>
      <w:r>
        <w:t>; y «a menudo toda una ciudad sufre por un solo malvado»</w:t>
      </w:r>
      <w:r>
        <w:t xml:space="preserve"> [original: «Often even a whole city suffers for a bad man», en la traducción de Evelyn-White]</w:t>
      </w:r>
      <w:r>
        <w:t xml:space="preserve"> (Hesíodo, Trabajos y días 240)</w:t>
      </w:r>
      <w:r>
        <w:br/>
      </w:r>
      <w:r>
        <w:rPr>
          <w:b/>
        </w:rPr>
        <w:t>leída en su fuente · Hesíodo, Trabajos y días 240</w:t>
      </w:r>
      <w:r>
        <w:br/>
      </w:r>
      <w:r>
        <w:rPr>
          <w:b/>
        </w:rPr>
        <w:t>Archivo leído:</w:t>
      </w:r>
      <w:r>
        <w:t xml:space="preserve"> hes.txt (ant\hes.txt) · contraste del archivo de pasajes: ✔</w:t>
      </w:r>
      <w:r>
        <w:br/>
      </w:r>
      <w:r>
        <w:rPr>
          <w:b/>
        </w:rPr>
        <w:t>Lugar:</w:t>
      </w:r>
      <w:r>
        <w:t xml:space="preserve"> Hesíodo, Trabajos y días 240</w:t>
      </w:r>
      <w:r>
        <w:br/>
      </w:r>
      <w:r>
        <w:rPr>
          <w:b/>
        </w:rPr>
        <w:t>Tal como está en la fuente:</w:t>
      </w:r>
      <w:r>
        <w:t xml:space="preserve"> Often even a whole city suffers for a bad man</w:t>
      </w:r>
      <w:r>
        <w:t xml:space="preserve">. Séneca (De ira I, 19), en </w:t>
      </w:r>
      <w:r>
        <w:t>3.2</w:t>
      </w:r>
      <w:r>
        <w:t>.</w:t>
      </w:r>
    </w:p>
    <w:p>
      <w:pPr>
        <w:pStyle w:val="ListBullet2"/>
      </w:pPr>
      <w:r>
        <w:t xml:space="preserve">Contra P5: el depósito que no se devuelve al que ha enloquecido (Cicerón), en </w:t>
      </w:r>
      <w:r>
        <w:t>3.2</w:t>
      </w:r>
      <w:r>
        <w:t>.</w:t>
      </w:r>
    </w:p>
    <w:p>
      <w:r>
        <w:t>[archivo del Arca, bloque del antiguo Oriente, Egipto, Grecia y Roma, verificado por Claude el 5-oct, nivel A; Hesíodo 240 y los traductores ingleses, leídos hoy en local (ant)]</w:t>
      </w:r>
    </w:p>
    <w:p>
      <w:r>
        <w:rPr>
          <w:b/>
        </w:rPr>
        <w:t xml:space="preserve">El pan propio: los tres textos que faltaban en </w:t>
      </w:r>
      <w:r>
        <w:rPr>
          <w:b/>
        </w:rPr>
        <w:t>3.1</w:t>
      </w:r>
      <w:r>
        <w:rPr>
          <w:b/>
        </w:rPr>
        <w:t>.</w:t>
      </w:r>
      <w:r>
        <w:t xml:space="preserve"> Que el pan se gana con el propio trabajo y no con el ajeno lo dicen ya los textos más antiguos de este bloque:</w:t>
      </w:r>
    </w:p>
    <w:p>
      <w:pPr>
        <w:pStyle w:val="ListBullet"/>
      </w:pPr>
      <w:r>
        <w:rPr>
          <w:b/>
        </w:rPr>
        <w:t>Sumeria:</w:t>
      </w:r>
      <w:r>
        <w:t xml:space="preserve"> las Instrucciones de Shuruppak, de los textos literarios más antiguos que se conservan, mandan «no debes robar nada» y «hijo mío, no debes cometer robo»</w:t>
      </w:r>
      <w:r>
        <w:t xml:space="preserve"> [original: «niĝ2 nam-mu-zuḫ-zuḫ»; «dumu-ĝu10 sa gaz nam-mu-u3-ak-e»; en la traducción del ETCSL, «You should not steal anything»; «My son, you should not commit robbery»]</w:t>
      </w:r>
      <w:r>
        <w:t xml:space="preserve"> (Instrucciones de Shuruppak, líneas 28-31 (The Electronic Text Corpus of Sumerian Literature [Corpus electrónico de la literatura sumeria], Universidad de Oxford, c.5.6.1))</w:t>
      </w:r>
      <w:r>
        <w:br/>
      </w:r>
      <w:r>
        <w:rPr>
          <w:b/>
        </w:rPr>
        <w:t>leída en su fuente · Instrucciones de Shuruppak, líneas 28-31 (The Electronic Text Corpus of Sumerian Literatur</w:t>
      </w:r>
      <w:r>
        <w:br/>
      </w:r>
      <w:r>
        <w:rPr>
          <w:b/>
        </w:rPr>
        <w:t>Archivo leído:</w:t>
      </w:r>
      <w:r>
        <w:t xml:space="preserve"> shuruppak_etcsl_composite_c561.txt (g\otros\shuruppak_etcsl_composite_c561.txt) · contraste del archivo de pasajes: ✔</w:t>
      </w:r>
      <w:r>
        <w:br/>
      </w:r>
      <w:r>
        <w:rPr>
          <w:b/>
        </w:rPr>
        <w:t>Lugar:</w:t>
      </w:r>
      <w:r>
        <w:t xml:space="preserve"> Instrucciones de Shuruppak, líneas 28-31 (The Electronic Text Corpus of Sumerian Literature [Corpus electrónico de la literatura sumeria], Universidad de Oxford, c.5.6.1)</w:t>
      </w:r>
      <w:r>
        <w:br/>
      </w:r>
      <w:r>
        <w:rPr>
          <w:b/>
        </w:rPr>
        <w:t>Tal como está en la fuente:</w:t>
      </w:r>
      <w:r>
        <w:t xml:space="preserve"> dumu-ĝu10 sa gaz nam-mu-u3-ak-e</w:t>
      </w:r>
      <w:r>
        <w:t>. Sus tablillas más antiguas son de hacia 2600 a. C., una fecha que su editor da como «no más que una sugerencia»</w:t>
      </w:r>
      <w:r>
        <w:t xml:space="preserve"> [original: «are probably to be dated somewhere around 2600 B.C.»; «it is no more than a suggestion»]</w:t>
      </w:r>
      <w:r>
        <w:t xml:space="preserve"> (R. D. Biggs, Inscriptions from Tell Abū Ṣalābīkh (Inscripciones de Tell Abu Salabikh), Chicago, 1974, p. 26)</w:t>
      </w:r>
      <w:r>
        <w:br/>
      </w:r>
      <w:r>
        <w:rPr>
          <w:b/>
        </w:rPr>
        <w:t>leída en su fuente · R. D. Biggs, Inscriptions from Tell Abū Ṣalābīkh (Inscripciones de Tell Abu Salabikh), Chi</w:t>
      </w:r>
      <w:r>
        <w:br/>
      </w:r>
      <w:r>
        <w:rPr>
          <w:b/>
        </w:rPr>
        <w:t>Archivo leído:</w:t>
      </w:r>
      <w:r>
        <w:t xml:space="preserve"> shuruppak_Biggs1974_OIP99_AbuSalabikh.pdf (g\otros\shuruppak_Biggs1974_OIP99_AbuSalabikh.pdf) · contraste del archivo de pasajes: ✔</w:t>
      </w:r>
      <w:r>
        <w:br/>
      </w:r>
      <w:r>
        <w:rPr>
          <w:b/>
        </w:rPr>
        <w:t>Lugar:</w:t>
      </w:r>
      <w:r>
        <w:t xml:space="preserve"> R. D. Biggs, Inscriptions from Tell Abū Ṣalābīkh (Inscripciones de Tell Abu Salabikh), Chicago, 1974, p. 26</w:t>
      </w:r>
      <w:r>
        <w:br/>
      </w:r>
      <w:r>
        <w:rPr>
          <w:b/>
        </w:rPr>
        <w:t>Tal como está en la fuente:</w:t>
      </w:r>
      <w:r>
        <w:t xml:space="preserve"> are probably to be dated somewhere around 2600 B.C.</w:t>
      </w:r>
      <w:r>
        <w:t>.</w:t>
      </w:r>
    </w:p>
    <w:p>
      <w:pPr>
        <w:pStyle w:val="ListBullet"/>
      </w:pPr>
      <w:r>
        <w:rPr>
          <w:b/>
        </w:rPr>
        <w:t>Egipto:</w:t>
      </w:r>
      <w:r>
        <w:t xml:space="preserve"> las Máximas atribuidas al visir Ptahhotep (V dinastía), que se conservan en el Papiro Prisse, una copia de hacia 2000 a. C., piden: «guárdate de la avidez» y «no codicies nada salvo lo que te pertenece»</w:t>
      </w:r>
      <w:r>
        <w:t xml:space="preserve"> [original: «garde-toi de l'avidité»; «ne sois cupide de rien excepté de ce qui t'appartient», en la traducción de Žába]</w:t>
      </w:r>
      <w:r>
        <w:t xml:space="preserve"> (Máximas de Ptahhotep 19 y 20, vv. 300 y 317 (Z. Žába, Les Maximes de Ptahhotep [Las máximas de Ptahhotep], Praga, 1956; la fecha, p. 1))</w:t>
      </w:r>
      <w:r>
        <w:br/>
      </w:r>
      <w:r>
        <w:rPr>
          <w:b/>
        </w:rPr>
        <w:t>leída en su fuente · Máximas de Ptahhotep 19 y 20, vv. 300 y 317 (Z. Žába, Les Maximes de Ptahhotep</w:t>
      </w:r>
      <w:r>
        <w:br/>
      </w:r>
      <w:r>
        <w:rPr>
          <w:b/>
        </w:rPr>
        <w:t>Archivo leído:</w:t>
      </w:r>
      <w:r>
        <w:t xml:space="preserve"> ptahhotep_Zaba1956_maximes.pdf (g\otros\ptahhotep_Zaba1956_maximes.pdf) · contraste del archivo de pasajes: ✔</w:t>
      </w:r>
      <w:r>
        <w:br/>
      </w:r>
      <w:r>
        <w:rPr>
          <w:b/>
        </w:rPr>
        <w:t>Lugar:</w:t>
      </w:r>
      <w:r>
        <w:t xml:space="preserve"> Máximas de Ptahhotep 19 y 20, vv. 300 y 317 (Z. Žába, Les Maximes de Ptahhotep [Las máximas de Ptahhotep], Praga, 1956; la fecha, p. 1)</w:t>
      </w:r>
      <w:r>
        <w:br/>
      </w:r>
      <w:r>
        <w:rPr>
          <w:b/>
        </w:rPr>
        <w:t>Tal como está en la fuente:</w:t>
      </w:r>
      <w:r>
        <w:t xml:space="preserve"> garde-toi de l'avidité</w:t>
      </w:r>
      <w:r>
        <w:t>. La atribución a la V dinastía se discute: hay quien cree que se compusieron en el Reino Medio (Quirke, 2004; referencia hallada en Wikipedia, sin leer en su fuente). {completo} La traducción inglesa de Gunn dice lo mismo: «Be not covetous as touching shares, in seizing that which is not thine own property» (no seas codicioso en los repartos, tomando lo que no es tuyo; B. G. Gunn, The Instruction of Ptah-hotep [La instrucción de Ptahhotep], Londres, 1906, máxima 20).</w:t>
      </w:r>
    </w:p>
    <w:p>
      <w:pPr>
        <w:pStyle w:val="ListBullet"/>
      </w:pPr>
      <w:r>
        <w:rPr>
          <w:b/>
        </w:rPr>
        <w:t>El estoicismo:</w:t>
      </w:r>
      <w:r>
        <w:t xml:space="preserve"> Musonio Rufo enseñó que «hay que trabajar y pasar fatigas con el propio cuerpo antes que depender de otro que lo alimente a uno»</w:t>
      </w:r>
      <w:r>
        <w:t xml:space="preserve"> [original: «χρὴ πονεῖν καὶ κακοπαθεῖν τῷ σώματι μᾶλλον ἢ ἑτέρου δεῖσθαι τοῦ τρέφοντος»]</w:t>
      </w:r>
      <w:r>
        <w:t xml:space="preserve"> (Musonio Rufo, Disertación XI (O. Hense, C. Musonii Rufi reliquiae [Restos de Musonio Rufo], Leipzig, 1905, p. 60))</w:t>
      </w:r>
      <w:r>
        <w:br/>
      </w:r>
      <w:r>
        <w:rPr>
          <w:b/>
        </w:rPr>
        <w:t>pasaje guardado · Musonio Rufo, Disertación XI (O. Hense, C. Musonii Rufi reliquiae</w:t>
      </w:r>
      <w:r>
        <w:br/>
      </w:r>
      <w:r>
        <w:rPr>
          <w:b/>
        </w:rPr>
        <w:t>Original donde está:</w:t>
      </w:r>
      <w:r>
        <w:t xml:space="preserve"> g/otros/musonio_Hense1905_reliquiae_djvu.txt</w:t>
      </w:r>
      <w:r>
        <w:br/>
      </w:r>
      <w:r>
        <w:t>El pasaje literal no está en el archivo de pasajes con este comienzo; la auditoría lo halló en ese original.</w:t>
      </w:r>
      <w:r>
        <w:t>, y tuvo por el medio de vida más apropiado para el filósofo el que sale del campo</w:t>
      </w:r>
      <w:r>
        <w:t xml:space="preserve"> [original: «ὁ πόρος ἐκ γεωργίας φαίνεται ὢν τῷ φιλοσόφῳ πρεπωδέστατος»]</w:t>
      </w:r>
      <w:r>
        <w:t xml:space="preserve"> (ídem, p. 63)</w:t>
      </w:r>
      <w:r>
        <w:t>.</w:t>
      </w:r>
    </w:p>
    <w:p>
      <w:r>
        <w:t xml:space="preserve">Con ellos, el pan propio de </w:t>
      </w:r>
      <w:r>
        <w:t>3.1</w:t>
      </w:r>
      <w:r>
        <w:t xml:space="preserve"> queda en ocho textos de seis civilizaciones (Sumeria, Egipto, Grecia, Israel, la India y el islam), a lo largo de unos tres mil quinientos años: de las tablillas de hacia 2600 a. C. a al-Bujari, que vivió entre 810 y 870</w:t>
      </w:r>
      <w:r>
        <w:t xml:space="preserve"> (Biblioteca del Congreso de Estados Unidos, registro de autoridad de al-Bujari)</w:t>
      </w:r>
      <w:r>
        <w:t>. No todos son independientes: el Talmud comenta la Biblia, Musonio heredó a los griegos y el hadiz nombra a David. Pero al menos tres lo escribieron sin haberse leído entre sí: Grecia, Israel y la India (</w:t>
      </w:r>
      <w:r>
        <w:t>3.1</w:t>
      </w:r>
      <w:r>
        <w:t>).</w:t>
      </w:r>
    </w:p>
    <w:p>
      <w:r>
        <w:t>[07.00-1.1 y 1.2; leído hoy en local (g/otros): ETCSL c.5.6.1, Biggs 1974, p. 26, Žába 1956, p. 1 y vv. 300 y 317, Gunn 1906, máxima 20, Hense 1905, pp. 60 y 63, y el registro de autoridad de la Biblioteca del Congreso; informe del 5-oct, g/INFORME_PAN_Y_OTROS.md, grupo 1]</w:t>
      </w:r>
    </w:p>
    <w:p>
      <w:pPr>
        <w:pStyle w:val="Heading2"/>
      </w:pPr>
      <w:r>
        <w:t>F.5 La India</w:t>
      </w:r>
    </w:p>
    <w:p>
      <w:pPr>
        <w:pBdr>
          <w:left w:val="single" w:sz="24" w:space="6" w:color="E2DED6"/>
        </w:pBdr>
        <w:shd w:val="clear" w:color="auto" w:fill="F1EEE8"/>
        <w:spacing w:before="80" w:after="160"/>
        <w:ind w:left="142" w:right="142"/>
      </w:pPr>
      <w:r>
        <w:rPr>
          <w:b/>
        </w:rPr>
        <w:t>La idea: la épica, las leyes y el canon budista dicen que el rey que no protege es un ladrón y que el impuesto se recoge como la fruta madura; su pata coja es un manual para llenar el tesoro.</w:t>
      </w:r>
    </w:p>
    <w:p>
      <w:r>
        <w:t>Fuentes: el canon pali, en SuttaCentral (pali y traducción inglesa de Sujato; la española de Baron cuando existe); el sánscrito, en GRETIL (el Mahabharata en su edición crítica; Manu, el Arthashastra y Vasishtha, en sus ediciones); las traducciones inglesas de Ganguli (Mahabharata), Bühler (Manu y Vasishtha), Shamasastry (Arthashastra), Tatia (Tattvartha Sutra), Cowell (Jatakas), Burlingame (comentario al Dhammapada) y Dhammika (los edictos de Ashoka, leídos en esa versión inglesa y no en el prácrito); y el Guru Granth Sahib, en BaniDB, con las traducciones de Sant Singh Khalsa y Manmohan Singh. Cada cita, comprobada en el original y en la traducción. Nivel A.</w:t>
      </w:r>
    </w:p>
    <w:p>
      <w:pPr>
        <w:pStyle w:val="ListBullet"/>
      </w:pPr>
      <w:r>
        <w:rPr>
          <w:b/>
        </w:rPr>
        <w:t>P1. El gobernante existe para el pueblo.</w:t>
      </w:r>
      <w:r>
        <w:t xml:space="preserve"> </w:t>
      </w:r>
    </w:p>
    <w:p>
      <w:pPr>
        <w:pStyle w:val="ListBullet2"/>
      </w:pPr>
      <w:r>
        <w:t>El primer gobernante lo elige el pueblo para que censure y destierre a quien lo merezca, y le pagan «con una parte del arroz»; se llama «el Elegido del Pueblo» (</w:t>
      </w:r>
      <w:r>
        <w:t>3.2</w:t>
      </w:r>
      <w:r>
        <w:t>), y «rey» porque «regocija a otros con el Dhamma»</w:t>
      </w:r>
      <w:r>
        <w:t xml:space="preserve"> [original: «dhammena pare rañjeti»]</w:t>
      </w:r>
      <w:r>
        <w:t xml:space="preserve"> (Digha Nikaya 27, traducción de Baron)</w:t>
      </w:r>
      <w:r>
        <w:br/>
      </w:r>
      <w:r>
        <w:rPr>
          <w:b/>
        </w:rPr>
        <w:t>pasaje guardado · Digha Nikaya 27, traducción de Baron</w:t>
      </w:r>
      <w:r>
        <w:br/>
      </w:r>
      <w:r>
        <w:rPr>
          <w:b/>
        </w:rPr>
        <w:t>Archivo leído:</w:t>
      </w:r>
      <w:r>
        <w:t xml:space="preserve"> ashoka_hultzsch_CII_1925_djvu.txt (c6b\ashoka_hultzsch_CII_1925_djvu.txt) · contraste del archivo de pasajes: ✔</w:t>
      </w:r>
      <w:r>
        <w:br/>
      </w:r>
      <w:r>
        <w:rPr>
          <w:b/>
        </w:rPr>
        <w:t>Lugar:</w:t>
      </w:r>
      <w:r>
        <w:t xml:space="preserve"> Digha Nikaya 27, traducción de Baron</w:t>
      </w:r>
      <w:r>
        <w:br/>
      </w:r>
      <w:r>
        <w:rPr>
          <w:b/>
        </w:rPr>
        <w:t>Tal como está en la fuente:</w:t>
      </w:r>
      <w:r>
        <w:t xml:space="preserve"> dhammena pare rañjeti</w:t>
      </w:r>
      <w:r>
        <w:t>.</w:t>
      </w:r>
    </w:p>
    <w:p>
      <w:pPr>
        <w:pStyle w:val="ListBullet2"/>
      </w:pPr>
      <w:r>
        <w:t>«El rey que no protege a sus súbditos es en verdad un ladrón»</w:t>
      </w:r>
      <w:r>
        <w:t xml:space="preserve"> [original: «na rakṣati prajāḥ samyag yaḥ sa pārthivataskaraḥ»; Ganguli: «That king who does not protect his subjects is truly a thief»]</w:t>
      </w:r>
      <w:r>
        <w:t xml:space="preserve"> (Mahabharata 12.137.96)</w:t>
      </w:r>
      <w:r>
        <w:br/>
      </w:r>
      <w:r>
        <w:rPr>
          <w:b/>
        </w:rPr>
        <w:t>leída en su fuente · Mahabharata 12.137.96</w:t>
      </w:r>
      <w:r>
        <w:br/>
      </w:r>
      <w:r>
        <w:rPr>
          <w:b/>
        </w:rPr>
        <w:t>Archivo leído:</w:t>
      </w:r>
      <w:r>
        <w:t xml:space="preserve"> gretil_mbh12.htm (ant\india\gretil_mbh12.htm) · contraste del archivo de pasajes: ✔</w:t>
      </w:r>
      <w:r>
        <w:br/>
      </w:r>
      <w:r>
        <w:rPr>
          <w:b/>
        </w:rPr>
        <w:t>Lugar:</w:t>
      </w:r>
      <w:r>
        <w:t xml:space="preserve"> Mahabharata 12.137.96</w:t>
      </w:r>
      <w:r>
        <w:br/>
      </w:r>
      <w:r>
        <w:rPr>
          <w:b/>
        </w:rPr>
        <w:t>Tal como está en la fuente:</w:t>
      </w:r>
      <w:r>
        <w:t xml:space="preserve"> na rakṣati prajāḥ samyag yaḥ sa pārthivataskaraḥ</w:t>
      </w:r>
      <w:r>
        <w:t>.</w:t>
      </w:r>
    </w:p>
    <w:p>
      <w:pPr>
        <w:pStyle w:val="ListBullet2"/>
      </w:pPr>
      <w:r>
        <w:t>El rey que dice a su pueblo que es su protector, y no lo protege o no puede, «debería morir a manos de sus súbditos unidos»</w:t>
      </w:r>
      <w:r>
        <w:t xml:space="preserve"> [original: «That king who tells his people that he is their protector but who does not or is unable to protect them […] should be slain by his combined subjects», en la traducción de Ganguli]</w:t>
      </w:r>
      <w:r>
        <w:t xml:space="preserve"> (Mahabharata 13.60.20)</w:t>
      </w:r>
      <w:r>
        <w:br/>
      </w:r>
      <w:r>
        <w:rPr>
          <w:b/>
        </w:rPr>
        <w:t>leída en su fuente · Mahabharata 13.60.20</w:t>
      </w:r>
      <w:r>
        <w:br/>
      </w:r>
      <w:r>
        <w:rPr>
          <w:b/>
        </w:rPr>
        <w:t>Archivo leído:</w:t>
      </w:r>
      <w:r>
        <w:t xml:space="preserve"> mbh_15477.txt (ant\india\mbh_15477.txt) · contraste del archivo de pasajes: ✔</w:t>
      </w:r>
      <w:r>
        <w:br/>
      </w:r>
      <w:r>
        <w:rPr>
          <w:b/>
        </w:rPr>
        <w:t>Lugar:</w:t>
      </w:r>
      <w:r>
        <w:t xml:space="preserve"> Mahabharata 13.60.20</w:t>
      </w:r>
      <w:r>
        <w:br/>
      </w:r>
      <w:r>
        <w:rPr>
          <w:b/>
        </w:rPr>
        <w:t>Tal como está en la fuente:</w:t>
      </w:r>
      <w:r>
        <w:t xml:space="preserve"> That king who tells his people that he is their protector but who does not or is unable to protect them […] should be slain by his combined subjects</w:t>
      </w:r>
      <w:r>
        <w:t xml:space="preserve">. </w:t>
      </w:r>
      <w:r>
        <w:rPr>
          <w:b/>
        </w:rPr>
        <w:t>Cautela:</w:t>
      </w:r>
      <w:r>
        <w:t xml:space="preserve"> es una salida violenta. La obra toma el principio, no esa salida: no exime de ninguna obligación (art. 9.1 de la Constitución), y su vía es la constancia escrita (</w:t>
      </w:r>
      <w:r>
        <w:t>capítulo 10</w:t>
      </w:r>
      <w:r>
        <w:t>).</w:t>
      </w:r>
    </w:p>
    <w:p>
      <w:pPr>
        <w:pStyle w:val="ListBullet2"/>
      </w:pPr>
      <w:r>
        <w:t>El rey está bajo la ley, y con más carga: «donde a un hombre común se le multa con un karshapana, al rey se le multa con mil»</w:t>
      </w:r>
      <w:r>
        <w:t xml:space="preserve"> [original: «where another common man would be fined one karshapana, the king shall be fined one thousand», en la traducción de Bühler]</w:t>
      </w:r>
      <w:r>
        <w:t xml:space="preserve"> (Leyes de Manu VIII, 336)</w:t>
      </w:r>
      <w:r>
        <w:br/>
      </w:r>
      <w:r>
        <w:rPr>
          <w:b/>
        </w:rPr>
        <w:t>leída en su fuente · Leyes de Manu VIII, 336</w:t>
      </w:r>
      <w:r>
        <w:br/>
      </w:r>
      <w:r>
        <w:rPr>
          <w:b/>
        </w:rPr>
        <w:t>Archivo leído:</w:t>
      </w:r>
      <w:r>
        <w:t xml:space="preserve"> 8.3_25_Manu_Buhler_SBE25_cap08_sacred-texts.html (c8a\8.3_25_Manu_Buhler_SBE25_cap08_sacred-texts.txt; c8a\8.3_25_Manu_Buhler_SBE25_cap08_sacred-texts.html) · contraste del archivo de pasajes: ✔</w:t>
      </w:r>
      <w:r>
        <w:br/>
      </w:r>
      <w:r>
        <w:rPr>
          <w:b/>
        </w:rPr>
        <w:t>Lugar:</w:t>
      </w:r>
      <w:r>
        <w:t xml:space="preserve"> Leyes de Manu VIII, 336</w:t>
      </w:r>
      <w:r>
        <w:br/>
      </w:r>
      <w:r>
        <w:rPr>
          <w:b/>
        </w:rPr>
        <w:t>Tal como está en la fuente:</w:t>
      </w:r>
      <w:r>
        <w:t xml:space="preserve"> where another common man would be fined one karshapana, the king shall be fined one thousand</w:t>
      </w:r>
      <w:r>
        <w:t>.</w:t>
      </w:r>
    </w:p>
    <w:p>
      <w:pPr>
        <w:pStyle w:val="ListBullet2"/>
      </w:pPr>
      <w:r>
        <w:t>Guru Nanak: «los reyes son tigres, y sus oficiales, perros»; y en la Corte del Señor, «los que traicionaron la confianza del pueblo quedarán deshonrados»</w:t>
      </w:r>
      <w:r>
        <w:t xml:space="preserve"> [original: «raaje seeh mukadham kute»; en la traducción de Sant Singh Khalsa, «The kings are tigers, and their officials are dogs»; y «those who have violated the people's trust will be disgraced»]</w:t>
      </w:r>
      <w:r>
        <w:t xml:space="preserve"> (Guru Granth Sahib, Ang 1288)</w:t>
      </w:r>
      <w:r>
        <w:br/>
      </w:r>
      <w:r>
        <w:rPr>
          <w:b/>
        </w:rPr>
        <w:t>leída en su fuente · Guru Granth Sahib, Ang 1288</w:t>
      </w:r>
      <w:r>
        <w:br/>
      </w:r>
      <w:r>
        <w:rPr>
          <w:b/>
        </w:rPr>
        <w:t>Archivo leído:</w:t>
      </w:r>
      <w:r>
        <w:t xml:space="preserve"> ang_1288.json (ant\india\ang_1288.json) · contraste del archivo de pasajes: ✔</w:t>
      </w:r>
      <w:r>
        <w:br/>
      </w:r>
      <w:r>
        <w:rPr>
          <w:b/>
        </w:rPr>
        <w:t>Lugar:</w:t>
      </w:r>
      <w:r>
        <w:t xml:space="preserve"> Guru Granth Sahib, Ang 1288</w:t>
      </w:r>
      <w:r>
        <w:br/>
      </w:r>
      <w:r>
        <w:rPr>
          <w:b/>
        </w:rPr>
        <w:t>Tal como está en la fuente:</w:t>
      </w:r>
      <w:r>
        <w:t xml:space="preserve"> raaje seeh mukadham kute</w:t>
      </w:r>
      <w:r>
        <w:t>.</w:t>
      </w:r>
    </w:p>
    <w:p>
      <w:pPr>
        <w:pStyle w:val="ListBullet2"/>
      </w:pPr>
      <w:r>
        <w:t xml:space="preserve">El rey que no protege, «un rey muerto» (Manu VII, 143), en </w:t>
      </w:r>
      <w:r>
        <w:t>3.2</w:t>
      </w:r>
      <w:r>
        <w:t>.</w:t>
      </w:r>
    </w:p>
    <w:p>
      <w:pPr>
        <w:pStyle w:val="ListBullet"/>
      </w:pPr>
      <w:r>
        <w:rPr>
          <w:b/>
        </w:rPr>
        <w:t>P2. Impuestos moderados.</w:t>
      </w:r>
      <w:r>
        <w:t xml:space="preserve"> </w:t>
      </w:r>
    </w:p>
    <w:p>
      <w:pPr>
        <w:pStyle w:val="ListBullet2"/>
      </w:pPr>
      <w:r>
        <w:t>Bajo un rey de impuestos opresores, «sus súbditos, oprimidos por los impuestos, tomaron a sus mujeres y familias y vagaron por el bosque como fieras», y «donde había aldeas ya no quedaba ninguna»; y la estrofa: «de noche somos presa de los ladrones, y de día, de los recaudadores»</w:t>
      </w:r>
      <w:r>
        <w:t xml:space="preserve"> [original: «His subjects being oppressed by taxation took their wives and families and wandered in the forest like wild beasts»; «where once stood villages, there now were none»; «By night to thieves a prey are we, to publicans by day», en la traducción de Francis, en la edición de Cowell]</w:t>
      </w:r>
      <w:r>
        <w:t xml:space="preserve"> (Jataka 520)</w:t>
      </w:r>
      <w:r>
        <w:br/>
      </w:r>
      <w:r>
        <w:rPr>
          <w:b/>
        </w:rPr>
        <w:t>leída en su fuente · Jataka 520</w:t>
      </w:r>
      <w:r>
        <w:br/>
      </w:r>
      <w:r>
        <w:rPr>
          <w:b/>
        </w:rPr>
        <w:t>Archivo leído:</w:t>
      </w:r>
      <w:r>
        <w:t xml:space="preserve"> cowell.txt (ant\india\cowell.txt) · contraste del archivo de pasajes: ✔</w:t>
      </w:r>
      <w:r>
        <w:br/>
      </w:r>
      <w:r>
        <w:rPr>
          <w:b/>
        </w:rPr>
        <w:t>Lugar:</w:t>
      </w:r>
      <w:r>
        <w:t xml:space="preserve"> Jataka 520</w:t>
      </w:r>
      <w:r>
        <w:br/>
      </w:r>
      <w:r>
        <w:rPr>
          <w:b/>
        </w:rPr>
        <w:t>Tal como está en la fuente:</w:t>
      </w:r>
      <w:r>
        <w:t xml:space="preserve"> His subjects being oppressed by taxation took their wives and families and wandered in the forest like wild beasts</w:t>
      </w:r>
      <w:r>
        <w:t xml:space="preserve">. </w:t>
      </w:r>
      <w:r>
        <w:rPr>
          <w:b/>
        </w:rPr>
        <w:t>Cautela:</w:t>
      </w:r>
      <w:r>
        <w:t xml:space="preserve"> la prosa es un comentario más tardío que la estrofa.</w:t>
      </w:r>
    </w:p>
    <w:p>
      <w:pPr>
        <w:pStyle w:val="ListBullet2"/>
      </w:pPr>
      <w:r>
        <w:t>El impuesto se recoge como la fruta, cuando madura: «así se recogerán los ingresos cada vez que maduren […], para que no se dañe su fuente»</w:t>
      </w:r>
      <w:r>
        <w:t xml:space="preserve"> [original: «so revenue shall be collected as often as it becomes ripe […] lest their source may be injured», en la traducción de Shamasastry]</w:t>
      </w:r>
      <w:r>
        <w:t xml:space="preserve"> (Arthashastra 5.2.70)</w:t>
      </w:r>
      <w:r>
        <w:br/>
      </w:r>
      <w:r>
        <w:rPr>
          <w:b/>
        </w:rPr>
        <w:t>leída en su fuente · Arthashastra 5.2.70</w:t>
      </w:r>
      <w:r>
        <w:br/>
      </w:r>
      <w:r>
        <w:rPr>
          <w:b/>
        </w:rPr>
        <w:t>Archivo leído:</w:t>
      </w:r>
      <w:r>
        <w:t xml:space="preserve"> artha_V.html (ant\india\artha_V.html) · contraste del archivo de pasajes: ✔</w:t>
      </w:r>
      <w:r>
        <w:br/>
      </w:r>
      <w:r>
        <w:rPr>
          <w:b/>
        </w:rPr>
        <w:t>Lugar:</w:t>
      </w:r>
      <w:r>
        <w:t xml:space="preserve"> Arthashastra 5.2.70</w:t>
      </w:r>
      <w:r>
        <w:br/>
      </w:r>
      <w:r>
        <w:rPr>
          <w:b/>
        </w:rPr>
        <w:t>Tal como está en la fuente:</w:t>
      </w:r>
      <w:r>
        <w:t xml:space="preserve"> so revenue shall be collected as often as it becomes ripe […] lest their source may be injured</w:t>
      </w:r>
      <w:r>
        <w:t>. Es del mismo capítulo que su pata coja.</w:t>
      </w:r>
    </w:p>
    <w:p>
      <w:pPr>
        <w:pStyle w:val="ListBullet2"/>
      </w:pPr>
      <w:r>
        <w:t xml:space="preserve">El florista y el carbonero (Mahabharata 12.72), el Kutadanta Sutta y la abeja de Manu, en </w:t>
      </w:r>
      <w:r>
        <w:t>3.2</w:t>
      </w:r>
      <w:r>
        <w:t>.</w:t>
      </w:r>
    </w:p>
    <w:p>
      <w:pPr>
        <w:pStyle w:val="ListBullet"/>
      </w:pPr>
      <w:r>
        <w:rPr>
          <w:b/>
        </w:rPr>
        <w:t>P3. No quitar al pueblo su tiempo.</w:t>
      </w:r>
      <w:r>
        <w:t xml:space="preserve"> </w:t>
      </w:r>
    </w:p>
    <w:p>
      <w:pPr>
        <w:pStyle w:val="ListBullet2"/>
      </w:pPr>
      <w:r>
        <w:t>Hay que proteger la agricultura «del acoso de las multas opresivas, del trabajo forzado y de los impuestos»</w:t>
      </w:r>
      <w:r>
        <w:t xml:space="preserve"> [original: «from the molestation of oppressive fines, free labour, and taxes», en la traducción de Shamasastry]</w:t>
      </w:r>
      <w:r>
        <w:t xml:space="preserve"> (Arthashastra 2.1)</w:t>
      </w:r>
      <w:r>
        <w:br/>
      </w:r>
      <w:r>
        <w:rPr>
          <w:b/>
        </w:rPr>
        <w:t>leída en su fuente · Arthashastra 2.1</w:t>
      </w:r>
      <w:r>
        <w:br/>
      </w:r>
      <w:r>
        <w:rPr>
          <w:b/>
        </w:rPr>
        <w:t>Archivo leído:</w:t>
      </w:r>
      <w:r>
        <w:t xml:space="preserve"> artha_II.html (ant\india\artha_II.html) · contraste del archivo de pasajes: ✔</w:t>
      </w:r>
      <w:r>
        <w:br/>
      </w:r>
      <w:r>
        <w:rPr>
          <w:b/>
        </w:rPr>
        <w:t>Lugar:</w:t>
      </w:r>
      <w:r>
        <w:t xml:space="preserve"> Arthashastra 2.1</w:t>
      </w:r>
      <w:r>
        <w:br/>
      </w:r>
      <w:r>
        <w:rPr>
          <w:b/>
        </w:rPr>
        <w:t>Tal como está en la fuente:</w:t>
      </w:r>
      <w:r>
        <w:t xml:space="preserve"> from the molestation of oppressive fines, free labour, and taxes</w:t>
      </w:r>
      <w:r>
        <w:t xml:space="preserve">. </w:t>
      </w:r>
      <w:r>
        <w:rPr>
          <w:b/>
        </w:rPr>
        <w:t>Cautela:</w:t>
      </w:r>
      <w:r>
        <w:t xml:space="preserve"> el motivo que da el texto es fiscal.</w:t>
      </w:r>
    </w:p>
    <w:p>
      <w:pPr>
        <w:pStyle w:val="ListBullet2"/>
      </w:pPr>
      <w:r>
        <w:t>En el jainismo, «sobrecargar» a personas y bestias es una falta contra el voto de no violencia</w:t>
      </w:r>
      <w:r>
        <w:t xml:space="preserve"> [original: «overloading», en la traducción de Tatia]</w:t>
      </w:r>
      <w:r>
        <w:t xml:space="preserve"> (Tattvartha Sutra 7.20)</w:t>
      </w:r>
      <w:r>
        <w:t>. Respalda P3 de lejos.</w:t>
      </w:r>
    </w:p>
    <w:p>
      <w:pPr>
        <w:pStyle w:val="ListBullet2"/>
      </w:pPr>
      <w:r>
        <w:t xml:space="preserve">El descanso del trabajador (Digha Nikaya 31) y el día al mes de Manu, en </w:t>
      </w:r>
      <w:r>
        <w:t>3.2</w:t>
      </w:r>
      <w:r>
        <w:t>.</w:t>
      </w:r>
    </w:p>
    <w:p>
      <w:pPr>
        <w:pStyle w:val="ListBullet"/>
      </w:pPr>
      <w:r>
        <w:rPr>
          <w:b/>
        </w:rPr>
        <w:t>P4. Pesas y medidas justas.</w:t>
      </w:r>
      <w:r>
        <w:t xml:space="preserve"> </w:t>
      </w:r>
    </w:p>
    <w:p>
      <w:pPr>
        <w:pStyle w:val="ListBullet2"/>
      </w:pPr>
      <w:r>
        <w:t>«Falsear el peso de lo que se compra o vende» es una falta contra el voto de no robar</w:t>
      </w:r>
      <w:r>
        <w:t xml:space="preserve"> [original: «misrepresenting the weight of goods one is buying or selling», en la traducción de Tatia]</w:t>
      </w:r>
      <w:r>
        <w:t xml:space="preserve"> (Tattvartha Sutra 7.22)</w:t>
      </w:r>
      <w:r>
        <w:t>.</w:t>
      </w:r>
    </w:p>
    <w:p>
      <w:pPr>
        <w:pStyle w:val="ListBullet2"/>
      </w:pPr>
      <w:r>
        <w:t>Kabir: «no miden con la cinta completa y cobran grandes sobornos»</w:t>
      </w:r>
      <w:r>
        <w:t xml:space="preserve"> [original: «They do not measure with a full tape, and they take huge amounts in bribes», en la traducción de BaniDB]</w:t>
      </w:r>
      <w:r>
        <w:t xml:space="preserve"> (Guru Granth Sahib, Ang 793)</w:t>
      </w:r>
      <w:r>
        <w:br/>
      </w:r>
      <w:r>
        <w:rPr>
          <w:b/>
        </w:rPr>
        <w:t>leída en su fuente · Guru Granth Sahib, Ang 793</w:t>
      </w:r>
      <w:r>
        <w:br/>
      </w:r>
      <w:r>
        <w:rPr>
          <w:b/>
        </w:rPr>
        <w:t>Archivo leído:</w:t>
      </w:r>
      <w:r>
        <w:t xml:space="preserve"> ang_793.json (ant\india\ang_793.json) · contraste del archivo de pasajes: ✔</w:t>
      </w:r>
      <w:r>
        <w:br/>
      </w:r>
      <w:r>
        <w:rPr>
          <w:b/>
        </w:rPr>
        <w:t>Lugar:</w:t>
      </w:r>
      <w:r>
        <w:t xml:space="preserve"> Guru Granth Sahib, Ang 793</w:t>
      </w:r>
      <w:r>
        <w:br/>
      </w:r>
      <w:r>
        <w:rPr>
          <w:b/>
        </w:rPr>
        <w:t>Tal como está en la fuente:</w:t>
      </w:r>
      <w:r>
        <w:t xml:space="preserve"> They do not measure with a full tape, and they take huge amounts in bribes</w:t>
      </w:r>
      <w:r>
        <w:t xml:space="preserve">. </w:t>
      </w:r>
      <w:r>
        <w:rPr>
          <w:b/>
        </w:rPr>
        <w:t>Cautela:</w:t>
      </w:r>
      <w:r>
        <w:t xml:space="preserve"> es una alegoría.</w:t>
      </w:r>
    </w:p>
    <w:p>
      <w:pPr>
        <w:pStyle w:val="ListBullet2"/>
      </w:pPr>
      <w:r>
        <w:t xml:space="preserve">El asceta Gotama y las pesas (Digha Nikaya 1) y la revisión de Manu cada seis meses, en </w:t>
      </w:r>
      <w:r>
        <w:t>3.2</w:t>
      </w:r>
      <w:r>
        <w:t>.</w:t>
      </w:r>
    </w:p>
    <w:p>
      <w:pPr>
        <w:pStyle w:val="ListBullet"/>
      </w:pPr>
      <w:r>
        <w:rPr>
          <w:b/>
        </w:rPr>
        <w:t>P5. Devolver lo confiado.</w:t>
      </w:r>
      <w:r>
        <w:t xml:space="preserve"> </w:t>
      </w:r>
    </w:p>
    <w:p>
      <w:pPr>
        <w:pStyle w:val="ListBullet2"/>
      </w:pPr>
      <w:r>
        <w:t>El depositario que no devuelve el depósito, además de devolverlo, queda sujeto «a la pena del robo»</w:t>
      </w:r>
      <w:r>
        <w:t xml:space="preserve"> [original: «to the punishment for theft», en la traducción de Shamasastry]</w:t>
      </w:r>
      <w:r>
        <w:t xml:space="preserve"> (Arthashastra 3.12)</w:t>
      </w:r>
      <w:r>
        <w:t>.</w:t>
      </w:r>
    </w:p>
    <w:p>
      <w:pPr>
        <w:pStyle w:val="ListBullet2"/>
      </w:pPr>
      <w:r>
        <w:t>Quien, al reclamarle la deuda, huye diciendo «¡no te debo nada!» es un paria</w:t>
      </w:r>
      <w:r>
        <w:t xml:space="preserve"> [original: «I don't owe you anything!», en la traducción de Sujato]</w:t>
      </w:r>
      <w:r>
        <w:t xml:space="preserve"> (Sutta Nipata 1.7:8)</w:t>
      </w:r>
      <w:r>
        <w:t>.</w:t>
      </w:r>
    </w:p>
    <w:p>
      <w:pPr>
        <w:pStyle w:val="ListBullet2"/>
      </w:pPr>
      <w:r>
        <w:t xml:space="preserve">Manu VIII, 180, y el Tattvartha Sutra 7.21, en </w:t>
      </w:r>
      <w:r>
        <w:t>3.2</w:t>
      </w:r>
      <w:r>
        <w:t>.</w:t>
      </w:r>
    </w:p>
    <w:p>
      <w:pPr>
        <w:pStyle w:val="ListBullet"/>
      </w:pPr>
      <w:r>
        <w:rPr>
          <w:b/>
        </w:rPr>
        <w:t>P6. Contra la usura; perdonar las deudas.</w:t>
      </w:r>
      <w:r>
        <w:t xml:space="preserve"> Manu, Vasishtha 2.42 y el Anguttara Nikaya, en </w:t>
      </w:r>
      <w:r>
        <w:t>3.3</w:t>
      </w:r>
      <w:r>
        <w:t>. Y «la muerte del rey detendrá el interés del dinero prestado»</w:t>
      </w:r>
      <w:r>
        <w:t xml:space="preserve"> [original: «the king's death shall stop the interest on money (lent)», en la traducción de Bühler]</w:t>
      </w:r>
      <w:r>
        <w:t xml:space="preserve"> (Vasishtha 2.49)</w:t>
      </w:r>
      <w:r>
        <w:br/>
      </w:r>
      <w:r>
        <w:rPr>
          <w:b/>
        </w:rPr>
        <w:t>leída en su fuente · Vasishtha 2.49</w:t>
      </w:r>
      <w:r>
        <w:br/>
      </w:r>
      <w:r>
        <w:rPr>
          <w:b/>
        </w:rPr>
        <w:t>Archivo leído:</w:t>
      </w:r>
      <w:r>
        <w:t xml:space="preserve"> pt2sacredlawsof14bhuoft.txt (ant\india\pt2sacredlawsof14bhuoft.txt) · contraste del archivo de pasajes: ✔</w:t>
      </w:r>
      <w:r>
        <w:br/>
      </w:r>
      <w:r>
        <w:rPr>
          <w:b/>
        </w:rPr>
        <w:t>Lugar:</w:t>
      </w:r>
      <w:r>
        <w:t xml:space="preserve"> Vasishtha 2.49</w:t>
      </w:r>
      <w:r>
        <w:br/>
      </w:r>
      <w:r>
        <w:rPr>
          <w:b/>
        </w:rPr>
        <w:t>Tal como está en la fuente:</w:t>
      </w:r>
      <w:r>
        <w:t xml:space="preserve"> the king's death shall stop the interest on money (lent)</w:t>
      </w:r>
      <w:r>
        <w:t>: es lo más parecido a una remisión que hay en estos textos. {completo} En 2.48, el mismo texto fija tipos de interés según la casta; no se usa.</w:t>
      </w:r>
    </w:p>
    <w:p>
      <w:pPr>
        <w:pStyle w:val="ListBullet"/>
      </w:pPr>
      <w:r>
        <w:rPr>
          <w:b/>
        </w:rPr>
        <w:t>P7. Cada uno responde de lo suyo; examinar antes de castigar.</w:t>
      </w:r>
      <w:r>
        <w:t xml:space="preserve"> </w:t>
      </w:r>
    </w:p>
    <w:p>
      <w:pPr>
        <w:pStyle w:val="ListBullet2"/>
      </w:pPr>
      <w:r>
        <w:t>«Al matar a un solo ladrón, mueren con él su mujer, su madre, su padre y sus hijos»</w:t>
      </w:r>
      <w:r>
        <w:t xml:space="preserve"> [original: «by slaying a single robber, his wife, mother, father and children are all slain», en la traducción de Ganguli]</w:t>
      </w:r>
      <w:r>
        <w:t xml:space="preserve"> (Mahabharata 12.259.9-10)</w:t>
      </w:r>
      <w:r>
        <w:br/>
      </w:r>
      <w:r>
        <w:rPr>
          <w:b/>
        </w:rPr>
        <w:t>leída en su fuente · Mahabharata 12.259.9-10</w:t>
      </w:r>
      <w:r>
        <w:br/>
      </w:r>
      <w:r>
        <w:rPr>
          <w:b/>
        </w:rPr>
        <w:t>Archivo leído:</w:t>
      </w:r>
      <w:r>
        <w:t xml:space="preserve"> mbh_15476.txt (ant\india\mbh_15476.txt) · contraste del archivo de pasajes: ✔</w:t>
      </w:r>
      <w:r>
        <w:br/>
      </w:r>
      <w:r>
        <w:rPr>
          <w:b/>
        </w:rPr>
        <w:t>Lugar:</w:t>
      </w:r>
      <w:r>
        <w:t xml:space="preserve"> Mahabharata 12.259.9-10</w:t>
      </w:r>
      <w:r>
        <w:br/>
      </w:r>
      <w:r>
        <w:rPr>
          <w:b/>
        </w:rPr>
        <w:t>Tal como está en la fuente:</w:t>
      </w:r>
      <w:r>
        <w:t xml:space="preserve"> by slaying a single robber, his wife, mother, father and children are all slain</w:t>
      </w:r>
      <w:r>
        <w:t>: por eso el rey debe reflexionar a fondo antes de castigar.</w:t>
      </w:r>
    </w:p>
    <w:p>
      <w:pPr>
        <w:pStyle w:val="ListBullet2"/>
      </w:pPr>
      <w:r>
        <w:t>Antes de castigar hay que averiguar el motivo, el tiempo y el lugar</w:t>
      </w:r>
      <w:r>
        <w:t xml:space="preserve"> (Leyes de Manu VIII, 126)</w:t>
      </w:r>
      <w:r>
        <w:t>; y si se castiga a un inocente, el rey ayuna tres días</w:t>
      </w:r>
      <w:r>
        <w:t xml:space="preserve"> [original: «if an innocent man is punished», en la traducción de Bühler]</w:t>
      </w:r>
      <w:r>
        <w:t xml:space="preserve"> (Vasishtha 19.42-43)</w:t>
      </w:r>
      <w:r>
        <w:t>.</w:t>
      </w:r>
    </w:p>
    <w:p>
      <w:pPr>
        <w:pStyle w:val="ListBullet2"/>
      </w:pPr>
      <w:r>
        <w:t>Ashoka: «aun cumpliendo la ley, algunos son encarcelados, maltratados e incluso muertos sin causa»</w:t>
      </w:r>
      <w:r>
        <w:t xml:space="preserve"> [original: «while being completely law-abiding, some people are imprisoned, treated harshly and even killed without cause», en la versión de Dhammika]</w:t>
      </w:r>
      <w:r>
        <w:t xml:space="preserve"> (Ashoka, edicto separado de Kalinga I)</w:t>
      </w:r>
      <w:r>
        <w:br/>
      </w:r>
      <w:r>
        <w:rPr>
          <w:b/>
        </w:rPr>
        <w:t>leída en su fuente · Ashoka, edicto separado de Kalinga I</w:t>
      </w:r>
      <w:r>
        <w:br/>
      </w:r>
      <w:r>
        <w:rPr>
          <w:b/>
        </w:rPr>
        <w:t>Archivo leído:</w:t>
      </w:r>
      <w:r>
        <w:t xml:space="preserve"> ashoka.html (ant\india\ashoka.html) · contraste del archivo de pasajes: ✔</w:t>
      </w:r>
      <w:r>
        <w:br/>
      </w:r>
      <w:r>
        <w:rPr>
          <w:b/>
        </w:rPr>
        <w:t>Lugar:</w:t>
      </w:r>
      <w:r>
        <w:t xml:space="preserve"> Ashoka, edicto separado de Kalinga I</w:t>
      </w:r>
      <w:r>
        <w:br/>
      </w:r>
      <w:r>
        <w:rPr>
          <w:b/>
        </w:rPr>
        <w:t>Tal como está en la fuente:</w:t>
      </w:r>
      <w:r>
        <w:t xml:space="preserve"> while being completely law-abiding, some people are imprisoned, treated harshly and even killed without cause</w:t>
      </w:r>
      <w:r>
        <w:t>; y pide «igualdad en la ley y en las penas»</w:t>
      </w:r>
      <w:r>
        <w:t xml:space="preserve"> [original: «uniformity in law and uniformity in sentencing», en la versión de Dhammika]</w:t>
      </w:r>
      <w:r>
        <w:t xml:space="preserve"> (Ashoka, edicto de la columna IV)</w:t>
      </w:r>
      <w:r>
        <w:br/>
      </w:r>
      <w:r>
        <w:rPr>
          <w:b/>
        </w:rPr>
        <w:t>leída en su fuente · Ashoka, edicto de la columna IV</w:t>
      </w:r>
      <w:r>
        <w:br/>
      </w:r>
      <w:r>
        <w:rPr>
          <w:b/>
        </w:rPr>
        <w:t>Archivo leído:</w:t>
      </w:r>
      <w:r>
        <w:t xml:space="preserve"> ashoka.html (ant\india\ashoka.html) · contraste del archivo de pasajes: ✔</w:t>
      </w:r>
      <w:r>
        <w:br/>
      </w:r>
      <w:r>
        <w:rPr>
          <w:b/>
        </w:rPr>
        <w:t>Lugar:</w:t>
      </w:r>
      <w:r>
        <w:t xml:space="preserve"> Ashoka, edicto de la columna IV</w:t>
      </w:r>
      <w:r>
        <w:br/>
      </w:r>
      <w:r>
        <w:rPr>
          <w:b/>
        </w:rPr>
        <w:t>Tal como está en la fuente:</w:t>
      </w:r>
      <w:r>
        <w:t xml:space="preserve"> uniformity in law and uniformity in sentencing</w:t>
      </w:r>
      <w:r>
        <w:t>.</w:t>
      </w:r>
    </w:p>
    <w:p>
      <w:pPr>
        <w:pStyle w:val="ListBullet2"/>
      </w:pPr>
      <w:r>
        <w:t xml:space="preserve">El castigo sin la debida consideración lo destruye todo (Manu VII, 19), en </w:t>
      </w:r>
      <w:r>
        <w:t>3.2</w:t>
      </w:r>
      <w:r>
        <w:t>.</w:t>
      </w:r>
    </w:p>
    <w:p>
      <w:pPr>
        <w:pStyle w:val="ListBullet"/>
      </w:pPr>
      <w:r>
        <w:rPr>
          <w:b/>
        </w:rPr>
        <w:t>P8. El castigo no es un negocio; contra el soborno.</w:t>
      </w:r>
      <w:r>
        <w:t xml:space="preserve"> </w:t>
      </w:r>
    </w:p>
    <w:p>
      <w:pPr>
        <w:pStyle w:val="ListBullet2"/>
      </w:pPr>
      <w:r>
        <w:t>Donde el rey se abstiene de tomar los bienes del culpable (</w:t>
      </w:r>
      <w:r>
        <w:t>3.2</w:t>
      </w:r>
      <w:r>
        <w:t>), los hombres viven largo tiempo</w:t>
      </w:r>
      <w:r>
        <w:t xml:space="preserve"> (Leyes de Manu IX, 246)</w:t>
      </w:r>
      <w:r>
        <w:t>.</w:t>
      </w:r>
    </w:p>
    <w:p>
      <w:pPr>
        <w:pStyle w:val="ListBullet2"/>
      </w:pPr>
      <w:r>
        <w:t>«No eres justo por juzgar con precipitación»</w:t>
      </w:r>
      <w:r>
        <w:t xml:space="preserve"> [original: «You don't become just by passing hasty judgment», en la traducción de Sujato]</w:t>
      </w:r>
      <w:r>
        <w:t xml:space="preserve"> (Dhammapada 256-257)</w:t>
      </w:r>
      <w:r>
        <w:br/>
      </w:r>
      <w:r>
        <w:rPr>
          <w:b/>
        </w:rPr>
        <w:t>leída en su fuente · Dhammapada 256-257</w:t>
      </w:r>
      <w:r>
        <w:br/>
      </w:r>
      <w:r>
        <w:rPr>
          <w:b/>
        </w:rPr>
        <w:t>Archivo leído:</w:t>
      </w:r>
      <w:r>
        <w:t xml:space="preserve"> suttacentral_dhammapada_ingles_sujato_texto_corrido.txt (reparacion_citas\suttacentral_dhammapada_ingles_sujato_texto_corrido.txt) · contraste del archivo de pasajes: ✔</w:t>
      </w:r>
      <w:r>
        <w:br/>
      </w:r>
      <w:r>
        <w:rPr>
          <w:b/>
        </w:rPr>
        <w:t>Lugar:</w:t>
      </w:r>
      <w:r>
        <w:t xml:space="preserve"> Dhammapada 256-257</w:t>
      </w:r>
      <w:r>
        <w:br/>
      </w:r>
      <w:r>
        <w:rPr>
          <w:b/>
        </w:rPr>
        <w:t>Tal como está en la fuente:</w:t>
      </w:r>
      <w:r>
        <w:t xml:space="preserve"> You don't become just by passing hasty judgment</w:t>
      </w:r>
      <w:r>
        <w:t>; según el comentario, los versos nacen al ver a unos «señores de la justicia que aceptaban sobornos»</w:t>
      </w:r>
      <w:r>
        <w:t xml:space="preserve"> [original: «lords of justice taking bribes», en la traducción de Burlingame]</w:t>
      </w:r>
      <w:r>
        <w:t xml:space="preserve"> (comentario al Dhammapada)</w:t>
      </w:r>
      <w:r>
        <w:br/>
      </w:r>
      <w:r>
        <w:rPr>
          <w:b/>
        </w:rPr>
        <w:t>leída en su fuente · comentario al Dhammapada</w:t>
      </w:r>
      <w:r>
        <w:br/>
      </w:r>
      <w:r>
        <w:rPr>
          <w:b/>
        </w:rPr>
        <w:t>Archivo leído:</w:t>
      </w:r>
      <w:r>
        <w:t xml:space="preserve"> buddhistlegends03burluoft.txt (ant\india\buddhistlegends03burluoft.txt) · contraste del archivo de pasajes: ✔</w:t>
      </w:r>
      <w:r>
        <w:br/>
      </w:r>
      <w:r>
        <w:rPr>
          <w:b/>
        </w:rPr>
        <w:t>Lugar:</w:t>
      </w:r>
      <w:r>
        <w:t xml:space="preserve"> comentario al Dhammapada</w:t>
      </w:r>
      <w:r>
        <w:br/>
      </w:r>
      <w:r>
        <w:rPr>
          <w:b/>
        </w:rPr>
        <w:t>Tal como está en la fuente:</w:t>
      </w:r>
      <w:r>
        <w:t xml:space="preserve"> lords of justice taking bribes</w:t>
      </w:r>
      <w:r>
        <w:t>.</w:t>
      </w:r>
    </w:p>
    <w:p>
      <w:pPr>
        <w:pStyle w:val="ListBullet2"/>
      </w:pPr>
      <w:r>
        <w:t>Guru Nanak: «se hacen jueces y se sientan a impartir justicia […]; aceptan sobornos y niegan el derecho»</w:t>
      </w:r>
      <w:r>
        <w:t xml:space="preserve"> [original: «Becoming judges, they sit and administer justice […] They accept bribes, and block justice», en la traducción de BaniDB]</w:t>
      </w:r>
      <w:r>
        <w:t xml:space="preserve"> (Guru Granth Sahib, Ang 951)</w:t>
      </w:r>
      <w:r>
        <w:br/>
      </w:r>
      <w:r>
        <w:rPr>
          <w:b/>
        </w:rPr>
        <w:t>leída en su fuente · Guru Granth Sahib, Ang 951</w:t>
      </w:r>
      <w:r>
        <w:br/>
      </w:r>
      <w:r>
        <w:rPr>
          <w:b/>
        </w:rPr>
        <w:t>Archivo leído:</w:t>
      </w:r>
      <w:r>
        <w:t xml:space="preserve"> ang_951.json (ant\india\ang_951.json) · contraste del archivo de pasajes: ✔</w:t>
      </w:r>
      <w:r>
        <w:br/>
      </w:r>
      <w:r>
        <w:rPr>
          <w:b/>
        </w:rPr>
        <w:t>Lugar:</w:t>
      </w:r>
      <w:r>
        <w:t xml:space="preserve"> Guru Granth Sahib, Ang 951</w:t>
      </w:r>
      <w:r>
        <w:br/>
      </w:r>
      <w:r>
        <w:rPr>
          <w:b/>
        </w:rPr>
        <w:t>Tal como está en la fuente:</w:t>
      </w:r>
      <w:r>
        <w:t xml:space="preserve"> Becoming judges, they sit and administer justice […] They accept bribes, and block justice</w:t>
      </w:r>
      <w:r>
        <w:t>.</w:t>
      </w:r>
    </w:p>
    <w:p>
      <w:pPr>
        <w:pStyle w:val="ListBullet2"/>
      </w:pPr>
      <w:r>
        <w:t xml:space="preserve">El Kutadanta Sutta, en </w:t>
      </w:r>
      <w:r>
        <w:t>3.2</w:t>
      </w:r>
      <w:r>
        <w:t xml:space="preserve">; la multa que se arroja al agua o se da a un brahmán (Manu IX, 244), en </w:t>
      </w:r>
      <w:r>
        <w:t>3.4</w:t>
      </w:r>
      <w:r>
        <w:t>.</w:t>
      </w:r>
    </w:p>
    <w:p>
      <w:pPr>
        <w:pStyle w:val="ListBullet"/>
      </w:pPr>
      <w:r>
        <w:rPr>
          <w:b/>
        </w:rPr>
        <w:t>P9. Más leyes, más pobreza.</w:t>
      </w:r>
      <w:r>
        <w:t xml:space="preserve"> Ningún texto indio lo dice directamente; lo que sigue es lectura. </w:t>
      </w:r>
    </w:p>
    <w:p>
      <w:pPr>
        <w:pStyle w:val="ListBullet2"/>
      </w:pPr>
      <w:r>
        <w:t>«Cuando los seres decaen y la verdadera enseñanza desaparece, hay más reglas»</w:t>
      </w:r>
      <w:r>
        <w:t xml:space="preserve"> [original: «when sentient beings are in decline and the true teaching is disappearing there are more training rules», en la traducción de Sujato]</w:t>
      </w:r>
      <w:r>
        <w:t xml:space="preserve"> (Majjhima Nikaya 65)</w:t>
      </w:r>
      <w:r>
        <w:br/>
      </w:r>
      <w:r>
        <w:rPr>
          <w:b/>
        </w:rPr>
        <w:t>leída en su fuente · Majjhima Nikaya 65</w:t>
      </w:r>
      <w:r>
        <w:br/>
      </w:r>
      <w:r>
        <w:rPr>
          <w:b/>
        </w:rPr>
        <w:t>Archivo leído:</w:t>
      </w:r>
      <w:r>
        <w:t xml:space="preserve"> sc_mn65.json (ant\india\sc_mn65.json) · contraste del archivo de pasajes: ✔</w:t>
      </w:r>
      <w:r>
        <w:br/>
      </w:r>
      <w:r>
        <w:rPr>
          <w:b/>
        </w:rPr>
        <w:t>Lugar:</w:t>
      </w:r>
      <w:r>
        <w:t xml:space="preserve"> Majjhima Nikaya 65</w:t>
      </w:r>
      <w:r>
        <w:br/>
      </w:r>
      <w:r>
        <w:rPr>
          <w:b/>
        </w:rPr>
        <w:t>Tal como está en la fuente:</w:t>
      </w:r>
      <w:r>
        <w:t xml:space="preserve"> when sentient beings are in decline and the true teaching is disappearing there are more training rules</w:t>
      </w:r>
      <w:r>
        <w:t xml:space="preserve">. </w:t>
      </w:r>
      <w:r>
        <w:rPr>
          <w:b/>
        </w:rPr>
        <w:t>Cautela:</w:t>
      </w:r>
      <w:r>
        <w:t xml:space="preserve"> habla de las reglas de los monjes, no de las leyes civiles.</w:t>
      </w:r>
    </w:p>
    <w:p>
      <w:pPr>
        <w:pStyle w:val="ListBullet2"/>
      </w:pPr>
      <w:r>
        <w:t>Mientras los vajjis «no dicten decretos nuevos ni deroguen los existentes» y sigan sus antiguos principios, prosperarán</w:t>
      </w:r>
      <w:r>
        <w:t xml:space="preserve"> [original: «don't make new decrees or abolish existing decrees», en la traducción de Sujato]</w:t>
      </w:r>
      <w:r>
        <w:t xml:space="preserve"> (Digha Nikaya 16)</w:t>
      </w:r>
      <w:r>
        <w:t>.</w:t>
      </w:r>
    </w:p>
    <w:p>
      <w:pPr>
        <w:pStyle w:val="ListBullet2"/>
      </w:pPr>
      <w:r>
        <w:t xml:space="preserve">Al principio no había rey ni castigo (Mahabharata 12.59.14), en </w:t>
      </w:r>
      <w:r>
        <w:t>3.2</w:t>
      </w:r>
      <w:r>
        <w:t>.</w:t>
      </w:r>
    </w:p>
    <w:p>
      <w:pPr>
        <w:pStyle w:val="ListBullet"/>
      </w:pPr>
      <w:r>
        <w:rPr>
          <w:b/>
        </w:rPr>
        <w:t>La pata coja</w:t>
      </w:r>
      <w:r>
        <w:t xml:space="preserve"> (comprobada). </w:t>
      </w:r>
    </w:p>
    <w:p>
      <w:pPr>
        <w:pStyle w:val="ListBullet2"/>
      </w:pPr>
      <w:r>
        <w:t>El Arthashastra enseña a llenar el tesoro con falsos pretextos y con depósitos robados (</w:t>
      </w:r>
      <w:r>
        <w:t>3.2</w:t>
      </w:r>
      <w:r>
        <w:t>), pero el propio texto lo limita: son medidas «solo contra los sediciosos y los malvados», y hay que hacerlas «una sola vez y nunca dos»</w:t>
      </w:r>
      <w:r>
        <w:t xml:space="preserve"> [original: «only against the seditious and the wicked»; «only once and never twice», en la traducción de Shamasastry]</w:t>
      </w:r>
      <w:r>
        <w:t xml:space="preserve"> (Arthashastra 5.2)</w:t>
      </w:r>
      <w:r>
        <w:t>.</w:t>
      </w:r>
    </w:p>
    <w:p>
      <w:pPr>
        <w:pStyle w:val="ListBullet2"/>
      </w:pPr>
      <w:r>
        <w:t>Contra P7: «estas son las dieciocho clases de tortura»</w:t>
      </w:r>
      <w:r>
        <w:t xml:space="preserve"> [original: «These are the 18 kinds of torture», en la traducción de Shamasastry]</w:t>
      </w:r>
      <w:r>
        <w:t xml:space="preserve"> (Arthashastra 4.8)</w:t>
      </w:r>
      <w:r>
        <w:br/>
      </w:r>
      <w:r>
        <w:rPr>
          <w:b/>
        </w:rPr>
        <w:t>leída en su fuente · Arthashastra 4.8</w:t>
      </w:r>
      <w:r>
        <w:br/>
      </w:r>
      <w:r>
        <w:rPr>
          <w:b/>
        </w:rPr>
        <w:t>Archivo leído:</w:t>
      </w:r>
      <w:r>
        <w:t xml:space="preserve"> artha_IV.html (ant\india\artha_IV.html) · contraste del archivo de pasajes: ✔</w:t>
      </w:r>
      <w:r>
        <w:br/>
      </w:r>
      <w:r>
        <w:rPr>
          <w:b/>
        </w:rPr>
        <w:t>Lugar:</w:t>
      </w:r>
      <w:r>
        <w:t xml:space="preserve"> Arthashastra 4.8</w:t>
      </w:r>
      <w:r>
        <w:br/>
      </w:r>
      <w:r>
        <w:rPr>
          <w:b/>
        </w:rPr>
        <w:t>Tal como está en la fuente:</w:t>
      </w:r>
      <w:r>
        <w:t xml:space="preserve"> These are the 18 kinds of torture</w:t>
      </w:r>
      <w:r>
        <w:t>; pero el mismo capítulo pide «pruebas concluyentes»</w:t>
      </w:r>
      <w:r>
        <w:t xml:space="preserve"> [original: «conclusive evidences»]</w:t>
      </w:r>
      <w:r>
        <w:t>, y quien acusa a un inocente sufre la pena del robo.</w:t>
      </w:r>
    </w:p>
    <w:p>
      <w:pPr>
        <w:pStyle w:val="ListBullet2"/>
      </w:pPr>
      <w:r>
        <w:t xml:space="preserve">Subir la carga poco a poco y dividir al pueblo (Mahabharata 12.89), en </w:t>
      </w:r>
      <w:r>
        <w:t>3.2</w:t>
      </w:r>
      <w:r>
        <w:t>. {completo} La imagen del ratón que muerde sin que se note es un añadido que la edición crítica deja fuera (12.89.5d*0212); la subida gradual y la división sí están en el texto.</w:t>
      </w:r>
    </w:p>
    <w:p>
      <w:pPr>
        <w:pStyle w:val="ListBullet2"/>
      </w:pPr>
      <w:r>
        <w:t xml:space="preserve">El rey, «una gran deidad» (Manu VII, 8), en </w:t>
      </w:r>
      <w:r>
        <w:t>3.2</w:t>
      </w:r>
      <w:r>
        <w:t xml:space="preserve">; la exención de los sabios de los Vedas (Manu VII, 133), en </w:t>
      </w:r>
      <w:r>
        <w:t>3.4</w:t>
      </w:r>
      <w:r>
        <w:t>; y el tesoro se llena «tomando de todos menos de los brahmanes»</w:t>
      </w:r>
      <w:r>
        <w:t xml:space="preserve"> [original: «taking wealth from all except Brahmanas», en la traducción de Ganguli]</w:t>
      </w:r>
      <w:r>
        <w:t xml:space="preserve"> (Mahabharata 12.72.21)</w:t>
      </w:r>
      <w:r>
        <w:br/>
      </w:r>
      <w:r>
        <w:rPr>
          <w:b/>
        </w:rPr>
        <w:t>leída en su fuente · Mahabharata 12.72.21</w:t>
      </w:r>
      <w:r>
        <w:br/>
      </w:r>
      <w:r>
        <w:rPr>
          <w:b/>
        </w:rPr>
        <w:t>Archivo leído:</w:t>
      </w:r>
      <w:r>
        <w:t xml:space="preserve"> mbh_15476.txt (ant\india\mbh_15476.txt) · contraste del archivo de pasajes: ✔</w:t>
      </w:r>
      <w:r>
        <w:br/>
      </w:r>
      <w:r>
        <w:rPr>
          <w:b/>
        </w:rPr>
        <w:t>Lugar:</w:t>
      </w:r>
      <w:r>
        <w:t xml:space="preserve"> Mahabharata 12.72.21</w:t>
      </w:r>
      <w:r>
        <w:br/>
      </w:r>
      <w:r>
        <w:rPr>
          <w:b/>
        </w:rPr>
        <w:t>Tal como está en la fuente:</w:t>
      </w:r>
      <w:r>
        <w:t xml:space="preserve"> taking wealth from all except Brahmanas</w:t>
      </w:r>
      <w:r>
        <w:t>.</w:t>
      </w:r>
    </w:p>
    <w:p>
      <w:r>
        <w:t>[archivo del Arca, bloque de la India, verificado por Claude el 5-oct, nivel A]</w:t>
      </w:r>
    </w:p>
    <w:p>
      <w:pPr>
        <w:pStyle w:val="Heading2"/>
      </w:pPr>
      <w:r>
        <w:t>F.6 África, América y Oceanía</w:t>
      </w:r>
    </w:p>
    <w:p>
      <w:pPr>
        <w:pBdr>
          <w:left w:val="single" w:sz="24" w:space="6" w:color="E2DED6"/>
        </w:pBdr>
        <w:shd w:val="clear" w:color="auto" w:fill="F1EEE8"/>
        <w:spacing w:before="80" w:after="160"/>
        <w:ind w:left="142" w:right="142"/>
      </w:pPr>
      <w:r>
        <w:rPr>
          <w:b/>
        </w:rPr>
        <w:t>La idea: hawaianos, basutos, yorubas, iroqueses, ashanti, mexicas, incas y etíopes contaban de sí mismos que el jefe debe sostener al pueblo, y también dejaron escrita su pata coja.</w:t>
      </w:r>
    </w:p>
    <w:p>
      <w:r>
        <w:rPr>
          <w:b/>
        </w:rPr>
        <w:t>Con cautela.</w:t>
      </w:r>
      <w:r>
        <w:t xml:space="preserve"> Casi ninguna de estas fuentes es un texto indígena «puro»: Malo, Garcilaso y Johnson son autores nativos o mestizos formados en el cristianismo; Sahagún, Cortés, Casalis y Rattray, observadores europeos; la Kebra Nagast reformula la Torá; y Garcilaso escribe para defender a los incas, e idealiza. Valen como constancia de lo que esas tradiciones contaban de sí mismas.</w:t>
      </w:r>
    </w:p>
    <w:p>
      <w:r>
        <w:t xml:space="preserve">Fuentes (archive.org; cada cita comprobada, y todas coinciden, salvo erratas del reconocimiento de texto): David Malo, </w:t>
      </w:r>
      <w:r>
        <w:rPr>
          <w:i/>
        </w:rPr>
        <w:t>Hawaiian Antiquities</w:t>
      </w:r>
      <w:r>
        <w:t xml:space="preserve"> (Antigüedades hawaianas), trad. de N. B. Emerson, Honolulu, 1903; Samuel Johnson, </w:t>
      </w:r>
      <w:r>
        <w:rPr>
          <w:i/>
        </w:rPr>
        <w:t>The History of the Yorubas</w:t>
      </w:r>
      <w:r>
        <w:t xml:space="preserve"> (Historia de los yorubas), 1921; A. C. Parker, </w:t>
      </w:r>
      <w:r>
        <w:rPr>
          <w:i/>
        </w:rPr>
        <w:t>The Constitution of the Five Nations</w:t>
      </w:r>
      <w:r>
        <w:t xml:space="preserve"> (La Constitución de las Cinco Naciones, la Gran Ley iroquesa), Albany, 1916; el Inca Garcilaso, </w:t>
      </w:r>
      <w:r>
        <w:rPr>
          <w:i/>
        </w:rPr>
        <w:t>Comentarios reales</w:t>
      </w:r>
      <w:r>
        <w:t xml:space="preserve">, ed. Urteaga, Lima, 1918; Sahagún, </w:t>
      </w:r>
      <w:r>
        <w:rPr>
          <w:i/>
        </w:rPr>
        <w:t>Historia general de las cosas de Nueva España</w:t>
      </w:r>
      <w:r>
        <w:t xml:space="preserve">, ed. Bustamante, México, 1829; Hernán Cortés, </w:t>
      </w:r>
      <w:r>
        <w:rPr>
          <w:i/>
        </w:rPr>
        <w:t>Cartas y relaciones</w:t>
      </w:r>
      <w:r>
        <w:t xml:space="preserve">, ed. Gayangos, París, 1866; la </w:t>
      </w:r>
      <w:r>
        <w:rPr>
          <w:i/>
        </w:rPr>
        <w:t>Kebra Nagast</w:t>
      </w:r>
      <w:r>
        <w:t xml:space="preserve">, trad. de Budge, 1922; R. S. Rattray, </w:t>
      </w:r>
      <w:r>
        <w:rPr>
          <w:i/>
        </w:rPr>
        <w:t>Ashanti Law and Constitution</w:t>
      </w:r>
      <w:r>
        <w:t xml:space="preserve"> (Derecho y constitución ashanti), 1929; E. Casalis, </w:t>
      </w:r>
      <w:r>
        <w:rPr>
          <w:i/>
        </w:rPr>
        <w:t>The Basutos</w:t>
      </w:r>
      <w:r>
        <w:t xml:space="preserve"> (Los basutos), 1861. Las traducciones de los textos ingleses son de esta edición, con el inglés al lado. Nivel A.</w:t>
      </w:r>
    </w:p>
    <w:p>
      <w:pPr>
        <w:pStyle w:val="ListBullet"/>
      </w:pPr>
      <w:r>
        <w:rPr>
          <w:b/>
        </w:rPr>
        <w:t>P1. El gobernante existe para el pueblo.</w:t>
      </w:r>
      <w:r>
        <w:t xml:space="preserve"> </w:t>
      </w:r>
    </w:p>
    <w:p>
      <w:pPr>
        <w:pStyle w:val="ListBullet2"/>
      </w:pPr>
      <w:r>
        <w:rPr>
          <w:b/>
        </w:rPr>
        <w:t>Hawái:</w:t>
      </w:r>
      <w:r>
        <w:t xml:space="preserve"> el rey era el ejecutivo supremo, «pero solo mientras obrase con rectitud»</w:t>
      </w:r>
      <w:r>
        <w:t xml:space="preserve"> [original: «so long, however, as he did right»]</w:t>
      </w:r>
      <w:r>
        <w:t xml:space="preserve"> (Malo, Antigüedades hawaianas XVIII, 3)</w:t>
      </w:r>
      <w:r>
        <w:br/>
      </w:r>
      <w:r>
        <w:rPr>
          <w:b/>
        </w:rPr>
        <w:t>leída en su fuente · Malo, Antigüedades hawaianas XVIII, 3</w:t>
      </w:r>
      <w:r>
        <w:br/>
      </w:r>
      <w:r>
        <w:rPr>
          <w:b/>
        </w:rPr>
        <w:t>Archivo leído:</w:t>
      </w:r>
      <w:r>
        <w:t xml:space="preserve"> hawaiianantiquit00malo.txt (ant\hawaiianantiquit00malo.txt) · contraste del archivo de pasajes: ✔</w:t>
      </w:r>
      <w:r>
        <w:br/>
      </w:r>
      <w:r>
        <w:rPr>
          <w:b/>
        </w:rPr>
        <w:t>Lugar:</w:t>
      </w:r>
      <w:r>
        <w:t xml:space="preserve"> Malo, Antigüedades hawaianas XVIII, 3</w:t>
      </w:r>
      <w:r>
        <w:br/>
      </w:r>
      <w:r>
        <w:rPr>
          <w:b/>
        </w:rPr>
        <w:t>Tal como está en la fuente:</w:t>
      </w:r>
      <w:r>
        <w:t xml:space="preserve"> so long, however, as he did right</w:t>
      </w:r>
      <w:r>
        <w:t>; y «antiguamente el pueblo hacía la guerra a los malos reyes»</w:t>
      </w:r>
      <w:r>
        <w:t xml:space="preserve"> [original: «The people made war against bad kings in old times»]</w:t>
      </w:r>
      <w:r>
        <w:t xml:space="preserve"> (Malo, Antigüedades hawaianas XVIII, 45)</w:t>
      </w:r>
      <w:r>
        <w:br/>
      </w:r>
      <w:r>
        <w:rPr>
          <w:b/>
        </w:rPr>
        <w:t>leída en su fuente · Malo, Antigüedades hawaianas XVIII, 45</w:t>
      </w:r>
      <w:r>
        <w:br/>
      </w:r>
      <w:r>
        <w:rPr>
          <w:b/>
        </w:rPr>
        <w:t>Archivo leído:</w:t>
      </w:r>
      <w:r>
        <w:t xml:space="preserve"> hawaiianantiquit00malo.txt (ant\hawaiianantiquit00malo.txt) · contraste del archivo de pasajes: ✔</w:t>
      </w:r>
      <w:r>
        <w:br/>
      </w:r>
      <w:r>
        <w:rPr>
          <w:b/>
        </w:rPr>
        <w:t>Lugar:</w:t>
      </w:r>
      <w:r>
        <w:t xml:space="preserve"> Malo, Antigüedades hawaianas XVIII, 45</w:t>
      </w:r>
      <w:r>
        <w:br/>
      </w:r>
      <w:r>
        <w:rPr>
          <w:b/>
        </w:rPr>
        <w:t>Tal como está en la fuente:</w:t>
      </w:r>
      <w:r>
        <w:t xml:space="preserve"> The people made war against bad kings in old times</w:t>
      </w:r>
      <w:r>
        <w:t xml:space="preserve">. El deber del rey con el pueblo llano (XXXVIII, 67), en </w:t>
      </w:r>
      <w:r>
        <w:t>3.2</w:t>
      </w:r>
      <w:r>
        <w:t>.</w:t>
      </w:r>
    </w:p>
    <w:p>
      <w:pPr>
        <w:pStyle w:val="ListBullet2"/>
      </w:pPr>
      <w:r>
        <w:rPr>
          <w:b/>
        </w:rPr>
        <w:t>Los basutos:</w:t>
      </w:r>
      <w:r>
        <w:t xml:space="preserve"> «los soberanos, en vez de ser sostenidos por la comunidad, son su principal sostén»</w:t>
      </w:r>
      <w:r>
        <w:t xml:space="preserve"> [original: «the sovereigns, instead of being supported by the community, are the chief supporters of it»]</w:t>
      </w:r>
      <w:r>
        <w:t xml:space="preserve"> (Casalis, Los basutos, p. 155)</w:t>
      </w:r>
      <w:r>
        <w:br/>
      </w:r>
      <w:r>
        <w:rPr>
          <w:b/>
        </w:rPr>
        <w:t>leída en su fuente · Casalis, Los basutos, p. 155</w:t>
      </w:r>
      <w:r>
        <w:br/>
      </w:r>
      <w:r>
        <w:rPr>
          <w:b/>
        </w:rPr>
        <w:t>Archivo leído:</w:t>
      </w:r>
      <w:r>
        <w:t xml:space="preserve"> casalis.pdf (ant\casalis.pdf) · contraste del archivo de pasajes: ✔</w:t>
      </w:r>
      <w:r>
        <w:br/>
      </w:r>
      <w:r>
        <w:rPr>
          <w:b/>
        </w:rPr>
        <w:t>Lugar:</w:t>
      </w:r>
      <w:r>
        <w:t xml:space="preserve"> Casalis, Los basutos, p. 155</w:t>
      </w:r>
      <w:r>
        <w:br/>
      </w:r>
      <w:r>
        <w:rPr>
          <w:b/>
        </w:rPr>
        <w:t>Tal como está en la fuente:</w:t>
      </w:r>
      <w:r>
        <w:t xml:space="preserve"> the sovereigns, instead of being supported by the community, are the chief supporters of it</w:t>
      </w:r>
      <w:r>
        <w:t>, y deben, con sus rebaños, «alimentar a los pobres»</w:t>
      </w:r>
      <w:r>
        <w:t xml:space="preserve"> [original: «feed the poor»]</w:t>
      </w:r>
      <w:r>
        <w:t xml:space="preserve"> (Casalis, Los basutos, p. 216)</w:t>
      </w:r>
      <w:r>
        <w:t>.</w:t>
      </w:r>
    </w:p>
    <w:p>
      <w:pPr>
        <w:pStyle w:val="ListBullet2"/>
      </w:pPr>
      <w:r>
        <w:rPr>
          <w:b/>
        </w:rPr>
        <w:t>Los yorubas de Oyó:</w:t>
      </w:r>
      <w:r>
        <w:t xml:space="preserve"> el poder del rey «debe ejercerse dentro del límite de la constitución no escrita»</w:t>
      </w:r>
      <w:r>
        <w:t xml:space="preserve"> [original: «must be exercised within the limit of the unwritten constitution»]</w:t>
      </w:r>
      <w:r>
        <w:t>, y si es tiránico, el Basorun, «como portavoz del pueblo», propone su rechazo</w:t>
      </w:r>
      <w:r>
        <w:t xml:space="preserve"> [original: «as the mouth-piece of the people»]</w:t>
      </w:r>
      <w:r>
        <w:t xml:space="preserve"> (Johnson, Historia de los yorubas, p. 70)</w:t>
      </w:r>
      <w:r>
        <w:t>.</w:t>
      </w:r>
    </w:p>
    <w:p>
      <w:pPr>
        <w:pStyle w:val="ListBullet2"/>
      </w:pPr>
      <w:r>
        <w:rPr>
          <w:b/>
        </w:rPr>
        <w:t>Los iroqueses:</w:t>
      </w:r>
      <w:r>
        <w:t xml:space="preserve"> «esta sarta de wampum da al pueblo el derecho de corregir a sus señores extraviados»</w:t>
      </w:r>
      <w:r>
        <w:t xml:space="preserve"> [original: «This string of wampum vests the people with the right to correct their erring Lords»]</w:t>
      </w:r>
      <w:r>
        <w:t xml:space="preserve"> (Gran Ley de la Paz, art. 59)</w:t>
      </w:r>
      <w:r>
        <w:br/>
      </w:r>
      <w:r>
        <w:rPr>
          <w:b/>
        </w:rPr>
        <w:t>leída en su fuente · Gran Ley de la Paz, art. 59</w:t>
      </w:r>
      <w:r>
        <w:br/>
      </w:r>
      <w:r>
        <w:rPr>
          <w:b/>
        </w:rPr>
        <w:t>Archivo leído:</w:t>
      </w:r>
      <w:r>
        <w:t xml:space="preserve"> constitutionoffi00park.txt (ant\constitutionoffi00park.txt) · contraste del archivo de pasajes: ✔</w:t>
      </w:r>
      <w:r>
        <w:br/>
      </w:r>
      <w:r>
        <w:rPr>
          <w:b/>
        </w:rPr>
        <w:t>Lugar:</w:t>
      </w:r>
      <w:r>
        <w:t xml:space="preserve"> Gran Ley de la Paz, art. 59</w:t>
      </w:r>
      <w:r>
        <w:br/>
      </w:r>
      <w:r>
        <w:rPr>
          <w:b/>
        </w:rPr>
        <w:t>Tal como está en la fuente:</w:t>
      </w:r>
      <w:r>
        <w:t xml:space="preserve"> This string of wampum vests the people with the right to correct their erring Lords</w:t>
      </w:r>
      <w:r>
        <w:t>. El señor que no mira por el pueblo pierde su título (art. 19), en 3.2. La fecha de la Gran Ley se discute y su texto escrito es reciente: la versión que se cita es de 1916 (</w:t>
      </w:r>
      <w:r>
        <w:t>3.2</w:t>
      </w:r>
      <w:r>
        <w:t>, P1).</w:t>
      </w:r>
    </w:p>
    <w:p>
      <w:pPr>
        <w:pStyle w:val="ListBullet2"/>
      </w:pPr>
      <w:r>
        <w:rPr>
          <w:b/>
        </w:rPr>
        <w:t>Los ashanti:</w:t>
      </w:r>
      <w:r>
        <w:t xml:space="preserve"> entre las amonestaciones al jefe entronizado está «no queremos codicia»</w:t>
      </w:r>
      <w:r>
        <w:t xml:space="preserve"> [original: «We do not wish greediness»]</w:t>
      </w:r>
      <w:r>
        <w:t>, y no aceptar el consejo de los suyos «era causa legítima de destronamiento»</w:t>
      </w:r>
      <w:r>
        <w:t xml:space="preserve"> [original: «was a legitimate cause for destoolment»]</w:t>
      </w:r>
      <w:r>
        <w:t xml:space="preserve"> (Rattray, Derecho y constitución ashanti, p. 82)</w:t>
      </w:r>
      <w:r>
        <w:br/>
      </w:r>
      <w:r>
        <w:rPr>
          <w:b/>
        </w:rPr>
        <w:t>leída en su fuente · Rattray, Derecho y constitución ashanti, p. 82</w:t>
      </w:r>
      <w:r>
        <w:br/>
      </w:r>
      <w:r>
        <w:rPr>
          <w:b/>
        </w:rPr>
        <w:t>Archivo leído:</w:t>
      </w:r>
      <w:r>
        <w:t xml:space="preserve"> ashantilawconsti0000ratt_g8d4.txt (ant\ashantilawconsti0000ratt_g8d4.txt) · contraste del archivo de pasajes: ✔</w:t>
      </w:r>
      <w:r>
        <w:br/>
      </w:r>
      <w:r>
        <w:rPr>
          <w:b/>
        </w:rPr>
        <w:t>Lugar:</w:t>
      </w:r>
      <w:r>
        <w:t xml:space="preserve"> p. 82 (l. 5512-5513)</w:t>
      </w:r>
      <w:r>
        <w:br/>
      </w:r>
      <w:r>
        <w:rPr>
          <w:b/>
        </w:rPr>
        <w:t>Tal como está en la fuente:</w:t>
      </w:r>
      <w:r>
        <w:t xml:space="preserve"> Failure to accept such guidance and advice was a legitimate cause for destoolment.</w:t>
      </w:r>
      <w:r>
        <w:br/>
      </w:r>
      <w:r>
        <w:rPr>
          <w:b/>
        </w:rPr>
        <w:t>Traducción guardada:</w:t>
      </w:r>
      <w:r>
        <w:t xml:space="preserve"> No aceptar ese consejo era causa legítima de destitución</w:t>
      </w:r>
      <w:r>
        <w:t>.</w:t>
      </w:r>
    </w:p>
    <w:p>
      <w:pPr>
        <w:pStyle w:val="ListBullet2"/>
      </w:pPr>
      <w:r>
        <w:rPr>
          <w:b/>
        </w:rPr>
        <w:t>Los mexicas:</w:t>
      </w:r>
      <w:r>
        <w:t xml:space="preserve"> el señor es nombrado «padre y madre de este reino», y ha de sustentar al pueblo «como á niños que están en la cuna»</w:t>
      </w:r>
      <w:r>
        <w:t xml:space="preserve"> (Sahagún, Historia general VI, cap. X)</w:t>
      </w:r>
      <w:r>
        <w:br/>
      </w:r>
      <w:r>
        <w:rPr>
          <w:b/>
        </w:rPr>
        <w:t>leída en su fuente · Sahagún, Historia general VI, cap. X</w:t>
      </w:r>
      <w:r>
        <w:br/>
      </w:r>
      <w:r>
        <w:rPr>
          <w:b/>
        </w:rPr>
        <w:t>Archivo leído:</w:t>
      </w:r>
      <w:r>
        <w:t xml:space="preserve"> historiagenerald02saha.txt (ant\historiagenerald02saha.txt) · contraste del archivo de pasajes: ✔</w:t>
      </w:r>
      <w:r>
        <w:br/>
      </w:r>
      <w:r>
        <w:rPr>
          <w:b/>
        </w:rPr>
        <w:t>Lugar:</w:t>
      </w:r>
      <w:r>
        <w:t xml:space="preserve"> Sahagún, Historia general VI, cap. X</w:t>
      </w:r>
      <w:r>
        <w:br/>
      </w:r>
      <w:r>
        <w:rPr>
          <w:b/>
        </w:rPr>
        <w:t>Tal como está en la fuente:</w:t>
      </w:r>
      <w:r>
        <w:t xml:space="preserve"> como á niños que están en la cuna</w:t>
      </w:r>
      <w:r>
        <w:t>.</w:t>
      </w:r>
    </w:p>
    <w:p>
      <w:pPr>
        <w:pStyle w:val="ListBullet2"/>
      </w:pPr>
      <w:r>
        <w:rPr>
          <w:b/>
        </w:rPr>
        <w:t>Cautela:</w:t>
      </w:r>
      <w:r>
        <w:t xml:space="preserve"> en Oyó y en la Gran Ley el remedio era violento (el veneno, la muerte a mazazos). La obra toma el principio, no esa salida (</w:t>
      </w:r>
      <w:r>
        <w:t>F.5</w:t>
      </w:r>
      <w:r>
        <w:t>).</w:t>
      </w:r>
    </w:p>
    <w:p>
      <w:pPr>
        <w:pStyle w:val="ListBullet"/>
      </w:pPr>
      <w:r>
        <w:rPr>
          <w:b/>
        </w:rPr>
        <w:t>P2. Impuestos moderados.</w:t>
      </w:r>
      <w:r>
        <w:t xml:space="preserve"> </w:t>
      </w:r>
    </w:p>
    <w:p>
      <w:pPr>
        <w:pStyle w:val="ListBullet2"/>
      </w:pPr>
      <w:r>
        <w:rPr>
          <w:b/>
        </w:rPr>
        <w:t>Los incas:</w:t>
      </w:r>
      <w:r>
        <w:t xml:space="preserve"> sus tributos «eran tan moderados» (</w:t>
      </w:r>
      <w:r>
        <w:t>3.2</w:t>
      </w:r>
      <w:r>
        <w:t>) que «parece que no recebían pechos ni tributos de sus vasallos, o los imponían para el provecho de los mismos vasallos», y se pagaban «solamente […] con su trabajo»</w:t>
      </w:r>
      <w:r>
        <w:t xml:space="preserve"> (Garcilaso, Comentarios reales V, cap. XV)</w:t>
      </w:r>
      <w:r>
        <w:t>; y «no era justo pedir a los vasallos lo que no tenían de cosecha»</w:t>
      </w:r>
      <w:r>
        <w:t xml:space="preserve"> (Garcilaso, Comentarios reales V, cap. VI)</w:t>
      </w:r>
      <w:r>
        <w:br/>
      </w:r>
      <w:r>
        <w:rPr>
          <w:b/>
        </w:rPr>
        <w:t>leída en su fuente · Garcilaso, Comentarios reales V, cap. VI</w:t>
      </w:r>
      <w:r>
        <w:br/>
      </w:r>
      <w:r>
        <w:rPr>
          <w:b/>
        </w:rPr>
        <w:t>Archivo leído:</w:t>
      </w:r>
      <w:r>
        <w:t xml:space="preserve"> loscomentariosre02vega.txt (ant\loscomentariosre02vega.txt) · contraste del archivo de pasajes: ✔</w:t>
      </w:r>
      <w:r>
        <w:br/>
      </w:r>
      <w:r>
        <w:rPr>
          <w:b/>
        </w:rPr>
        <w:t>Lugar:</w:t>
      </w:r>
      <w:r>
        <w:t xml:space="preserve"> Garcilaso, Comentarios reales V, cap. VI</w:t>
      </w:r>
      <w:r>
        <w:br/>
      </w:r>
      <w:r>
        <w:rPr>
          <w:b/>
        </w:rPr>
        <w:t>Tal como está en la fuente:</w:t>
      </w:r>
      <w:r>
        <w:t xml:space="preserve"> no era justo pedir a los vasallos lo que no tenían de cosecha</w:t>
      </w:r>
      <w:r>
        <w:t xml:space="preserve">. </w:t>
      </w:r>
      <w:r>
        <w:rPr>
          <w:b/>
        </w:rPr>
        <w:t>Cautela:</w:t>
      </w:r>
      <w:r>
        <w:t xml:space="preserve"> Garcilaso idealiza.</w:t>
      </w:r>
    </w:p>
    <w:p>
      <w:pPr>
        <w:pStyle w:val="ListBullet2"/>
      </w:pPr>
      <w:r>
        <w:rPr>
          <w:b/>
        </w:rPr>
        <w:t>Hawái:</w:t>
      </w:r>
      <w:r>
        <w:t xml:space="preserve"> el rey prudente acampa junto al camino y come la comida que trae, sin ordenar a los distritos que le den de comer</w:t>
      </w:r>
      <w:r>
        <w:t xml:space="preserve"> [original: «issue any orders to the districts for food»]</w:t>
      </w:r>
      <w:r>
        <w:t xml:space="preserve"> (Malo XXXVIII, 52)</w:t>
      </w:r>
      <w:r>
        <w:t>; y varios reyes perdieron la vida «por sus crueles exacciones sobre el pueblo llano»</w:t>
      </w:r>
      <w:r>
        <w:t xml:space="preserve"> [original: «on account of their cruel exactions on the commoners»]</w:t>
      </w:r>
      <w:r>
        <w:t xml:space="preserve"> (Malo XXXVIII, 68)</w:t>
      </w:r>
      <w:r>
        <w:br/>
      </w:r>
      <w:r>
        <w:rPr>
          <w:b/>
        </w:rPr>
        <w:t>leída en su fuente · Malo XXXVIII, 68</w:t>
      </w:r>
      <w:r>
        <w:br/>
      </w:r>
      <w:r>
        <w:rPr>
          <w:b/>
        </w:rPr>
        <w:t>Archivo leído:</w:t>
      </w:r>
      <w:r>
        <w:t xml:space="preserve"> hawaiianantiquit00malo.txt (ant\hawaiianantiquit00malo.txt) · contraste del archivo de pasajes: ✔</w:t>
      </w:r>
      <w:r>
        <w:br/>
      </w:r>
      <w:r>
        <w:rPr>
          <w:b/>
        </w:rPr>
        <w:t>Lugar:</w:t>
      </w:r>
      <w:r>
        <w:t xml:space="preserve"> Malo XXXVIII, 68</w:t>
      </w:r>
      <w:r>
        <w:br/>
      </w:r>
      <w:r>
        <w:rPr>
          <w:b/>
        </w:rPr>
        <w:t>Tal como está en la fuente:</w:t>
      </w:r>
      <w:r>
        <w:t xml:space="preserve"> on account of their cruel exactions on the commoners</w:t>
      </w:r>
      <w:r>
        <w:t>.</w:t>
      </w:r>
    </w:p>
    <w:p>
      <w:pPr>
        <w:pStyle w:val="ListBullet2"/>
      </w:pPr>
      <w:r>
        <w:t>«Mirad que no gastéis con profanidad los sudores y trabajos de vuestros vasallos» (Sahagún VI, cap. X), en 3.2.</w:t>
      </w:r>
    </w:p>
    <w:p>
      <w:pPr>
        <w:pStyle w:val="ListBullet"/>
      </w:pPr>
      <w:r>
        <w:rPr>
          <w:b/>
        </w:rPr>
        <w:t>P3. No quitar al pueblo su tiempo.</w:t>
      </w:r>
      <w:r>
        <w:t xml:space="preserve"> Las tres citas son de un mismo autor, Garcilaso (que en una copia a Blas Valera): es un punto débil. </w:t>
      </w:r>
    </w:p>
    <w:p>
      <w:pPr>
        <w:pStyle w:val="ListBullet2"/>
      </w:pPr>
      <w:r>
        <w:t>El oficial debía al Estado «dos meses, y cuando mucho tres, los cuales cumplidos no era obligado a trabajar más»</w:t>
      </w:r>
      <w:r>
        <w:t xml:space="preserve"> (Garcilaso V, cap. XV)</w:t>
      </w:r>
      <w:r>
        <w:br/>
      </w:r>
      <w:r>
        <w:rPr>
          <w:b/>
        </w:rPr>
        <w:t>leída en su fuente · Garcilaso V, cap. XV</w:t>
      </w:r>
      <w:r>
        <w:br/>
      </w:r>
      <w:r>
        <w:rPr>
          <w:b/>
        </w:rPr>
        <w:t>Archivo leído:</w:t>
      </w:r>
      <w:r>
        <w:t xml:space="preserve"> loscomentariosre02vega.txt (ant\loscomentariosre02vega.txt) · contraste del archivo de pasajes: ✔</w:t>
      </w:r>
      <w:r>
        <w:br/>
      </w:r>
      <w:r>
        <w:rPr>
          <w:b/>
        </w:rPr>
        <w:t>Lugar:</w:t>
      </w:r>
      <w:r>
        <w:t xml:space="preserve"> Garcilaso V, cap. XV</w:t>
      </w:r>
      <w:r>
        <w:br/>
      </w:r>
      <w:r>
        <w:rPr>
          <w:b/>
        </w:rPr>
        <w:t>Tal como está en la fuente:</w:t>
      </w:r>
      <w:r>
        <w:t xml:space="preserve"> dos meses, y cuando mucho tres, los cuales cumplidos no era obligado a trabajar más</w:t>
      </w:r>
      <w:r>
        <w:t>.</w:t>
      </w:r>
    </w:p>
    <w:p>
      <w:pPr>
        <w:pStyle w:val="ListBullet2"/>
      </w:pPr>
      <w:r>
        <w:t>Había jueces en cada pueblo para que el pobre no tuviera que salir a pleitear, porque «muchas veces monta más esto que lo que van a pedir»</w:t>
      </w:r>
      <w:r>
        <w:t xml:space="preserve"> (Garcilaso II, cap. XIII)</w:t>
      </w:r>
      <w:r>
        <w:br/>
      </w:r>
      <w:r>
        <w:rPr>
          <w:b/>
        </w:rPr>
        <w:t>leída en su fuente · Garcilaso II, cap. XIII</w:t>
      </w:r>
      <w:r>
        <w:br/>
      </w:r>
      <w:r>
        <w:rPr>
          <w:b/>
        </w:rPr>
        <w:t>Archivo leído:</w:t>
      </w:r>
      <w:r>
        <w:t xml:space="preserve"> garci2.txt (ant\garci2.txt) · contraste del archivo de pasajes: ✔</w:t>
      </w:r>
      <w:r>
        <w:br/>
      </w:r>
      <w:r>
        <w:rPr>
          <w:b/>
        </w:rPr>
        <w:t>Lugar:</w:t>
      </w:r>
      <w:r>
        <w:t xml:space="preserve"> Garcilaso II, cap. XIII</w:t>
      </w:r>
      <w:r>
        <w:br/>
      </w:r>
      <w:r>
        <w:rPr>
          <w:b/>
        </w:rPr>
        <w:t>Tal como está en la fuente:</w:t>
      </w:r>
      <w:r>
        <w:t xml:space="preserve"> muchas veces monta más esto que lo que van a pedir</w:t>
      </w:r>
      <w:r>
        <w:t>.</w:t>
      </w:r>
    </w:p>
    <w:p>
      <w:pPr>
        <w:pStyle w:val="ListBullet2"/>
      </w:pPr>
      <w:r>
        <w:t>La ley que mandaba trabajar «lo que le pertenecía y no más» (V, cap. XI), en 3.2.</w:t>
      </w:r>
    </w:p>
    <w:p>
      <w:pPr>
        <w:pStyle w:val="ListBullet"/>
      </w:pPr>
      <w:r>
        <w:rPr>
          <w:b/>
        </w:rPr>
        <w:t>P4. Pesas y medidas justas.</w:t>
      </w:r>
      <w:r>
        <w:t xml:space="preserve"> </w:t>
      </w:r>
    </w:p>
    <w:p>
      <w:pPr>
        <w:pStyle w:val="ListBullet2"/>
      </w:pPr>
      <w:r>
        <w:t>En el mercado de Tenochtitlan, además de los oficiales que quebraban las medidas falsas (</w:t>
      </w:r>
      <w:r>
        <w:t>3.2</w:t>
      </w:r>
      <w:r>
        <w:t>), «no se ha visto vender cosa alguna por peso»</w:t>
      </w:r>
      <w:r>
        <w:t xml:space="preserve"> (Hernán Cortés, Segunda carta, 1520)</w:t>
      </w:r>
      <w:r>
        <w:br/>
      </w:r>
      <w:r>
        <w:rPr>
          <w:b/>
        </w:rPr>
        <w:t>leída en su fuente · Hernán Cortés, Segunda carta, 1520</w:t>
      </w:r>
      <w:r>
        <w:br/>
      </w:r>
      <w:r>
        <w:rPr>
          <w:b/>
        </w:rPr>
        <w:t>Archivo leído:</w:t>
      </w:r>
      <w:r>
        <w:t xml:space="preserve"> cartasyrelacione00cort.txt (ant\cartasyrelacione00cort.txt) · contraste del archivo de pasajes: ✔</w:t>
      </w:r>
      <w:r>
        <w:br/>
      </w:r>
      <w:r>
        <w:rPr>
          <w:b/>
        </w:rPr>
        <w:t>Lugar:</w:t>
      </w:r>
      <w:r>
        <w:t xml:space="preserve"> Hernán Cortés, Segunda carta, 1520</w:t>
      </w:r>
      <w:r>
        <w:br/>
      </w:r>
      <w:r>
        <w:rPr>
          <w:b/>
        </w:rPr>
        <w:t>Tal como está en la fuente:</w:t>
      </w:r>
      <w:r>
        <w:t xml:space="preserve"> no se ha visto vender cosa alguna por peso</w:t>
      </w:r>
      <w:r>
        <w:t>.</w:t>
      </w:r>
    </w:p>
    <w:p>
      <w:pPr>
        <w:pStyle w:val="ListBullet2"/>
      </w:pPr>
      <w:r>
        <w:t>El señor cuidaba el mercado «por amor de la gente popular […] para que nadie los hiciese fraude»</w:t>
      </w:r>
      <w:r>
        <w:t xml:space="preserve"> (Sahagún VIII, cap. XXXVI)</w:t>
      </w:r>
      <w:r>
        <w:br/>
      </w:r>
      <w:r>
        <w:rPr>
          <w:b/>
        </w:rPr>
        <w:t>leída en su fuente · Sahagún VIII, cap. XXXVI</w:t>
      </w:r>
      <w:r>
        <w:br/>
      </w:r>
      <w:r>
        <w:rPr>
          <w:b/>
        </w:rPr>
        <w:t>Archivo leído:</w:t>
      </w:r>
      <w:r>
        <w:t xml:space="preserve"> historiagenerald02saha.txt (ant\historiagenerald02saha.txt) · contraste del archivo de pasajes: ✔</w:t>
      </w:r>
      <w:r>
        <w:br/>
      </w:r>
      <w:r>
        <w:rPr>
          <w:b/>
        </w:rPr>
        <w:t>Lugar:</w:t>
      </w:r>
      <w:r>
        <w:t xml:space="preserve"> Sahagún VIII, cap. XXXVI</w:t>
      </w:r>
      <w:r>
        <w:br/>
      </w:r>
      <w:r>
        <w:rPr>
          <w:b/>
        </w:rPr>
        <w:t>Tal como está en la fuente:</w:t>
      </w:r>
      <w:r>
        <w:t xml:space="preserve"> por amor de la gente popular […] para que nadie los hiciese fraude</w:t>
      </w:r>
      <w:r>
        <w:t>.</w:t>
      </w:r>
    </w:p>
    <w:p>
      <w:pPr>
        <w:pStyle w:val="ListBullet"/>
      </w:pPr>
      <w:r>
        <w:rPr>
          <w:b/>
        </w:rPr>
        <w:t>P5. Devolver lo confiado</w:t>
      </w:r>
      <w:r>
        <w:t xml:space="preserve"> (un punto débil). </w:t>
      </w:r>
    </w:p>
    <w:p>
      <w:pPr>
        <w:pStyle w:val="ListBullet2"/>
      </w:pPr>
      <w:r>
        <w:t>Si el animal del vecino entra entre tus bienes, «hazlo volver a él»</w:t>
      </w:r>
      <w:r>
        <w:t xml:space="preserve"> [original: «make it go back to him»]</w:t>
      </w:r>
      <w:r>
        <w:t>; y si no sabes de quién es, cuídalo hasta saberlo, y entonces devuélveselo</w:t>
      </w:r>
      <w:r>
        <w:t xml:space="preserve"> (Kebra Nagast, cap. 90)</w:t>
      </w:r>
      <w:r>
        <w:t>.</w:t>
      </w:r>
    </w:p>
    <w:p>
      <w:pPr>
        <w:pStyle w:val="ListBullet2"/>
      </w:pPr>
      <w:r>
        <w:t>El súbdito que guarda los rebaños del jefe debe «presentarlos a su verdadero dueño»</w:t>
      </w:r>
      <w:r>
        <w:t xml:space="preserve"> [original: «present the flocks to their real owners»]</w:t>
      </w:r>
      <w:r>
        <w:t xml:space="preserve"> cuando este quiera</w:t>
      </w:r>
      <w:r>
        <w:t xml:space="preserve"> (Casalis, p. 155)</w:t>
      </w:r>
      <w:r>
        <w:t>; y el robo se repara con restitución y multa, en algunas tribus «de cuatro a uno»</w:t>
      </w:r>
      <w:r>
        <w:t xml:space="preserve"> [original: «in the proportion of four to one»]</w:t>
      </w:r>
      <w:r>
        <w:t xml:space="preserve"> (Casalis, p. 228)</w:t>
      </w:r>
      <w:r>
        <w:t>.</w:t>
      </w:r>
    </w:p>
    <w:p>
      <w:pPr>
        <w:pStyle w:val="ListBullet"/>
      </w:pPr>
      <w:r>
        <w:rPr>
          <w:b/>
        </w:rPr>
        <w:t>P6. Contra la usura.</w:t>
      </w:r>
      <w:r>
        <w:t xml:space="preserve"> </w:t>
      </w:r>
    </w:p>
    <w:p>
      <w:pPr>
        <w:pStyle w:val="ListBullet2"/>
      </w:pPr>
      <w:r>
        <w:t>Tras dos años de hambre, Moctezuma rescató a los que habían sido vendidos y pagó a sus dueños el «doble del precio»</w:t>
      </w:r>
      <w:r>
        <w:t xml:space="preserve"> (Sahagún VIII, cap. XIV)</w:t>
      </w:r>
      <w:r>
        <w:t xml:space="preserve">. </w:t>
      </w:r>
      <w:r>
        <w:rPr>
          <w:b/>
        </w:rPr>
        <w:t>Cautela:</w:t>
      </w:r>
      <w:r>
        <w:t xml:space="preserve"> es rescate de personas, no remisión de deudas.</w:t>
      </w:r>
    </w:p>
    <w:p>
      <w:pPr>
        <w:pStyle w:val="ListBullet2"/>
      </w:pPr>
      <w:r>
        <w:t>La «ley de hermandad», la ayuda entre vecinos para sembrar y cosechar, «sin llevar paga ninguna»</w:t>
      </w:r>
      <w:r>
        <w:t xml:space="preserve"> (Garcilaso V, cap. XI)</w:t>
      </w:r>
      <w:r>
        <w:t>.</w:t>
      </w:r>
    </w:p>
    <w:p>
      <w:pPr>
        <w:pStyle w:val="ListBullet2"/>
      </w:pPr>
      <w:r>
        <w:t xml:space="preserve">La Kebra Nagast contra la usura, en </w:t>
      </w:r>
      <w:r>
        <w:t>3.3</w:t>
      </w:r>
      <w:r>
        <w:t>.</w:t>
      </w:r>
    </w:p>
    <w:p>
      <w:pPr>
        <w:pStyle w:val="ListBullet"/>
      </w:pPr>
      <w:r>
        <w:rPr>
          <w:b/>
        </w:rPr>
        <w:t>P7. Cada uno responde de lo suyo; examinar antes de castigar.</w:t>
      </w:r>
      <w:r>
        <w:t xml:space="preserve"> </w:t>
      </w:r>
    </w:p>
    <w:p>
      <w:pPr>
        <w:pStyle w:val="ListBullet2"/>
      </w:pPr>
      <w:r>
        <w:t>El juez inca debía resolver «en oyendo las partes, dentro de cinco días»</w:t>
      </w:r>
      <w:r>
        <w:t xml:space="preserve"> (Garcilaso II, cap. XIII)</w:t>
      </w:r>
      <w:r>
        <w:br/>
      </w:r>
      <w:r>
        <w:rPr>
          <w:b/>
        </w:rPr>
        <w:t>leída en su fuente · Garcilaso II, cap. XIII</w:t>
      </w:r>
      <w:r>
        <w:br/>
      </w:r>
      <w:r>
        <w:rPr>
          <w:b/>
        </w:rPr>
        <w:t>Archivo leído:</w:t>
      </w:r>
      <w:r>
        <w:t xml:space="preserve"> garci2.txt (ant\garci2.txt) · contraste del archivo de pasajes: ✔</w:t>
      </w:r>
      <w:r>
        <w:br/>
      </w:r>
      <w:r>
        <w:rPr>
          <w:b/>
        </w:rPr>
        <w:t>Lugar:</w:t>
      </w:r>
      <w:r>
        <w:t xml:space="preserve"> Garcilaso II, cap. XIII</w:t>
      </w:r>
      <w:r>
        <w:br/>
      </w:r>
      <w:r>
        <w:rPr>
          <w:b/>
        </w:rPr>
        <w:t>Tal como está en la fuente:</w:t>
      </w:r>
      <w:r>
        <w:t xml:space="preserve"> en oyendo las partes, dentro de cinco días</w:t>
      </w:r>
      <w:r>
        <w:t>; al heredero del culpable no le quitaban el señorío (</w:t>
      </w:r>
      <w:r>
        <w:t>3.2</w:t>
      </w:r>
      <w:r>
        <w:t>).</w:t>
      </w:r>
    </w:p>
    <w:p>
      <w:pPr>
        <w:pStyle w:val="ListBullet2"/>
      </w:pPr>
      <w:r>
        <w:t>Entre los basutos, el derecho del jefe sobre cada persona protege a los acusados «hasta que sus casos se hayan examinado conforme a derecho»</w:t>
      </w:r>
      <w:r>
        <w:t xml:space="preserve"> [original: «until their cases have been lawfully examined»]</w:t>
      </w:r>
      <w:r>
        <w:t xml:space="preserve"> (Casalis, p. 226)</w:t>
      </w:r>
      <w:r>
        <w:br/>
      </w:r>
      <w:r>
        <w:rPr>
          <w:b/>
        </w:rPr>
        <w:t>leída en su fuente · Casalis, p. 226</w:t>
      </w:r>
      <w:r>
        <w:br/>
      </w:r>
      <w:r>
        <w:rPr>
          <w:b/>
        </w:rPr>
        <w:t>Archivo leído:</w:t>
      </w:r>
      <w:r>
        <w:t xml:space="preserve"> casalis.pdf (ant\casalis.pdf) · contraste del archivo de pasajes: ✔</w:t>
      </w:r>
      <w:r>
        <w:br/>
      </w:r>
      <w:r>
        <w:rPr>
          <w:b/>
        </w:rPr>
        <w:t>Lugar:</w:t>
      </w:r>
      <w:r>
        <w:t xml:space="preserve"> Casalis, p. 226</w:t>
      </w:r>
      <w:r>
        <w:br/>
      </w:r>
      <w:r>
        <w:rPr>
          <w:b/>
        </w:rPr>
        <w:t>Tal como está en la fuente:</w:t>
      </w:r>
      <w:r>
        <w:t xml:space="preserve"> until their cases have been lawfully examined</w:t>
      </w:r>
      <w:r>
        <w:t>, y «las causas se discuten siempre en público»</w:t>
      </w:r>
      <w:r>
        <w:t xml:space="preserve"> [original: «Causes are always discussed in public»]</w:t>
      </w:r>
      <w:r>
        <w:t xml:space="preserve"> (Casalis, p. 230)</w:t>
      </w:r>
      <w:r>
        <w:br/>
      </w:r>
      <w:r>
        <w:rPr>
          <w:b/>
        </w:rPr>
        <w:t>leída en su fuente · Casalis, p. 230</w:t>
      </w:r>
      <w:r>
        <w:br/>
      </w:r>
      <w:r>
        <w:rPr>
          <w:b/>
        </w:rPr>
        <w:t>Archivo leído:</w:t>
      </w:r>
      <w:r>
        <w:t xml:space="preserve"> casalis.pdf (ant\casalis.pdf) · contraste del archivo de pasajes: ✔</w:t>
      </w:r>
      <w:r>
        <w:br/>
      </w:r>
      <w:r>
        <w:rPr>
          <w:b/>
        </w:rPr>
        <w:t>Lugar:</w:t>
      </w:r>
      <w:r>
        <w:t xml:space="preserve"> Casalis, p. 230</w:t>
      </w:r>
      <w:r>
        <w:br/>
      </w:r>
      <w:r>
        <w:rPr>
          <w:b/>
        </w:rPr>
        <w:t>Tal como está en la fuente:</w:t>
      </w:r>
      <w:r>
        <w:t xml:space="preserve"> Causes are always discussed in public</w:t>
      </w:r>
      <w:r>
        <w:t>.</w:t>
      </w:r>
    </w:p>
    <w:p>
      <w:pPr>
        <w:pStyle w:val="ListBullet2"/>
      </w:pPr>
      <w:r>
        <w:t>Los jueces mexicas pedían primero «la pintura en que estaban escritas ó pintadas las causas», y después los testigos</w:t>
      </w:r>
      <w:r>
        <w:t xml:space="preserve"> (Sahagún VIII, cap. XV)</w:t>
      </w:r>
      <w:r>
        <w:t>; y al señor se le aconsejaba: «antes debes quedar atrás en el castigo y ejecución del que no pasar adelante»</w:t>
      </w:r>
      <w:r>
        <w:t xml:space="preserve"> (Sahagún VI, cap. X)</w:t>
      </w:r>
      <w:r>
        <w:br/>
      </w:r>
      <w:r>
        <w:rPr>
          <w:b/>
        </w:rPr>
        <w:t>pasaje guardado · Sahagún VI, cap. X</w:t>
      </w:r>
      <w:r>
        <w:br/>
      </w:r>
      <w:r>
        <w:rPr>
          <w:b/>
        </w:rPr>
        <w:t>Archivo leído:</w:t>
      </w:r>
      <w:r>
        <w:t xml:space="preserve"> historiagenerald02saha.txt (ant\historiagenerald02saha.txt) · contraste del archivo de pasajes: ✔</w:t>
      </w:r>
      <w:r>
        <w:br/>
      </w:r>
      <w:r>
        <w:rPr>
          <w:b/>
        </w:rPr>
        <w:t>Lugar:</w:t>
      </w:r>
      <w:r>
        <w:t xml:space="preserve"> Sahagún VI, cap. X</w:t>
      </w:r>
      <w:r>
        <w:br/>
      </w:r>
      <w:r>
        <w:rPr>
          <w:b/>
        </w:rPr>
        <w:t>Tal como está en la fuente:</w:t>
      </w:r>
      <w:r>
        <w:t xml:space="preserve"> antes debes quedar atrás en el castigo y ejecución del que no pasar adelante</w:t>
      </w:r>
      <w:r>
        <w:t>.</w:t>
      </w:r>
    </w:p>
    <w:p>
      <w:pPr>
        <w:pStyle w:val="ListBullet"/>
      </w:pPr>
      <w:r>
        <w:rPr>
          <w:b/>
        </w:rPr>
        <w:t>P8. Contra el soborno; el castigo no es un negocio.</w:t>
      </w:r>
      <w:r>
        <w:t xml:space="preserve"> </w:t>
      </w:r>
    </w:p>
    <w:p>
      <w:pPr>
        <w:pStyle w:val="ListBullet2"/>
      </w:pPr>
      <w:r>
        <w:t>Los incas no dejaban arbitrar al juez, porque «era hacer venales los jueces»</w:t>
      </w:r>
      <w:r>
        <w:t xml:space="preserve"> (Garcilaso II, cap. XIII)</w:t>
      </w:r>
      <w:r>
        <w:br/>
      </w:r>
      <w:r>
        <w:rPr>
          <w:b/>
        </w:rPr>
        <w:t>pasaje guardado</w:t>
      </w:r>
      <w:r>
        <w:br/>
      </w:r>
      <w:r>
        <w:rPr>
          <w:b/>
        </w:rPr>
        <w:t>Archivo leído:</w:t>
      </w:r>
      <w:r>
        <w:t xml:space="preserve"> garci2.txt (ant\garci2.txt) · contraste del archivo de pasajes: ✔</w:t>
      </w:r>
      <w:r>
        <w:br/>
      </w:r>
      <w:r>
        <w:rPr>
          <w:b/>
        </w:rPr>
        <w:t>Lugar:</w:t>
      </w:r>
      <w:r>
        <w:t xml:space="preserve"> Garcilaso II, cap. XIII</w:t>
      </w:r>
      <w:r>
        <w:br/>
      </w:r>
      <w:r>
        <w:rPr>
          <w:b/>
        </w:rPr>
        <w:t>Tal como está en la fuente:</w:t>
      </w:r>
      <w:r>
        <w:t xml:space="preserve"> era hacer venales los jueces</w:t>
      </w:r>
      <w:r>
        <w:t xml:space="preserve">; la pena sin multa ni confiscación y los jueces que reciben dádivas, «tenidos por ladrones», en </w:t>
      </w:r>
      <w:r>
        <w:t>3.2</w:t>
      </w:r>
      <w:r>
        <w:t>.</w:t>
      </w:r>
    </w:p>
    <w:p>
      <w:pPr>
        <w:pStyle w:val="ListBullet2"/>
      </w:pPr>
      <w:r>
        <w:t>Los jueces mexicas «no recibian cohechos», y a los que alargaban los pleitos «por los cohechos» los encerraban en jaulas</w:t>
      </w:r>
      <w:r>
        <w:t xml:space="preserve"> (Sahagún VIII, caps. XIV y XV)</w:t>
      </w:r>
      <w:r>
        <w:t>.</w:t>
      </w:r>
    </w:p>
    <w:p>
      <w:pPr>
        <w:pStyle w:val="ListBullet2"/>
      </w:pPr>
      <w:r>
        <w:t>«Cuando te pongas a juzgar, no ames los regalos, es decir, los sobornos»</w:t>
      </w:r>
      <w:r>
        <w:t xml:space="preserve"> [original: «When thou undertakest to judge, love not gifts (i.e., bribes)»]</w:t>
      </w:r>
      <w:r>
        <w:t xml:space="preserve"> (Kebra Nagast, cap. 41)</w:t>
      </w:r>
      <w:r>
        <w:br/>
      </w:r>
      <w:r>
        <w:rPr>
          <w:b/>
        </w:rPr>
        <w:t>leída en su fuente · Kebra Nagast, cap. 41</w:t>
      </w:r>
      <w:r>
        <w:br/>
      </w:r>
      <w:r>
        <w:rPr>
          <w:b/>
        </w:rPr>
        <w:t>Archivo leído:</w:t>
      </w:r>
      <w:r>
        <w:t xml:space="preserve"> queenofshebahero00budgrich.txt (ant\queenofshebahero00budgrich.txt) · contraste del archivo de pasajes: ✔</w:t>
      </w:r>
      <w:r>
        <w:br/>
      </w:r>
      <w:r>
        <w:rPr>
          <w:b/>
        </w:rPr>
        <w:t>Lugar:</w:t>
      </w:r>
      <w:r>
        <w:t xml:space="preserve"> Kebra Nagast, cap. 41</w:t>
      </w:r>
      <w:r>
        <w:br/>
      </w:r>
      <w:r>
        <w:rPr>
          <w:b/>
        </w:rPr>
        <w:t>Tal como está en la fuente:</w:t>
      </w:r>
      <w:r>
        <w:t xml:space="preserve"> When thou undertakest to judge, love not gifts (i.e., bribes)</w:t>
      </w:r>
      <w:r>
        <w:t>.</w:t>
      </w:r>
    </w:p>
    <w:p>
      <w:pPr>
        <w:pStyle w:val="ListBullet"/>
      </w:pPr>
      <w:r>
        <w:rPr>
          <w:b/>
        </w:rPr>
        <w:t>P9. Más leyes, más pobreza.</w:t>
      </w:r>
      <w:r>
        <w:t xml:space="preserve"> No hay nada sólido; solo un apunte lateral: según Casalis, las leyes de los jefes son «en general, temporales», y por encima de ellas están «los usos y costumbres, que son las verdaderas leyes del país»</w:t>
      </w:r>
      <w:r>
        <w:t xml:space="preserve"> [original: «generally temporary»; «the use and wont, which constitute the real laws of the country»]</w:t>
      </w:r>
      <w:r>
        <w:t xml:space="preserve"> (Casalis, p. 228)</w:t>
      </w:r>
      <w:r>
        <w:br/>
      </w:r>
      <w:r>
        <w:rPr>
          <w:b/>
        </w:rPr>
        <w:t>leída en su fuente · Casalis, p. 228</w:t>
      </w:r>
      <w:r>
        <w:br/>
      </w:r>
      <w:r>
        <w:rPr>
          <w:b/>
        </w:rPr>
        <w:t>Archivo leído:</w:t>
      </w:r>
      <w:r>
        <w:t xml:space="preserve"> ashantilawconsti0000ratt_g8d4.txt (ant\ashantilawconsti0000ratt_g8d4.txt) · contraste del archivo de pasajes: ✔</w:t>
      </w:r>
      <w:r>
        <w:br/>
      </w:r>
      <w:r>
        <w:rPr>
          <w:b/>
        </w:rPr>
        <w:t>Lugar:</w:t>
      </w:r>
      <w:r>
        <w:t xml:space="preserve"> Casalis, p. 228</w:t>
      </w:r>
      <w:r>
        <w:br/>
      </w:r>
      <w:r>
        <w:rPr>
          <w:b/>
        </w:rPr>
        <w:t>Tal como está en la fuente:</w:t>
      </w:r>
      <w:r>
        <w:t xml:space="preserve"> generally temporary</w:t>
      </w:r>
      <w:r>
        <w:t>. Es el orden de la obra: la costumbre por encima de la ley escrita (</w:t>
      </w:r>
      <w:r>
        <w:t>1.1</w:t>
      </w:r>
      <w:r>
        <w:t xml:space="preserve">). El matiz de Malo, que sin leyes todo dependía del capricho del rey, en </w:t>
      </w:r>
      <w:r>
        <w:t>3.2</w:t>
      </w:r>
      <w:r>
        <w:t>.</w:t>
      </w:r>
    </w:p>
    <w:p>
      <w:pPr>
        <w:pStyle w:val="ListBullet"/>
      </w:pPr>
      <w:r>
        <w:rPr>
          <w:b/>
        </w:rPr>
        <w:t>La pata coja</w:t>
      </w:r>
      <w:r>
        <w:t xml:space="preserve"> (comprobada). </w:t>
      </w:r>
    </w:p>
    <w:p>
      <w:pPr>
        <w:pStyle w:val="ListBullet2"/>
      </w:pPr>
      <w:r>
        <w:rPr>
          <w:b/>
        </w:rPr>
        <w:t>Contra P1:</w:t>
      </w:r>
      <w:r>
        <w:t xml:space="preserve"> «solo una pequeña parte de los reyes y jefes gobernó con bondad; la gran mayoría se enseñoreó del pueblo»</w:t>
      </w:r>
      <w:r>
        <w:t xml:space="preserve"> [original: «Only a small portion of the kings and chiefs ruled with kindness; the large majority simply lorded it over the people»]</w:t>
      </w:r>
      <w:r>
        <w:t xml:space="preserve"> (Malo XVIII, 65)</w:t>
      </w:r>
      <w:r>
        <w:br/>
      </w:r>
      <w:r>
        <w:rPr>
          <w:b/>
        </w:rPr>
        <w:t>pasaje guardado · Malo XVIII, 65</w:t>
      </w:r>
      <w:r>
        <w:br/>
      </w:r>
      <w:r>
        <w:rPr>
          <w:b/>
        </w:rPr>
        <w:t>Archivo leído:</w:t>
      </w:r>
      <w:r>
        <w:t xml:space="preserve"> hawaiianantiquit00malo.txt (ant\hawaiianantiquit00malo.txt) · contraste del archivo de pasajes: parcial</w:t>
      </w:r>
      <w:r>
        <w:br/>
      </w:r>
      <w:r>
        <w:rPr>
          <w:b/>
        </w:rPr>
        <w:t>Lugar:</w:t>
      </w:r>
      <w:r>
        <w:t xml:space="preserve"> Malo XVIII, 65</w:t>
      </w:r>
      <w:r>
        <w:br/>
      </w:r>
      <w:r>
        <w:rPr>
          <w:b/>
        </w:rPr>
        <w:t>Tal como está en la fuente:</w:t>
      </w:r>
      <w:r>
        <w:t xml:space="preserve"> Only a small portion of the kings and chiefs ruled with kindness; the large majority simply lorded it over the people</w:t>
      </w:r>
      <w:r>
        <w:t xml:space="preserve">. La elección del señor mexica «por ordenación divina» y la resistencia de los jefes basutos a enriquecer a sus súbditos, en </w:t>
      </w:r>
      <w:r>
        <w:t>3.4</w:t>
      </w:r>
      <w:r>
        <w:t>.</w:t>
      </w:r>
    </w:p>
    <w:p>
      <w:pPr>
        <w:pStyle w:val="ListBullet2"/>
      </w:pPr>
      <w:r>
        <w:rPr>
          <w:b/>
        </w:rPr>
        <w:t>Contra P2 y P3:</w:t>
      </w:r>
      <w:r>
        <w:t xml:space="preserve"> lo que los jefes hawaianos sacaban del pueblo era en parte impuestos y en parte «fruto del robo y la extorsión»</w:t>
      </w:r>
      <w:r>
        <w:t xml:space="preserve"> [original: «the fruit of robbery and extortion»]</w:t>
      </w:r>
      <w:r>
        <w:t xml:space="preserve"> (Malo XVIII, 46)</w:t>
      </w:r>
      <w:r>
        <w:br/>
      </w:r>
      <w:r>
        <w:rPr>
          <w:b/>
        </w:rPr>
        <w:t>leída en su fuente · Malo XVIII, 46</w:t>
      </w:r>
      <w:r>
        <w:br/>
      </w:r>
      <w:r>
        <w:rPr>
          <w:b/>
        </w:rPr>
        <w:t>Archivo leído:</w:t>
      </w:r>
      <w:r>
        <w:t xml:space="preserve"> hawaiianantiquit00malo.txt (ant\hawaiianantiquit00malo.txt) · contraste del archivo de pasajes: ✔</w:t>
      </w:r>
      <w:r>
        <w:br/>
      </w:r>
      <w:r>
        <w:rPr>
          <w:b/>
        </w:rPr>
        <w:t>Lugar:</w:t>
      </w:r>
      <w:r>
        <w:t xml:space="preserve"> Malo XVIII, 46</w:t>
      </w:r>
      <w:r>
        <w:br/>
      </w:r>
      <w:r>
        <w:rPr>
          <w:b/>
        </w:rPr>
        <w:t>Tal como está en la fuente:</w:t>
      </w:r>
      <w:r>
        <w:t xml:space="preserve"> the fruit of robbery and extortion</w:t>
      </w:r>
      <w:r>
        <w:t>, y el pueblo vivía «siempre cargado con una exacción u otra»</w:t>
      </w:r>
      <w:r>
        <w:t xml:space="preserve"> [original: «constantly burdened with one exaction or another»]</w:t>
      </w:r>
      <w:r>
        <w:t xml:space="preserve"> (Malo XIX, 6)</w:t>
      </w:r>
      <w:r>
        <w:br/>
      </w:r>
      <w:r>
        <w:rPr>
          <w:b/>
        </w:rPr>
        <w:t>leída en su fuente · Malo XIX, 6</w:t>
      </w:r>
      <w:r>
        <w:br/>
      </w:r>
      <w:r>
        <w:rPr>
          <w:b/>
        </w:rPr>
        <w:t>Archivo leído:</w:t>
      </w:r>
      <w:r>
        <w:t xml:space="preserve"> hawaiianantiquit00malo.txt (ant\hawaiianantiquit00malo.txt) · contraste del archivo de pasajes: ✔</w:t>
      </w:r>
      <w:r>
        <w:br/>
      </w:r>
      <w:r>
        <w:rPr>
          <w:b/>
        </w:rPr>
        <w:t>Lugar:</w:t>
      </w:r>
      <w:r>
        <w:t xml:space="preserve"> Malo XIX, 6</w:t>
      </w:r>
      <w:r>
        <w:br/>
      </w:r>
      <w:r>
        <w:rPr>
          <w:b/>
        </w:rPr>
        <w:t>Tal como está en la fuente:</w:t>
      </w:r>
      <w:r>
        <w:t xml:space="preserve"> constantly burdened with one exaction or another</w:t>
      </w:r>
      <w:r>
        <w:t>. La «ley común» y la «ley casera» de los incas, en 3.2; y la misma ley mandaba comer «las puertas abiertas», para que los ministros de los jueces entraran a inspeccionar las casas</w:t>
      </w:r>
      <w:r>
        <w:t xml:space="preserve"> (Garcilaso V, cap. XI)</w:t>
      </w:r>
      <w:r>
        <w:t>.</w:t>
      </w:r>
    </w:p>
    <w:p>
      <w:pPr>
        <w:pStyle w:val="ListBullet2"/>
      </w:pPr>
      <w:r>
        <w:rPr>
          <w:b/>
        </w:rPr>
        <w:t>Contra P6:</w:t>
      </w:r>
      <w:r>
        <w:t xml:space="preserve"> el hijo empeñado por deudas entre los ashanti, en </w:t>
      </w:r>
      <w:r>
        <w:t>3.3</w:t>
      </w:r>
      <w:r>
        <w:t>; y entre los basutos, los jefes se quedan a veces con toda una herencia «a cambio de un préstamo de mucho menor valor»</w:t>
      </w:r>
      <w:r>
        <w:t xml:space="preserve"> [original: «in return for a loan of much less value»]</w:t>
      </w:r>
      <w:r>
        <w:t xml:space="preserve"> (Casalis, p. 231)</w:t>
      </w:r>
      <w:r>
        <w:br/>
      </w:r>
      <w:r>
        <w:rPr>
          <w:b/>
        </w:rPr>
        <w:t>leída en su fuente · Casalis, p. 231</w:t>
      </w:r>
      <w:r>
        <w:br/>
      </w:r>
      <w:r>
        <w:rPr>
          <w:b/>
        </w:rPr>
        <w:t>Archivo leído:</w:t>
      </w:r>
      <w:r>
        <w:t xml:space="preserve"> casalis.pdf (ant\casalis.pdf) · contraste del archivo de pasajes: ✔</w:t>
      </w:r>
      <w:r>
        <w:br/>
      </w:r>
      <w:r>
        <w:rPr>
          <w:b/>
        </w:rPr>
        <w:t>Lugar:</w:t>
      </w:r>
      <w:r>
        <w:t xml:space="preserve"> Casalis, p. 231</w:t>
      </w:r>
      <w:r>
        <w:br/>
      </w:r>
      <w:r>
        <w:rPr>
          <w:b/>
        </w:rPr>
        <w:t>Tal como está en la fuente:</w:t>
      </w:r>
      <w:r>
        <w:t xml:space="preserve"> in return for a loan of much less value</w:t>
      </w:r>
      <w:r>
        <w:t>.</w:t>
      </w:r>
    </w:p>
    <w:p>
      <w:pPr>
        <w:pStyle w:val="ListBullet2"/>
      </w:pPr>
      <w:r>
        <w:rPr>
          <w:b/>
        </w:rPr>
        <w:t>Contra P7:</w:t>
      </w:r>
      <w:r>
        <w:t xml:space="preserve"> por la culpa del mayordomo, echaban de la casa a sus hijos y parientes, y «la casa con toda la hacienda se aplicaba al señor»</w:t>
      </w:r>
      <w:r>
        <w:t xml:space="preserve"> (Sahagún VIII, cap. XIX)</w:t>
      </w:r>
      <w:r>
        <w:br/>
      </w:r>
      <w:r>
        <w:rPr>
          <w:b/>
        </w:rPr>
        <w:t>pasaje guardado · Sahagún VIII, cap. XIX</w:t>
      </w:r>
      <w:r>
        <w:br/>
      </w:r>
      <w:r>
        <w:rPr>
          <w:b/>
        </w:rPr>
        <w:t>Archivo leído:</w:t>
      </w:r>
      <w:r>
        <w:t xml:space="preserve"> historiagenerald02saha.txt (ant\historiagenerald02saha.txt) · contraste del archivo de pasajes: ✔</w:t>
      </w:r>
      <w:r>
        <w:br/>
      </w:r>
      <w:r>
        <w:rPr>
          <w:b/>
        </w:rPr>
        <w:t>Lugar:</w:t>
      </w:r>
      <w:r>
        <w:t xml:space="preserve"> Sahagún VIII, cap. XIX</w:t>
      </w:r>
      <w:r>
        <w:br/>
      </w:r>
      <w:r>
        <w:rPr>
          <w:b/>
        </w:rPr>
        <w:t>Tal como está en la fuente:</w:t>
      </w:r>
      <w:r>
        <w:t xml:space="preserve"> la casa con toda la hacienda se aplicaba al señor</w:t>
      </w:r>
      <w:r>
        <w:t>; y en la Kebra Nagast, «él, su mujer y sus hijos serán condenados»</w:t>
      </w:r>
      <w:r>
        <w:t xml:space="preserve"> [original: «he and his wife and his children shall be condemned»]</w:t>
      </w:r>
      <w:r>
        <w:t xml:space="preserve"> (Kebra Nagast, cap. 89)</w:t>
      </w:r>
      <w:r>
        <w:br/>
      </w:r>
      <w:r>
        <w:rPr>
          <w:b/>
        </w:rPr>
        <w:t>leída en su fuente · Kebra Nagast, cap. 89</w:t>
      </w:r>
      <w:r>
        <w:br/>
      </w:r>
      <w:r>
        <w:rPr>
          <w:b/>
        </w:rPr>
        <w:t>Archivo leído:</w:t>
      </w:r>
      <w:r>
        <w:t xml:space="preserve"> queenofshebahero00budgrich.txt (ant\queenofshebahero00budgrich.txt) · contraste del archivo de pasajes: ✔</w:t>
      </w:r>
      <w:r>
        <w:br/>
      </w:r>
      <w:r>
        <w:rPr>
          <w:b/>
        </w:rPr>
        <w:t>Lugar:</w:t>
      </w:r>
      <w:r>
        <w:t xml:space="preserve"> Kebra Nagast, cap. 89</w:t>
      </w:r>
      <w:r>
        <w:br/>
      </w:r>
      <w:r>
        <w:rPr>
          <w:b/>
        </w:rPr>
        <w:t>Tal como está en la fuente:</w:t>
      </w:r>
      <w:r>
        <w:t xml:space="preserve"> he and his wife and his children shall be condemned</w:t>
      </w:r>
      <w:r>
        <w:t>.</w:t>
      </w:r>
    </w:p>
    <w:p>
      <w:pPr>
        <w:pStyle w:val="ListBullet2"/>
      </w:pPr>
      <w:r>
        <w:rPr>
          <w:b/>
        </w:rPr>
        <w:t>Contra P8:</w:t>
      </w:r>
      <w:r>
        <w:t xml:space="preserve"> las multas ashanti como fuente de ingresos, en </w:t>
      </w:r>
      <w:r>
        <w:t>3.2</w:t>
      </w:r>
      <w:r>
        <w:t>; el precio por librarse de la pena de muerte (</w:t>
      </w:r>
      <w:r>
        <w:rPr>
          <w:i/>
        </w:rPr>
        <w:t>atitodie</w:t>
      </w:r>
      <w:r>
        <w:t>) era «la suma que el jefe quisiera exigir»</w:t>
      </w:r>
      <w:r>
        <w:t xml:space="preserve"> [original: «any sum which a Chief cared to demand»]</w:t>
      </w:r>
      <w:r>
        <w:t xml:space="preserve"> (Rattray, cap. XIV)</w:t>
      </w:r>
      <w:r>
        <w:br/>
      </w:r>
      <w:r>
        <w:rPr>
          <w:b/>
        </w:rPr>
        <w:t>leída en su fuente · Rattray, cap. XIV</w:t>
      </w:r>
      <w:r>
        <w:br/>
      </w:r>
      <w:r>
        <w:rPr>
          <w:b/>
        </w:rPr>
        <w:t>Archivo leído:</w:t>
      </w:r>
      <w:r>
        <w:t xml:space="preserve"> ashantilawconsti0000ratt_g8d4.txt (ant\ashantilawconsti0000ratt_g8d4.txt) · contraste del archivo de pasajes: ✔</w:t>
      </w:r>
      <w:r>
        <w:br/>
      </w:r>
      <w:r>
        <w:rPr>
          <w:b/>
        </w:rPr>
        <w:t>Lugar:</w:t>
      </w:r>
      <w:r>
        <w:t xml:space="preserve"> Rattray, cap. XIV</w:t>
      </w:r>
      <w:r>
        <w:br/>
      </w:r>
      <w:r>
        <w:rPr>
          <w:b/>
        </w:rPr>
        <w:t>Tal como está en la fuente:</w:t>
      </w:r>
      <w:r>
        <w:t xml:space="preserve"> any sum which a Chief cared to demand</w:t>
      </w:r>
      <w:r>
        <w:t>; y entre los basutos, la pena de muerte por homicidio se conmutaba, por lo general, «por la confiscación»</w:t>
      </w:r>
      <w:r>
        <w:t xml:space="preserve"> [original: «into confiscation»]</w:t>
      </w:r>
      <w:r>
        <w:t xml:space="preserve"> (Casalis, p. 228)</w:t>
      </w:r>
      <w:r>
        <w:t>.</w:t>
      </w:r>
    </w:p>
    <w:p>
      <w:r>
        <w:t>[archivo del Arca, bloque de África, América y Oceanía, verificado por Claude el 5-oct, nivel A]</w:t>
      </w:r>
    </w:p>
    <w:p>
      <w:pPr>
        <w:pStyle w:val="Heading2"/>
      </w:pPr>
      <w:r>
        <w:t>F.7 Los órdenes de costumbre</w:t>
      </w:r>
    </w:p>
    <w:p>
      <w:pPr>
        <w:pBdr>
          <w:left w:val="single" w:sz="24" w:space="6" w:color="E2DED6"/>
        </w:pBdr>
        <w:shd w:val="clear" w:color="auto" w:fill="F1EEE8"/>
        <w:spacing w:before="80" w:after="160"/>
        <w:ind w:left="142" w:right="142"/>
      </w:pPr>
      <w:r>
        <w:rPr>
          <w:b/>
        </w:rPr>
        <w:t>La idea: pueblos que se dieron su orden por su cuenta coinciden en la tierra en común, la compensación del daño y la decisión en consejo; el parecido no prueba un mismo origen, pero muestra que el orden no nació con la ley de los Estados modernos.</w:t>
      </w:r>
    </w:p>
    <w:p>
      <w:r>
        <w:rPr>
          <w:b/>
        </w:rPr>
        <w:t>La cautela, primero.</w:t>
      </w:r>
      <w:r>
        <w:t xml:space="preserve"> Cuando culturas separadas por océanos y por siglos llegan a formas de orden parecidas, la antropología no da por hecho un origen común: «cuando hallamos rasgos culturales análogos en pueblos lejanos, la presunción no es que haya una fuente histórica común, sino que han surgido de forma independiente»</w:t>
      </w:r>
      <w:r>
        <w:t xml:space="preserve"> [original: «when we find analogous single traits of culture among distant peoples, the presumption is not that there has been a common historical source, but that they have arisen independently»]</w:t>
      </w:r>
      <w:r>
        <w:t>, escribió Franz Boas en 1896. Y el mismo Boas pone el límite: «los mismos fenómenos pueden desarrollarse de muchísimas maneras»</w:t>
      </w:r>
      <w:r>
        <w:t xml:space="preserve"> [original: «the same phenomena may develop in a multitude of ways»]</w:t>
      </w:r>
      <w:r>
        <w:t xml:space="preserve"> (F. Boas, «The Limitations of the Comparative Method of Anthropology» (Los límites del método comparativo en antropología), Science, 1896, en Race, Language and Culture, 1940, pp. 271 y 273)</w:t>
      </w:r>
      <w:r>
        <w:br/>
      </w:r>
      <w:r>
        <w:rPr>
          <w:b/>
        </w:rPr>
        <w:t>leída en su fuente · F. Boas, «The Limitations of the Comparative Method of Anthropology» (Los límites del méto</w:t>
      </w:r>
      <w:r>
        <w:br/>
      </w:r>
      <w:r>
        <w:rPr>
          <w:b/>
        </w:rPr>
        <w:t>Archivo leído:</w:t>
      </w:r>
      <w:r>
        <w:t xml:space="preserve"> boas_1940_race_language_culture_djvu.txt (g\costumbre\boas_1940_race_language_culture_djvu.txt) · contraste del archivo de pasajes: ✔</w:t>
      </w:r>
      <w:r>
        <w:br/>
      </w:r>
      <w:r>
        <w:rPr>
          <w:b/>
        </w:rPr>
        <w:t>Lugar:</w:t>
      </w:r>
      <w:r>
        <w:t xml:space="preserve"> F. Boas, «The Limitations of the Comparative Method of Anthropology» (Los límites del método comparativo en antropología), Science, 1896, en Race, Language and Culture, 1940, pp. 271 y 273</w:t>
      </w:r>
      <w:r>
        <w:br/>
      </w:r>
      <w:r>
        <w:rPr>
          <w:b/>
        </w:rPr>
        <w:t>Tal como está en la fuente:</w:t>
      </w:r>
      <w:r>
        <w:t xml:space="preserve"> the same phenomena may develop in a multitude of ways</w:t>
      </w:r>
      <w:r>
        <w:t>, de modo que el parecido no prueba una misma causa. Con esa doble cautela se leen las tradiciones que siguen, cada una con su fuente.</w:t>
      </w:r>
    </w:p>
    <w:p>
      <w:r>
        <w:t>[07.00-2.1]</w:t>
      </w:r>
    </w:p>
    <w:p>
      <w:r>
        <w:rPr>
          <w:b/>
        </w:rPr>
        <w:t>Los inuit.</w:t>
      </w:r>
      <w:r>
        <w:t xml:space="preserve"> «Los ancianos describen los maligait, las leyes naturales, como las leyes más fundamentales arraigadas en la sociedad inuit»</w:t>
      </w:r>
      <w:r>
        <w:t xml:space="preserve"> [original: «Elders describe maligait (natural laws) as the most fundamental laws entrenched in Inuit society»]</w:t>
      </w:r>
      <w:r>
        <w:t>. El marco educativo del Gobierno de Nunavut los resume en cuatro: trabajar por el bien común, respetar a todos los seres vivos, mantener la armonía, y planificar y prepararse continuamente para un futuro mejor</w:t>
      </w:r>
      <w:r>
        <w:t xml:space="preserve"> (Departamento de Educación de Nunavut, Inuit Qaujimajatuqangit Education Framework for Nunavut Curriculum (Marco educativo del conocimiento tradicional inuit), 2007)</w:t>
      </w:r>
      <w:r>
        <w:t xml:space="preserve">. Los maligait, junto con los </w:t>
      </w:r>
      <w:r>
        <w:rPr>
          <w:i/>
        </w:rPr>
        <w:t>piqujait</w:t>
      </w:r>
      <w:r>
        <w:t xml:space="preserve"> y los </w:t>
      </w:r>
      <w:r>
        <w:rPr>
          <w:i/>
        </w:rPr>
        <w:t>tirigusuusiit</w:t>
      </w:r>
      <w:r>
        <w:t>, son lo que debía seguirse, hacerse o no hacerse; hoy se usan a menudo como equivalentes de «ley», aunque nacen de una perspectiva cultural distinta de la occidental</w:t>
      </w:r>
      <w:r>
        <w:t xml:space="preserve"> (J. Oosten y otros, Inuit Laws: Tirigusuusiit, Piqujait and Maligait (Leyes inuit), Nunavut Arctic College Media, 2017, ficha editorial)</w:t>
      </w:r>
      <w:r>
        <w:t>.</w:t>
      </w:r>
    </w:p>
    <w:p>
      <w:r>
        <w:t>[07.00-3.1]</w:t>
      </w:r>
    </w:p>
    <w:p>
      <w:r>
        <w:rPr>
          <w:b/>
        </w:rPr>
        <w:t>Los lakota, la Gran Ley haudenosaunee y el calpulli mexica.</w:t>
      </w:r>
      <w:r>
        <w:t xml:space="preserve"> Entre los lakota, pueblo de las llanuras de Norteamérica, la tierra era de todos: cuando un jefe vendió tierras sin consultar, el escritor lakota Luther Standing Bear dejó escrito que «la tierra no era suya, sino el coto de caza de todos los sioux»</w:t>
      </w:r>
      <w:r>
        <w:t xml:space="preserve"> [original: «The land was not his, but was the hunting ground of all the Sioux»]</w:t>
      </w:r>
      <w:r>
        <w:t xml:space="preserve"> (Luther Standing Bear, My People the Sioux (Mi pueblo, los sioux), 1928, p. 158)</w:t>
      </w:r>
      <w:r>
        <w:br/>
      </w:r>
      <w:r>
        <w:rPr>
          <w:b/>
        </w:rPr>
        <w:t>leída en su fuente · Luther Standing Bear, My People the Sioux (Mi pueblo, los sioux), 1928, p. 158</w:t>
      </w:r>
      <w:r>
        <w:br/>
      </w:r>
      <w:r>
        <w:rPr>
          <w:b/>
        </w:rPr>
        <w:t>Archivo leído:</w:t>
      </w:r>
      <w:r>
        <w:t xml:space="preserve"> standing_bear_1928_my_people_the_sioux_djvu.txt (g\costumbre\standing_bear_1928_my_people_the_sioux_djvu.txt) · contraste del archivo de pasajes: ✔</w:t>
      </w:r>
      <w:r>
        <w:br/>
      </w:r>
      <w:r>
        <w:rPr>
          <w:b/>
        </w:rPr>
        <w:t>Lugar:</w:t>
      </w:r>
      <w:r>
        <w:t xml:space="preserve"> Luther Standing Bear, My People the Sioux (Mi pueblo, los sioux), 1928, p. 158</w:t>
      </w:r>
      <w:r>
        <w:br/>
      </w:r>
      <w:r>
        <w:rPr>
          <w:b/>
        </w:rPr>
        <w:t>Tal como está en la fuente:</w:t>
      </w:r>
      <w:r>
        <w:t xml:space="preserve"> The land was not his, but was the hunting ground of all the Sioux</w:t>
      </w:r>
      <w:r>
        <w:t>; el mismo autor valoró después la propiedad de los lotes individuales, y así se dice</w:t>
      </w:r>
      <w:r>
        <w:t xml:space="preserve"> (ídem, pp. 216-217)</w:t>
      </w:r>
      <w:r>
        <w:t>. La Confederación Haudenosaunee (iroquesa), de los Bosques del Este, en el norte del actual estado de Nueva York</w:t>
      </w:r>
      <w:r>
        <w:t xml:space="preserve"> (P. G. Ramsden, «Haudenosaunee (Iroquois)», The Canadian Encyclopedia, 2006; fuente secundaria)</w:t>
      </w:r>
      <w:r>
        <w:t>, fijó en su Gran Ley de la Paz que los clanes son «los únicos dueños y poseedores del suelo del país», que les corresponde «como derecho de nacimiento»</w:t>
      </w:r>
      <w:r>
        <w:t xml:space="preserve"> [original: «the sole owners and holders of the soil of the country»; «and in them is it vested as a birthright»]</w:t>
      </w:r>
      <w:r>
        <w:t xml:space="preserve"> (Gran Ley de la Paz, art. 42, en Parker, 1916)</w:t>
      </w:r>
      <w:r>
        <w:br/>
      </w:r>
      <w:r>
        <w:rPr>
          <w:b/>
        </w:rPr>
        <w:t>leída en su fuente · Gran Ley de la Paz, art. 42, en Parker, 1916</w:t>
      </w:r>
      <w:r>
        <w:br/>
      </w:r>
      <w:r>
        <w:rPr>
          <w:b/>
        </w:rPr>
        <w:t>Archivo leído:</w:t>
      </w:r>
      <w:r>
        <w:t xml:space="preserve"> constitutionoffi00park.txt (ant\constitutionoffi00park.txt) · contraste del archivo de pasajes: ✔</w:t>
      </w:r>
      <w:r>
        <w:br/>
      </w:r>
      <w:r>
        <w:rPr>
          <w:b/>
        </w:rPr>
        <w:t>Lugar:</w:t>
      </w:r>
      <w:r>
        <w:t xml:space="preserve"> Gran Ley de la Paz, art. 42, en Parker, 1916</w:t>
      </w:r>
      <w:r>
        <w:br/>
      </w:r>
      <w:r>
        <w:rPr>
          <w:b/>
        </w:rPr>
        <w:t>Tal como está en la fuente:</w:t>
      </w:r>
      <w:r>
        <w:t xml:space="preserve"> the sole owners and holders of the soil of the country</w:t>
      </w:r>
      <w:r>
        <w:t>, y que las mujeres «serán dueñas de la tierra y del suelo»</w:t>
      </w:r>
      <w:r>
        <w:t xml:space="preserve"> [original: «They shall own the land and the soil»]</w:t>
      </w:r>
      <w:r>
        <w:t xml:space="preserve"> (Gran Ley de la Paz, art. 44)</w:t>
      </w:r>
      <w:r>
        <w:br/>
      </w:r>
      <w:r>
        <w:rPr>
          <w:b/>
        </w:rPr>
        <w:t>leída en su fuente · Gran Ley de la Paz, art. 44</w:t>
      </w:r>
      <w:r>
        <w:br/>
      </w:r>
      <w:r>
        <w:rPr>
          <w:b/>
        </w:rPr>
        <w:t>Archivo leído:</w:t>
      </w:r>
      <w:r>
        <w:t xml:space="preserve"> constitutionoffi00park.txt (ant\constitutionoffi00park.txt) · contraste del archivo de pasajes: ✔</w:t>
      </w:r>
      <w:r>
        <w:br/>
      </w:r>
      <w:r>
        <w:rPr>
          <w:b/>
        </w:rPr>
        <w:t>Lugar:</w:t>
      </w:r>
      <w:r>
        <w:t xml:space="preserve"> Gran Ley de la Paz, art. 44</w:t>
      </w:r>
      <w:r>
        <w:br/>
      </w:r>
      <w:r>
        <w:rPr>
          <w:b/>
        </w:rPr>
        <w:t>Tal como está en la fuente:</w:t>
      </w:r>
      <w:r>
        <w:t xml:space="preserve"> They shall own the land and the soil</w:t>
      </w:r>
      <w:r>
        <w:t>: una propiedad colectiva, no privada. La fecha de la Gran Ley se discute y su texto escrito es reciente: la versión que se cita es de 1916 (</w:t>
      </w:r>
      <w:r>
        <w:t>3.2</w:t>
      </w:r>
      <w:r>
        <w:t>, P1). Cada nación tiene su consejo, con jefes elegidos por las madres de clan, y la Confederación busca la decisión unánime</w:t>
      </w:r>
      <w:r>
        <w:t xml:space="preserve"> (Gran Ley de la Paz, art. 8; Confederación Haudenosaunee, «Who we are» (Quiénes somos))</w:t>
      </w:r>
      <w:r>
        <w:t>. En Mesoamérica, los mexicas organizaban su tejido social en calpulli: «barrio de gente conocida ó linaje antiguo», cuyas tierras «no son en particular de cada uno del barrio, sino en común del calpulli, y el que las posee no las puede enajenar»</w:t>
      </w:r>
      <w:r>
        <w:t xml:space="preserve"> (Alonso de Zorita, Breve y sumaria relación de los señores de la Nueva España, siglo XVI (ed. García Icazbalceta, 1891), pp. 93-94)</w:t>
      </w:r>
      <w:r>
        <w:br/>
      </w:r>
      <w:r>
        <w:rPr>
          <w:b/>
        </w:rPr>
        <w:t>leída en su fuente · Alonso de Zorita, Breve y sumaria relación de los señores de la Nueva España, siglo XVI (e</w:t>
      </w:r>
      <w:r>
        <w:br/>
      </w:r>
      <w:r>
        <w:rPr>
          <w:b/>
        </w:rPr>
        <w:t>Archivo leído:</w:t>
      </w:r>
      <w:r>
        <w:t xml:space="preserve"> pomar_zurita_1891_icazbalceta_djvu.txt (g\costumbre\pomar_zurita_1891_icazbalceta_djvu.txt) · contraste del archivo de pasajes: ✔</w:t>
      </w:r>
      <w:r>
        <w:br/>
      </w:r>
      <w:r>
        <w:rPr>
          <w:b/>
        </w:rPr>
        <w:t>Lugar:</w:t>
      </w:r>
      <w:r>
        <w:t xml:space="preserve"> Alonso de Zorita, Breve y sumaria relación de los señores de la Nueva España, siglo XVI (ed. García Icazbalceta, 1891), pp. 93-94</w:t>
      </w:r>
      <w:r>
        <w:br/>
      </w:r>
      <w:r>
        <w:rPr>
          <w:b/>
        </w:rPr>
        <w:t>Tal como está en la fuente:</w:t>
      </w:r>
      <w:r>
        <w:t xml:space="preserve"> no son en particular de cada uno del barrio, sino en común del calpulli, y el que las posee no las puede enajenar</w:t>
      </w:r>
      <w:r>
        <w:t>.</w:t>
      </w:r>
    </w:p>
    <w:p>
      <w:r>
        <w:t>[07.00-4.1; «as a birthright», leído hoy en Parker, art. 42 (g/costumbre): el fleco queda resuelto; la situación de los haudenosaunee, fuente secundaria (The Canadian Encyclopedia y la web de la Confederación)]</w:t>
      </w:r>
    </w:p>
    <w:p>
      <w:r>
        <w:rPr>
          <w:b/>
        </w:rPr>
        <w:t xml:space="preserve">El derecho </w:t>
      </w:r>
      <w:r>
        <w:rPr>
          <w:b/>
          <w:i/>
        </w:rPr>
        <w:t>brehon</w:t>
      </w:r>
      <w:r>
        <w:rPr>
          <w:b/>
        </w:rPr>
        <w:t xml:space="preserve"> (Irlanda).</w:t>
      </w:r>
      <w:r>
        <w:t xml:space="preserve"> El derecho irlandés antiguo trataba los delitos sobre todo como daños que se saldaban con compensaciones (fuente secundaria): la restitución, la </w:t>
      </w:r>
      <w:r>
        <w:rPr>
          <w:i/>
        </w:rPr>
        <w:t>éraic</w:t>
      </w:r>
      <w:r>
        <w:t xml:space="preserve"> por muerte o daño corporal, y otra multa según el precio de honor de la víctima (</w:t>
      </w:r>
      <w:r>
        <w:rPr>
          <w:i/>
        </w:rPr>
        <w:t>lóg n-enech</w:t>
      </w:r>
      <w:r>
        <w:t xml:space="preserve">, más tarde </w:t>
      </w:r>
      <w:r>
        <w:rPr>
          <w:i/>
        </w:rPr>
        <w:t>enechlann</w:t>
      </w:r>
      <w:r>
        <w:t>), que se graduaba por su rango</w:t>
      </w:r>
      <w:r>
        <w:t xml:space="preserve"> (S. Bryant, Liberty, Order and Law under Native Irish Rule (Libertad, orden y ley bajo el gobierno irlandés nativo), 1923, pp. 33-35; Electronic Dictionary of the Irish Language (Diccionario electrónico de la lengua irlandesa), s. v. éric, enech y eneclann; fuente secundaria)</w:t>
      </w:r>
      <w:r>
        <w:t>. La cárcel, al modo de hoy, no era la vía: la retención por el rey fue su sustituto arcaico</w:t>
      </w:r>
      <w:r>
        <w:t xml:space="preserve"> (Bryant, p. 284)</w:t>
      </w:r>
      <w:r>
        <w:t>.</w:t>
      </w:r>
    </w:p>
    <w:p>
      <w:r>
        <w:t>[07.00-5.1, sin la remisión a la figura «Geis y Brehon Law» de la Biblioteca, que la edición no tiene; el rango de la víctima, ya en 3, «Límite honesto de la prueba»]</w:t>
      </w:r>
    </w:p>
    <w:p>
      <w:r>
        <w:rPr>
          <w:b/>
        </w:rPr>
        <w:t xml:space="preserve">El </w:t>
      </w:r>
      <w:r>
        <w:rPr>
          <w:b/>
          <w:i/>
        </w:rPr>
        <w:t>xeer</w:t>
      </w:r>
      <w:r>
        <w:rPr>
          <w:b/>
        </w:rPr>
        <w:t xml:space="preserve"> somalí.</w:t>
      </w:r>
      <w:r>
        <w:t xml:space="preserve"> Es el derecho consuetudinario oral de los somalíes, y no hay uno solo: «cada grupo que paga </w:t>
      </w:r>
      <w:r>
        <w:rPr>
          <w:i/>
        </w:rPr>
        <w:t>mag</w:t>
      </w:r>
      <w:r>
        <w:t>, la compensación de sangre, tiene su propio cuerpo de derecho, plasmado en su código xeer»</w:t>
      </w:r>
      <w:r>
        <w:t xml:space="preserve"> [original: «every mag-paying group has its own body of law embodied in its xeer code»]</w:t>
      </w:r>
      <w:r>
        <w:t>. Los ancianos de los clanes son a la vez sus legisladores, sus ejecutores y sus jueces, y deciden teniendo en cuenta el delito, su pena prevista y el precedente</w:t>
      </w:r>
      <w:r>
        <w:t xml:space="preserve"> (J. Gundel, The predicament of the 'Oday' (El aprieto de los oday), 2006, pp. iv, 8 y 11)</w:t>
      </w:r>
      <w:r>
        <w:t>. Sigue en uso: en 2024 la UNESCO inscribió en la Lista Representativa del Patrimonio Cultural Inmaterial el Xeer Ciise, «las leyes consuetudinarias orales de las comunidades somalíes issa de Etiopía, Yibuti y Somalia»</w:t>
      </w:r>
      <w:r>
        <w:t xml:space="preserve"> [original: «the oral customary laws of the Somali-Issa communities in Ethiopia, Djibouti and Somalia»]</w:t>
      </w:r>
      <w:r>
        <w:t>, con tres componentes: una constitución política que reparte el poder y los procesos de decisión, un código penal centrado en la reconciliación y la compensación, y un código de conducta social</w:t>
      </w:r>
      <w:r>
        <w:t xml:space="preserve"> (UNESCO, Patrimonio Cultural Inmaterial, Xeer Ciise (RL 02087, 2024))</w:t>
      </w:r>
      <w:r>
        <w:t>. No es una costumbre aislada: «la sharía islámica está en gran parte integrada en el desarrollo del xeer»</w:t>
      </w:r>
      <w:r>
        <w:t xml:space="preserve"> [original: «Islamic Sharia is to a large extent integrated in the development of xeer»]</w:t>
      </w:r>
      <w:r>
        <w:t xml:space="preserve"> (Gundel, p. 8)</w:t>
      </w:r>
      <w:r>
        <w:br/>
      </w:r>
      <w:r>
        <w:rPr>
          <w:b/>
        </w:rPr>
        <w:t>leída en su fuente · Gundel, p. 8</w:t>
      </w:r>
      <w:r>
        <w:br/>
      </w:r>
      <w:r>
        <w:rPr>
          <w:b/>
        </w:rPr>
        <w:t>Archivo leído:</w:t>
      </w:r>
      <w:r>
        <w:t xml:space="preserve"> gundel_2006_role_traditional_structures.pdf (g\costumbre\gundel_2006_role_traditional_structures.pdf) · contraste del archivo de pasajes: ✔</w:t>
      </w:r>
      <w:r>
        <w:br/>
      </w:r>
      <w:r>
        <w:rPr>
          <w:b/>
        </w:rPr>
        <w:t>Lugar:</w:t>
      </w:r>
      <w:r>
        <w:t xml:space="preserve"> Gundel, p. 8</w:t>
      </w:r>
      <w:r>
        <w:br/>
      </w:r>
      <w:r>
        <w:rPr>
          <w:b/>
        </w:rPr>
        <w:t>Tal como está en la fuente:</w:t>
      </w:r>
      <w:r>
        <w:t xml:space="preserve"> Islamic Sharia is to a large extent integrated in the development of xeer</w:t>
      </w:r>
      <w:r>
        <w:t>.</w:t>
      </w:r>
    </w:p>
    <w:p>
      <w:r>
        <w:t>[07.00-6.1]</w:t>
      </w:r>
    </w:p>
    <w:p>
      <w:r>
        <w:rPr>
          <w:b/>
        </w:rPr>
        <w:t>Los Andes, los aborígenes australianos y Sudáfrica.</w:t>
      </w:r>
      <w:r>
        <w:t xml:space="preserve"> En los Andes, el ayni y la mita sostuvieron una economía sin moneda: los incas «ni supieron arrendar, ni comprar ni vender, porque no tuvieron moneda»</w:t>
      </w:r>
      <w:r>
        <w:t xml:space="preserve"> (Garcilaso, Comentarios reales VI, 8)</w:t>
      </w:r>
      <w:r>
        <w:br/>
      </w:r>
      <w:r>
        <w:rPr>
          <w:b/>
        </w:rPr>
        <w:t>leída en su fuente · Garcilaso, Comentarios reales VI, 8</w:t>
      </w:r>
      <w:r>
        <w:br/>
      </w:r>
      <w:r>
        <w:rPr>
          <w:b/>
        </w:rPr>
        <w:t>Archivo leído:</w:t>
      </w:r>
      <w:r>
        <w:t xml:space="preserve"> loscomentariosre02vega.txt (ant\loscomentariosre02vega.txt) · contraste del archivo de pasajes: ✔</w:t>
      </w:r>
      <w:r>
        <w:br/>
      </w:r>
      <w:r>
        <w:rPr>
          <w:b/>
        </w:rPr>
        <w:t>Lugar:</w:t>
      </w:r>
      <w:r>
        <w:t xml:space="preserve"> Garcilaso, Comentarios reales VI, 8</w:t>
      </w:r>
      <w:r>
        <w:br/>
      </w:r>
      <w:r>
        <w:rPr>
          <w:b/>
        </w:rPr>
        <w:t>Tal como está en la fuente:</w:t>
      </w:r>
      <w:r>
        <w:t xml:space="preserve"> ni supieron arrendar, ni comprar ni vender, porque no tuvieron moneda</w:t>
      </w:r>
      <w:r>
        <w:t>. Había ferias de trueque, que «ellos llaman Catu»</w:t>
      </w:r>
      <w:r>
        <w:t xml:space="preserve"> (Garcilaso, Comentarios reales VI, 35)</w:t>
      </w:r>
      <w:r>
        <w:t>, pero no producción para vender</w:t>
      </w:r>
      <w:r>
        <w:t xml:space="preserve"> (J. V. Murra, Reciprocity and Redistribution in Andean Civilizations (Reciprocidad y redistribución en las civilizaciones andinas), 2017, pp. 49-51)</w:t>
      </w:r>
      <w:r>
        <w:t>. El ayni es un servicio que se presta esperando una reciprocidad medida, entre iguales y vecinos; la mita, el trabajo «prestado» por turnos a la comunidad o al Estado</w:t>
      </w:r>
      <w:r>
        <w:t xml:space="preserve"> (Murra, pp. 74-75)</w:t>
      </w:r>
      <w:r>
        <w:t>.</w:t>
      </w:r>
    </w:p>
    <w:p>
      <w:r>
        <w:t>El derecho consuetudinario aborigen australiano es el de pueblos que ocupan el continente desde hace «al menos 40.000 años»</w:t>
      </w:r>
      <w:r>
        <w:t xml:space="preserve"> [original: «at least 40 000 years»]</w:t>
      </w:r>
      <w:r>
        <w:t xml:space="preserve"> (Comisión de Reforma Legal de Australia, Recognition of Aboriginal Customary Laws (El reconocimiento del derecho consuetudinario aborigen), ALRC 31, 1986, § 22)</w:t>
      </w:r>
      <w:r>
        <w:t>, y que hablaban unas 250 lenguas y más de 500 dialectos a la llegada de los europeos</w:t>
      </w:r>
      <w:r>
        <w:t xml:space="preserve"> (Oficina de Estadística de Australia, Australian Social Trends 1999)</w:t>
      </w:r>
      <w:r>
        <w:t>. Para ellos, «el Tiempo del Sueño es la Ley»</w:t>
      </w:r>
      <w:r>
        <w:t xml:space="preserve"> [original: «The Dreaming is the Law»]</w:t>
      </w:r>
      <w:r>
        <w:t xml:space="preserve"> (ALRC 31, § 103)</w:t>
      </w:r>
      <w:r>
        <w:br/>
      </w:r>
      <w:r>
        <w:rPr>
          <w:b/>
        </w:rPr>
        <w:t>leída en su fuente · ALRC 31, § 103</w:t>
      </w:r>
      <w:r>
        <w:br/>
      </w:r>
      <w:r>
        <w:rPr>
          <w:b/>
        </w:rPr>
        <w:t>Archivo leído:</w:t>
      </w:r>
      <w:r>
        <w:t xml:space="preserve"> alrc31_1986_recognition_aboriginal_customary_laws.pdf (g\costumbre\alrc31_1986_recognition_aboriginal_customary_laws.pdf) · contraste del archivo de pasajes: ✔</w:t>
      </w:r>
      <w:r>
        <w:br/>
      </w:r>
      <w:r>
        <w:rPr>
          <w:b/>
        </w:rPr>
        <w:t>Lugar:</w:t>
      </w:r>
      <w:r>
        <w:t xml:space="preserve"> ALRC 31, § 103</w:t>
      </w:r>
      <w:r>
        <w:br/>
      </w:r>
      <w:r>
        <w:rPr>
          <w:b/>
        </w:rPr>
        <w:t>Tal como está en la fuente:</w:t>
      </w:r>
      <w:r>
        <w:t xml:space="preserve"> The Dreaming is the Law</w:t>
      </w:r>
      <w:r>
        <w:t xml:space="preserve">. Sus </w:t>
      </w:r>
      <w:r>
        <w:rPr>
          <w:i/>
        </w:rPr>
        <w:t>songlines</w:t>
      </w:r>
      <w:r>
        <w:t xml:space="preserve"> son «mapas orales del paisaje»</w:t>
      </w:r>
      <w:r>
        <w:t xml:space="preserve"> [original: «oral maps of the landscape»]</w:t>
      </w:r>
      <w:r>
        <w:t xml:space="preserve"> (R. P. Norris y B. Y. Harney, «Songlines and Navigation in Wardaman and other Australian Aboriginal Cultures» (Las songlines y la navegación entre los wardaman y otras culturas aborígenes australianas), 2014)</w:t>
      </w:r>
      <w:r>
        <w:t xml:space="preserve"> que transmiten la navegación, los territorios de los clanes y la Ley, incluida la que regula la tierra y cómo tratarse unos a otros</w:t>
      </w:r>
      <w:r>
        <w:t xml:space="preserve"> (R. P. Norris, Dawes Review 5, 2016, p. 17; N. Higgins, «Songlines and Land Claims; Space and Place» (Songlines y reclamaciones de tierras; espacio y lugar), 2021, pp. 724-725)</w:t>
      </w:r>
      <w:r>
        <w:t>.</w:t>
      </w:r>
    </w:p>
    <w:p>
      <w:r>
        <w:t>Y en Sudáfrica, tras el apartheid, la Constitución de 1993 pidió «comprensión, no venganza; reparación, no represalia; ubuntu, no victimización»</w:t>
      </w:r>
      <w:r>
        <w:t xml:space="preserve"> [original: «a need for understanding but not for vengeance, a need for reparation but not for retaliation, a need for ubuntu but not for victimisation»]</w:t>
      </w:r>
      <w:r>
        <w:t xml:space="preserve"> (Constitución de la República de Sudáfrica (Ley 200 de 1993), epílogo)</w:t>
      </w:r>
      <w:r>
        <w:br/>
      </w:r>
      <w:r>
        <w:rPr>
          <w:b/>
        </w:rPr>
        <w:t>leída en su fuente · Constitución de la República de Sudáfrica (Ley 200 de 1993), epílogo</w:t>
      </w:r>
      <w:r>
        <w:br/>
      </w:r>
      <w:r>
        <w:rPr>
          <w:b/>
        </w:rPr>
        <w:t>Archivo leído:</w:t>
      </w:r>
      <w:r>
        <w:t xml:space="preserve"> 01.00-12.1_TRC_Report_Volume_1_1998.pdf (flecos\01.00-12.1_TRC_Report_Volume_1_1998.pdf) · contraste del archivo de pasajes: ✔</w:t>
      </w:r>
      <w:r>
        <w:br/>
      </w:r>
      <w:r>
        <w:rPr>
          <w:b/>
        </w:rPr>
        <w:t>Lugar:</w:t>
      </w:r>
      <w:r>
        <w:t xml:space="preserve"> Constitución de la República de Sudáfrica (Ley 200 de 1993), epílogo</w:t>
      </w:r>
      <w:r>
        <w:br/>
      </w:r>
      <w:r>
        <w:rPr>
          <w:b/>
        </w:rPr>
        <w:t>Tal como está en la fuente:</w:t>
      </w:r>
      <w:r>
        <w:t xml:space="preserve"> a need for understanding but not for vengeance, a need for reparation but not for retaliation, a need for ubuntu but not for victimisation</w:t>
      </w:r>
      <w:r>
        <w:t>, y la Ley 34 de 1995 creó la Comisión de la Verdad y la Reconciliación</w:t>
      </w:r>
      <w:r>
        <w:t xml:space="preserve"> (Ley 34 de 1995, de Promoción de la Unidad Nacional y la Reconciliación)</w:t>
      </w:r>
      <w:r>
        <w:t>.</w:t>
      </w:r>
    </w:p>
    <w:p>
      <w:r>
        <w:t>[07.00-7.1; 01.00-13.4, las songlines, leídas hoy en local (g/otros)]</w:t>
      </w:r>
    </w:p>
    <w:p>
      <w:r>
        <w:rPr>
          <w:b/>
        </w:rPr>
        <w:t>El Althing, el derecho azteca, el mir, el Vinaya y la Yassa.</w:t>
      </w:r>
      <w:r>
        <w:t xml:space="preserve"> El Althing de Islandia se estableció en Þingvellir en 930, y su ley se hizo sobre el modelo de la del Gulaþing noruego</w:t>
      </w:r>
      <w:r>
        <w:t xml:space="preserve"> (Ari Þorgilsson, Íslendingabók (Libro de los islandeses), caps. 2 y 3)</w:t>
      </w:r>
      <w:r>
        <w:t>. Tenía poderes legislativos y judiciales, y la ley la hacía un cuerpo selecto dentro de la asamblea, la lögrétta: decidían jefes y jueces, ante la asamblea de hombres libres. Fue suprimido en 1800 y restablecido en 1845, como órgano consultivo, en Reikiavik</w:t>
      </w:r>
      <w:r>
        <w:t xml:space="preserve"> (K. Gjerset, History of Iceland (Historia de Islandia), 1924, pp. 33-34, 346 y 377)</w:t>
      </w:r>
      <w:r>
        <w:t>.</w:t>
      </w:r>
    </w:p>
    <w:p>
      <w:r>
        <w:t>El derecho azteca tenía tribunales escalonados: jueces ordinarios para los pleitos menores, y apelaciones ante doce jueces superiores que «sentenciaban con parecer del Señor»</w:t>
      </w:r>
      <w:r>
        <w:t xml:space="preserve"> (Zorita, pp. 111-113)</w:t>
      </w:r>
      <w:r>
        <w:br/>
      </w:r>
      <w:r>
        <w:rPr>
          <w:b/>
        </w:rPr>
        <w:t>leída en su fuente · Zorita, pp. 111-113</w:t>
      </w:r>
      <w:r>
        <w:br/>
      </w:r>
      <w:r>
        <w:rPr>
          <w:b/>
        </w:rPr>
        <w:t>Archivo leído:</w:t>
      </w:r>
      <w:r>
        <w:t xml:space="preserve"> pomar_zurita_1891_icazbalceta_djvu.txt (g\costumbre\pomar_zurita_1891_icazbalceta_djvu.txt) · contraste del archivo de pasajes: ✔</w:t>
      </w:r>
      <w:r>
        <w:br/>
      </w:r>
      <w:r>
        <w:rPr>
          <w:b/>
        </w:rPr>
        <w:t>Lugar:</w:t>
      </w:r>
      <w:r>
        <w:t xml:space="preserve"> Zorita, pp. 111-113</w:t>
      </w:r>
      <w:r>
        <w:br/>
      </w:r>
      <w:r>
        <w:rPr>
          <w:b/>
        </w:rPr>
        <w:t>Tal como está en la fuente:</w:t>
      </w:r>
      <w:r>
        <w:t xml:space="preserve"> sentenciaban con parecer del Señor</w:t>
      </w:r>
      <w:r>
        <w:t>; un juez de barrio que, según Clavijero (siglo XVIII), «se elegía anualmente por los vecinos»; y el cihuacóatl, de cuyas sentencias no se podía apelar «ni aun al mismo rey»</w:t>
      </w:r>
      <w:r>
        <w:t xml:space="preserve"> (F. J. Clavijero, Historia antigua de México, lib. VII, pp. 358-359)</w:t>
      </w:r>
      <w:r>
        <w:t>. Se juzgaba según «las leyes del reino, como las expresaban las pinturas»</w:t>
      </w:r>
      <w:r>
        <w:t xml:space="preserve"> (ídem, p. 360)</w:t>
      </w:r>
      <w:r>
        <w:br/>
      </w:r>
      <w:r>
        <w:rPr>
          <w:b/>
        </w:rPr>
        <w:t>pasaje guardado · ídem, p. 360</w:t>
      </w:r>
      <w:r>
        <w:br/>
      </w:r>
      <w:r>
        <w:rPr>
          <w:b/>
        </w:rPr>
        <w:t>Archivo leído:</w:t>
      </w:r>
      <w:r>
        <w:t xml:space="preserve"> clavijero_1917_historia_antigua_vol01_djvu.txt (g\costumbre\clavijero_1917_historia_antigua_vol01_djvu.txt) · contraste del archivo de pasajes: ✔</w:t>
      </w:r>
      <w:r>
        <w:br/>
      </w:r>
      <w:r>
        <w:rPr>
          <w:b/>
        </w:rPr>
        <w:t>Lugar:</w:t>
      </w:r>
      <w:r>
        <w:t xml:space="preserve"> ídem, p. 360</w:t>
      </w:r>
      <w:r>
        <w:br/>
      </w:r>
      <w:r>
        <w:rPr>
          <w:b/>
        </w:rPr>
        <w:t>Tal como está en la fuente:</w:t>
      </w:r>
      <w:r>
        <w:t xml:space="preserve"> las leyes del reino, como las expresaban las pinturas</w:t>
      </w:r>
      <w:r>
        <w:t>. Nezahualcóyotl, señor de Tezcoco en el siglo XV, «estableció ochenta leyes»</w:t>
      </w:r>
      <w:r>
        <w:t xml:space="preserve"> (F. de Alva Ixtlilxóchitl, Historia de la nación chichimeca, cap. XXXVIII)</w:t>
      </w:r>
      <w:r>
        <w:t>.</w:t>
      </w:r>
    </w:p>
    <w:p>
      <w:r>
        <w:t>El mir u obshchina rusa se gobernaba por la asamblea de aldea (</w:t>
      </w:r>
      <w:r>
        <w:rPr>
          <w:i/>
        </w:rPr>
        <w:t>mirskoi skhod</w:t>
      </w:r>
      <w:r>
        <w:t>), con pastos comunes; es una institución de origen incierto, sobrevivió a la emancipación de 1861, y el Estado se sirvió de ella para cobrar impuestos</w:t>
      </w:r>
      <w:r>
        <w:t xml:space="preserve"> (A. Kimball, «The Russian Peasant Obshchina in the Political Culture of the Era of Great Reforms» (La obshchina campesina rusa en la cultura política de la era de las grandes reformas), Universidad de Oregón)</w:t>
      </w:r>
      <w:r>
        <w:t>. El Vinaya budista regulaba la convivencia monástica con un código propio y siete principios para resolver las cuestiones legales, entre ellos la decisión por mayoría</w:t>
      </w:r>
      <w:r>
        <w:t xml:space="preserve"> (Vinaya, Adhikaraṇasamatha, traducción de Bhikkhu Brahmali)</w:t>
      </w:r>
      <w:r>
        <w:t>, aunque remite a la ley del rey para medir el robo grave</w:t>
      </w:r>
      <w:r>
        <w:t xml:space="preserve"> (Vinaya, Pārājika 2)</w:t>
      </w:r>
      <w:r>
        <w:t>. Y la Yassa de Gengis Kan mandaba, según Juvaini, «considerar todas las confesiones como una sola y no distinguirlas entre sí»</w:t>
      </w:r>
      <w:r>
        <w:t xml:space="preserve"> [original: «to consider all sects as one and not to distinguish them from one another»]</w:t>
      </w:r>
      <w:r>
        <w:t>; se escribía en rollos que «se guardan en el tesoro de los príncipes principales»</w:t>
      </w:r>
      <w:r>
        <w:t xml:space="preserve"> [original: «are kept in the treasury of the chief princes»]</w:t>
      </w:r>
      <w:r>
        <w:t>, y cada kan que subía al trono ajustaba a ellos sus actos</w:t>
      </w:r>
      <w:r>
        <w:t xml:space="preserve"> (Juvaini, The History of the World-Conqueror (Historia del conquistador del mundo), trad. de J. A. Boyle, 1958, vol. I, cap. II, pp. 25-26)</w:t>
      </w:r>
      <w:r>
        <w:t>. Es la ley de un conquistador, y entra con esa cautela.</w:t>
      </w:r>
    </w:p>
    <w:p>
      <w:r>
        <w:t>[07.00-8.1; que el Althing sea «uno de los parlamentos más antiguos del mundo», fuera: sin fuente leída]</w:t>
      </w:r>
    </w:p>
    <w:p>
      <w:r>
        <w:rPr>
          <w:b/>
        </w:rPr>
        <w:t>El tikanga maorí.</w:t>
      </w:r>
      <w:r>
        <w:t xml:space="preserve"> El tikanga maorí de Nueva Zelanda tiene valores y reglas, pero mandan los valores: «son esos valores los que dan la guía principal de conducta»</w:t>
      </w:r>
      <w:r>
        <w:t xml:space="preserve"> [original: «it is these values which provide the primary guide to behaviour»]</w:t>
      </w:r>
      <w:r>
        <w:t xml:space="preserve"> (Comisión de Derecho de Nueva Zelanda, Māori Custom and Values in New Zealand Law (La costumbre y los valores maoríes en el derecho de Nueva Zelanda), 2001, § 75)</w:t>
      </w:r>
      <w:r>
        <w:br/>
      </w:r>
      <w:r>
        <w:rPr>
          <w:b/>
        </w:rPr>
        <w:t>leída en su fuente · Comisión de Derecho de Nueva Zelanda, Māori Custom and Values in New Zealand Law (La costu</w:t>
      </w:r>
      <w:r>
        <w:br/>
      </w:r>
      <w:r>
        <w:rPr>
          <w:b/>
        </w:rPr>
        <w:t>Archivo leído:</w:t>
      </w:r>
      <w:r>
        <w:t xml:space="preserve"> nzlc_sp9_2001_maori_custom_values.pdf (g\costumbre\nzlc_sp9_2001_maori_custom_values.pdf) · contraste del archivo de pasajes: ✔</w:t>
      </w:r>
      <w:r>
        <w:br/>
      </w:r>
      <w:r>
        <w:rPr>
          <w:b/>
        </w:rPr>
        <w:t>Lugar:</w:t>
      </w:r>
      <w:r>
        <w:t xml:space="preserve"> Comisión de Derecho de Nueva Zelanda, Māori Custom and Values in New Zealand Law (La costumbre y los valores maoríes en el derecho de Nueva Zelanda), 2001, § 75</w:t>
      </w:r>
      <w:r>
        <w:br/>
      </w:r>
      <w:r>
        <w:rPr>
          <w:b/>
        </w:rPr>
        <w:t>Tal como está en la fuente:</w:t>
      </w:r>
      <w:r>
        <w:t xml:space="preserve"> it is these values which provide the primary guide to behaviour</w:t>
      </w:r>
      <w:r>
        <w:t>. Entre ellos está el utu, que no es solo venganza: es reciprocidad (</w:t>
      </w:r>
      <w:r>
        <w:rPr>
          <w:i/>
        </w:rPr>
        <w:t>tau utuutu</w:t>
      </w:r>
      <w:r>
        <w:t>) y equilibrio, con instituciones como el muru, que trasladaba bienes a los agraviados por la falta de otro</w:t>
      </w:r>
      <w:r>
        <w:t xml:space="preserve"> (ídem, §§ 135 y 156)</w:t>
      </w:r>
      <w:r>
        <w:t xml:space="preserve">. En 2022, el Tribunal Supremo de Nueva Zelanda declaró por unanimidad que el tikanga ha sido y seguirá siendo reconocido en el desarrollo de su </w:t>
      </w:r>
      <w:r>
        <w:rPr>
          <w:i/>
        </w:rPr>
        <w:t>common law</w:t>
      </w:r>
      <w:r>
        <w:t xml:space="preserve"> (derecho común de origen judicial), y la mayoría aceptó que el tikanga «fue el primer derecho de Aotearoa/Nueva Zelanda»</w:t>
      </w:r>
      <w:r>
        <w:t xml:space="preserve"> [original: «was the first law of Aotearoa/New Zealand»]</w:t>
      </w:r>
      <w:r>
        <w:t xml:space="preserve"> (Ellis v R [2022] NZSC 114, §§ 19 y 22)</w:t>
      </w:r>
      <w:r>
        <w:br/>
      </w:r>
      <w:r>
        <w:rPr>
          <w:b/>
        </w:rPr>
        <w:t>leída en su fuente · Ellis v R NZSC 114, §§ 19 y 22</w:t>
      </w:r>
      <w:r>
        <w:br/>
      </w:r>
      <w:r>
        <w:rPr>
          <w:b/>
        </w:rPr>
        <w:t>Archivo leído:</w:t>
      </w:r>
      <w:r>
        <w:t xml:space="preserve"> nzsc_2022_114_ellis_v_r.pdf (g\costumbre\nzsc_2022_114_ellis_v_r.pdf) · contraste del archivo de pasajes: ✔</w:t>
      </w:r>
      <w:r>
        <w:br/>
      </w:r>
      <w:r>
        <w:rPr>
          <w:b/>
        </w:rPr>
        <w:t>Lugar:</w:t>
      </w:r>
      <w:r>
        <w:t xml:space="preserve"> Ellis v R [2022] NZSC 114, §§ 19 y 22</w:t>
      </w:r>
      <w:r>
        <w:br/>
      </w:r>
      <w:r>
        <w:rPr>
          <w:b/>
        </w:rPr>
        <w:t>Tal como está en la fuente:</w:t>
      </w:r>
      <w:r>
        <w:t xml:space="preserve"> was the first law of Aotearoa/New Zealand</w:t>
      </w:r>
      <w:r>
        <w:t>.</w:t>
      </w:r>
    </w:p>
    <w:p>
      <w:r>
        <w:t>[07.00-9.1]</w:t>
      </w:r>
    </w:p>
    <w:p>
      <w:r>
        <w:rPr>
          <w:b/>
        </w:rPr>
        <w:t>Conclusión, lo que arrojan los datos:</w:t>
      </w:r>
      <w:r>
        <w:t xml:space="preserve"> con la vara de la convergencia, que separa las patas independientes (</w:t>
      </w:r>
      <w:r>
        <w:t>1.4</w:t>
      </w:r>
      <w:r>
        <w:t xml:space="preserve"> y </w:t>
      </w:r>
      <w:r>
        <w:t>3.1</w:t>
      </w:r>
      <w:r>
        <w:t xml:space="preserve">) de las piezas de refuerzo, cuentan como patas los pueblos que se dieron su orden por su cuenta: inuit, lakota, haudenosaunee, mexicas, irlandeses, andinos, aborígenes australianos y maoríes. Coinciden, cada uno leído en su fuente, en la tierra en común, la compensación del daño y la decisión en consejo. Quedan como refuerzo, porque no son costumbre propia e independiente: el Althing, que tomó la ley noruega; el </w:t>
      </w:r>
      <w:r>
        <w:rPr>
          <w:i/>
        </w:rPr>
        <w:t>xeer</w:t>
      </w:r>
      <w:r>
        <w:t>, que integra la sharía; el Vinaya, que es un código monástico; la Yassa, que es la ley de un conquistador; el mir, de origen incierto y del que el Estado se sirvió para cobrar; y el ubuntu, que llegó a la reconciliación por una constitución moderna. El parecido no prueba un mismo origen (Boas). Lo que sí muestran es que el orden no nació con la ley de los Estados modernos.</w:t>
      </w:r>
    </w:p>
    <w:p>
      <w:r>
        <w:t>[07.00-10.1; todas las fuentes del apartado, en 07.00-10.2; informe de procedencia del 5-oct, g/INFORME_COSTUMBRE.md, y el paso 2 bis, nivel A]</w:t>
      </w:r>
    </w:p>
    <w:p>
      <w:pPr>
        <w:pStyle w:val="Heading2"/>
      </w:pPr>
      <w:r>
        <w:t>F.8 Errar el blanco, en una tercera lengua</w:t>
      </w:r>
    </w:p>
    <w:p>
      <w:pPr>
        <w:pBdr>
          <w:left w:val="single" w:sz="24" w:space="6" w:color="E2DED6"/>
        </w:pBdr>
        <w:shd w:val="clear" w:color="auto" w:fill="F1EEE8"/>
        <w:spacing w:before="80" w:after="160"/>
        <w:ind w:left="142" w:right="142"/>
      </w:pPr>
      <w:r>
        <w:rPr>
          <w:b/>
        </w:rPr>
        <w:t>La idea: el sánscrito, como el griego y el hebreo, nombra la falta con la imagen del tiro que yerra el blanco.</w:t>
      </w:r>
    </w:p>
    <w:p>
      <w:r>
        <w:t>El griego y el hebreo de la Biblia nombran el pecado con una imagen de tiro (</w:t>
      </w:r>
      <w:r>
        <w:t>3.2</w:t>
      </w:r>
      <w:r>
        <w:t xml:space="preserve">). La tercera lengua es el sánscrito: el verbo </w:t>
      </w:r>
      <w:r>
        <w:rPr>
          <w:i/>
        </w:rPr>
        <w:t>apa-rādh</w:t>
      </w:r>
      <w:r>
        <w:t xml:space="preserve"> significa «errar el blanco», ya en el Atharvaveda, y también «agraviar, ofender» y «pecar»; y su sustantivo, </w:t>
      </w:r>
      <w:r>
        <w:rPr>
          <w:i/>
        </w:rPr>
        <w:t>aparādha</w:t>
      </w:r>
      <w:r>
        <w:t>, «ofensa, transgresión, falta; error»</w:t>
      </w:r>
      <w:r>
        <w:t xml:space="preserve"> [original: «apa-√ rādh […] to miss (one's aim, &amp;c.), AV. &amp;c.; to wrong, offend against […]; to offend, sin»; «apa-rādha, m. offence, transgression, fault; mistake»]</w:t>
      </w:r>
      <w:r>
        <w:t xml:space="preserve"> (Monier-Williams, A Sanskrit-English Dictionary (Diccionario sánscrito-inglés), Oxford, 1899, p. 51)</w:t>
      </w:r>
      <w:r>
        <w:br/>
      </w:r>
      <w:r>
        <w:rPr>
          <w:b/>
        </w:rPr>
        <w:t>pasaje guardado · Monier-Williams, A Sanskrit-English Dictionary (Diccionario sánscrito-inglés), Oxford, 189</w:t>
      </w:r>
      <w:r>
        <w:br/>
      </w:r>
      <w:r>
        <w:rPr>
          <w:b/>
        </w:rPr>
        <w:t>Archivo leído:</w:t>
      </w:r>
      <w:r>
        <w:t xml:space="preserve"> mw_monierwilliams_completo_csl-orig_Colonia.txt (g\otros\mw_monierwilliams_completo_csl-orig_Colonia.txt) · contraste del archivo de pasajes: parcial</w:t>
      </w:r>
      <w:r>
        <w:br/>
      </w:r>
      <w:r>
        <w:rPr>
          <w:b/>
        </w:rPr>
        <w:t>Lugar:</w:t>
      </w:r>
      <w:r>
        <w:t xml:space="preserve"> Monier-Williams, A Sanskrit-English Dictionary (Diccionario sánscrito-inglés), Oxford, 1899, p. 51</w:t>
      </w:r>
      <w:r>
        <w:br/>
      </w:r>
      <w:r>
        <w:rPr>
          <w:b/>
        </w:rPr>
        <w:t>Tal como está en la fuente:</w:t>
      </w:r>
      <w:r>
        <w:t xml:space="preserve"> apa-√ rādh […] to miss (one's aim, &amp;c.), AV. &amp;c.; to wrong, offend against […]; to offend, sin</w:t>
      </w:r>
      <w:r>
        <w:t>.</w:t>
      </w:r>
    </w:p>
    <w:p>
      <w:r>
        <w:t>[07.00-18.5; leído hoy en local (g/otros, en el archivo del Diccionario Digital de Sánscrito de Colonia)]</w:t>
      </w:r>
    </w:p>
    <w:p>
      <w:r>
        <w:rPr>
          <w:b/>
        </w:rPr>
        <w:t>Conclusión, lo que arrojan los datos:</w:t>
      </w:r>
      <w:r>
        <w:t xml:space="preserve"> tres lenguas antiguas, el griego, el hebreo y el sánscrito, nombran la falta con la imagen del tiro que yerra: el error moral como una falta de dirección, que se puede corregir.</w:t>
      </w:r>
    </w:p>
    <w:p>
      <w:r>
        <w:rPr>
          <w:b/>
        </w:rPr>
        <w:t>Lectura del autor:</w:t>
      </w:r>
      <w:r>
        <w:t xml:space="preserve"> el Arca es el blanco (</w:t>
      </w:r>
      <w:r>
        <w:t>3.2</w:t>
      </w:r>
      <w:r>
        <w:t>); por eso la obra ofrece siempre una salida para rectificar antes de suponer mala fe (</w:t>
      </w:r>
      <w:r>
        <w:t>10.5</w:t>
      </w:r>
      <w:r>
        <w:t>).</w:t>
      </w:r>
    </w:p>
    <w:p>
      <w:r>
        <w:t>[07.00-18.6]</w:t>
      </w:r>
    </w:p>
    <w:p>
      <w:pPr>
        <w:pStyle w:val="Heading2"/>
      </w:pPr>
      <w:r>
        <w:t>F.9 Las reglas del juego de la vida, tradición por tradición</w:t>
      </w:r>
    </w:p>
    <w:p>
      <w:pPr>
        <w:pBdr>
          <w:left w:val="single" w:sz="24" w:space="6" w:color="E2DED6"/>
        </w:pBdr>
        <w:shd w:val="clear" w:color="auto" w:fill="F1EEE8"/>
        <w:spacing w:before="80" w:after="160"/>
        <w:ind w:left="142" w:right="142"/>
      </w:pPr>
      <w:r>
        <w:rPr>
          <w:b/>
        </w:rPr>
        <w:t xml:space="preserve">La idea: aquí están los pasajes de </w:t>
      </w:r>
      <w:r>
        <w:rPr>
          <w:b/>
        </w:rPr>
        <w:t>3.7</w:t>
      </w:r>
      <w:r>
        <w:rPr>
          <w:b/>
        </w:rPr>
        <w:t>, en sus doce tradiciones, cada uno con su fuente: qué se dio, qué se perdió y por dónde se vuelve; los del cribado, que el camino lo anda cada uno, el aviso antes de la consecuencia y quién la ejecuta; los del remate, que todo se ve y, en la mayoría, todo queda escrito; los del séptimo sello, tal como lo dice el texto; los del ungido; y dónde el texto dice algo distinto de lo que se esperaba.</w:t>
      </w:r>
    </w:p>
    <w:p>
      <w:r>
        <w:rPr>
          <w:b/>
        </w:rPr>
        <w:t>Cómo se leyó.</w:t>
      </w:r>
      <w:r>
        <w:t xml:space="preserve"> Un agente buscó los textos el 12-oct-2026 y la obra comprobó por programa que cada frase está tal cual en su archivo: 188 de 188. Para el cribado se leyeron después, el mismo día, tres lotes más con dos preguntas nuevas (si hay aviso antes de la consecuencia y quién la ejecuta), y se comprobaron igual: 456 de 456 frases. Para el remate se leyó, el mismo día, un lote más con otra pregunta (si todo se ve y si todo queda escrito), y se comprobó igual: 209 de 209 frases. Los del séptimo sello salieron de un encargo más, el 12-oct-2026, en la Reina-Valera Antigua, con el griego de la edición SBLGNT y el hebreo del códice de Leningrado, todo ya en local, y se comprobaron igual: 119 de 119 frases. Los del ungido salieron de dos lotes más del mismo encargo (D y E), el 12-oct-2026, y se comprobaron igual por programa. Lo que ya está en un capítulo no se repite: se nombra, con su remisión. La Biblia va en la Reina-Valera Antigua, el Corán en la traducción de Julio Cortés y el Popol Vuh en el castellano de Ximénez; las demás traducciones al español son de esta edición, con el texto del que se han hecho al lado (</w:t>
      </w:r>
      <w:r>
        <w:t>0.3</w:t>
      </w:r>
      <w:r>
        <w:t>). Todo es nivel A (original leído), salvo Génesis Rabbah 21, que va en una versión inglesa sin traductor nombrado: fuente secundaria. Los pasajes enteros, tradición por tradición, están en «Lo extenso».</w:t>
      </w:r>
    </w:p>
    <w:p>
      <w:r>
        <w:t>Fuentes: la Reina-Valera Antigua (eBible, edición de 1909); el Corán de Julio Cortés (Tanzil); Pirkei Avot en hebreo (Sefaria, Torat Emet) y Génesis Rabbah en la versión inglesa de Sefaria; el Vendidad en la traducción inglesa de Darmesteter y el Yasna en la de avesta.org; la Bhagavad Gita en sánscrito (GRETIL), cotejada con las traducciones inglesas de Telang y Arnold; el Dhammapada en la traducción inglesa de Max Müller; el Daodejing, las Analectas y Mencio en las de Legge, con el chino de Wikisource; las Instrucciones de Shuruppak en la del ETCSL (Oxford); Gilgamesh en la de Thompson; Ptahhotep en la de Gunn (1906) y Amenemope en la de Budge (1924); Hesíodo en la de Evelyn-White y Platón en la de Jowett; y el Popol Vuh en el castellano de Ximénez (edición de Scherzer, Viena, 1857). Para el cribado, además: el Protágoras en el griego de Burnet (Perseus); la Misná, Sanhedrín y Makkot, en hebreo (Sefaria); las Leyes de Manu en la traducción inglesa de Bühler; la Bṛhadāraṇyaka Upanishad en la de Max Müller; el Daodejing con el chino de Wang Bi (Wikisource); las Leyes y la República de Platón en la de Jowett; la Gran Ley de la Paz en la de Parker (1916); y la revista Lucifer de H. P. Blavatsky, tomo 1 (1887-1888), en Gutenberg. Para el remate, además: el Rig Veda y el Atharva Veda en la traducción inglesa de Griffith (OCR de archive.org); el Shujing en la de Legge; el Mihr Yasht en la de Darmesteter; el Papiro de Ani en la de Budge (1895, OCR); el Ganying Pian en la de Legge (1891, OCR), con la introducción del mismo Legge (Sacred Books of the East, 39, 1891); las Euménides de Esquilo en la de Smyth, con el griego (Perseus); la Edda poética en la de Bellows (1923, OCR); y Diógenes Laercio en la de Hicks (Perseus).</w:t>
      </w:r>
    </w:p>
    <w:p>
      <w:r>
        <w:rPr>
          <w:b/>
        </w:rPr>
        <w:t>Lo que dice de otro modo, tradición por tradición.</w:t>
      </w:r>
    </w:p>
    <w:p>
      <w:pPr>
        <w:pStyle w:val="ListBullet"/>
      </w:pPr>
      <w:r>
        <w:rPr>
          <w:b/>
        </w:rPr>
        <w:t>La Biblia:</w:t>
      </w:r>
      <w:r>
        <w:t xml:space="preserve"> Ezequiel 47:12, que se esperaba que nombrara el árbol de la vida, no lo nombra en la Reina-Valera: habla de árboles de comer junto al arroyo que sale del santuario, con hojas para medicina; el árbol de la vida con hojas para la sanidad de las naciones está en el Apocalipsis (Ap 22:2). Lc 17:21 dice </w:t>
      </w:r>
      <w:r>
        <w:rPr>
          <w:i/>
        </w:rPr>
        <w:t>entre vosotros</w:t>
      </w:r>
      <w:r>
        <w:t xml:space="preserve">, no </w:t>
      </w:r>
      <w:r>
        <w:rPr>
          <w:i/>
        </w:rPr>
        <w:t>dentro de vosotros</w:t>
      </w:r>
      <w:r>
        <w:t>. Y Ap 22:14 dice que se llega al árbol de la vida guardando sus mandamientos; las variantes del griego no se han mirado.</w:t>
      </w:r>
    </w:p>
    <w:p>
      <w:pPr>
        <w:pStyle w:val="ListBullet"/>
      </w:pPr>
      <w:r>
        <w:rPr>
          <w:b/>
        </w:rPr>
        <w:t>La tradición rabínica:</w:t>
      </w:r>
      <w:r>
        <w:t xml:space="preserve"> Génesis Rabbah 21 comenta la espada que guarda el camino del árbol de la vida, y los sabios la leen como la espada de la Torá, pero no dice que ese camino sea la Torá.</w:t>
      </w:r>
    </w:p>
    <w:p>
      <w:pPr>
        <w:pStyle w:val="ListBullet"/>
      </w:pPr>
      <w:r>
        <w:rPr>
          <w:b/>
        </w:rPr>
        <w:t>Persia:</w:t>
      </w:r>
      <w:r>
        <w:t xml:space="preserve"> el Vendidad 2 no habla de elegir: cuenta que Yima no quiso predicar la Religión. La elección está en el Yasna 30.</w:t>
      </w:r>
    </w:p>
    <w:p>
      <w:pPr>
        <w:pStyle w:val="ListBullet"/>
      </w:pPr>
      <w:r>
        <w:rPr>
          <w:b/>
        </w:rPr>
        <w:t>La India y el budismo:</w:t>
      </w:r>
      <w:r>
        <w:t xml:space="preserve"> la Bhagavad Gita, en sus versos 4.1 a 4.3, sin que se pidiera, dice que la enseñanza se perdió con el tiempo. Y el Dhammapada 276 dice, en la traducción de Müller, que los Budas </w:t>
      </w:r>
      <w:r>
        <w:rPr>
          <w:i/>
        </w:rPr>
        <w:t>are only preachers</w:t>
      </w:r>
      <w:r>
        <w:t xml:space="preserve"> (son solo predicadores), no que </w:t>
      </w:r>
      <w:r>
        <w:rPr>
          <w:i/>
        </w:rPr>
        <w:t>solo señalan el camino</w:t>
      </w:r>
      <w:r>
        <w:t>.</w:t>
      </w:r>
    </w:p>
    <w:p>
      <w:pPr>
        <w:pStyle w:val="ListBullet"/>
      </w:pPr>
      <w:r>
        <w:rPr>
          <w:b/>
        </w:rPr>
        <w:t>China:</w:t>
      </w:r>
      <w:r>
        <w:t xml:space="preserve"> el Daodejing 38 tiene cuatro peldaños tras la pérdida del Tao, no tres: tras la benevolencia viene la justicia, y después los ritos. Y la frase que se buscaba como Analectas 15.29 lleva el número 15.28 en la numeración de Legge.</w:t>
      </w:r>
    </w:p>
    <w:p>
      <w:pPr>
        <w:pStyle w:val="ListBullet"/>
      </w:pPr>
      <w:r>
        <w:rPr>
          <w:b/>
        </w:rPr>
        <w:t>Mesopotamia:</w:t>
      </w:r>
      <w:r>
        <w:t xml:space="preserve"> lo que Gilgamesh pierde es la planta de la vida, no unas instrucciones.</w:t>
      </w:r>
    </w:p>
    <w:p>
      <w:pPr>
        <w:pStyle w:val="ListBullet"/>
      </w:pPr>
      <w:r>
        <w:rPr>
          <w:b/>
        </w:rPr>
        <w:t>Egipto:</w:t>
      </w:r>
      <w:r>
        <w:t xml:space="preserve"> el traductor de Ptahhotep escribe </w:t>
      </w:r>
      <w:r>
        <w:rPr>
          <w:i/>
        </w:rPr>
        <w:t>Truth</w:t>
      </w:r>
      <w:r>
        <w:t xml:space="preserve"> (Verdad) y </w:t>
      </w:r>
      <w:r>
        <w:rPr>
          <w:i/>
        </w:rPr>
        <w:t>justice</w:t>
      </w:r>
      <w:r>
        <w:t xml:space="preserve"> (justicia) donde se esperaba Maat: la palabra no aparece en su traducción. De la Enseñanza para Merikare solo se leyó el resumen de Budge, y ni ella ni Amenemope hablan, en lo leído, de perder el camino.</w:t>
      </w:r>
    </w:p>
    <w:p>
      <w:pPr>
        <w:pStyle w:val="ListBullet"/>
      </w:pPr>
      <w:r>
        <w:rPr>
          <w:b/>
        </w:rPr>
        <w:t>Grecia:</w:t>
      </w:r>
      <w:r>
        <w:t xml:space="preserve"> Jowett traduce </w:t>
      </w:r>
      <w:r>
        <w:rPr>
          <w:i/>
        </w:rPr>
        <w:t>aidós</w:t>
      </w:r>
      <w:r>
        <w:t xml:space="preserve"> por </w:t>
      </w:r>
      <w:r>
        <w:rPr>
          <w:i/>
        </w:rPr>
        <w:t>reverence</w:t>
      </w:r>
      <w:r>
        <w:t xml:space="preserve"> (reverencia), no por pudor, y su traducción no trae la numeración de Stephanus: por eso los pasajes de Platón se citan por su mito, salvo los del Protágoras que pide el cribado, que se leyeron también en el griego de Burnet, que sí la trae. Y donde Jowett dice que Zeus manda dar muerte a </w:t>
      </w:r>
      <w:r>
        <w:rPr>
          <w:i/>
        </w:rPr>
        <w:t>el que no tenga parte</w:t>
      </w:r>
      <w:r>
        <w:t xml:space="preserve"> en la reverencia y la justicia, el griego dice </w:t>
      </w:r>
      <w:r>
        <w:rPr>
          <w:i/>
        </w:rPr>
        <w:t>el que no pueda</w:t>
      </w:r>
      <w:r>
        <w:t xml:space="preserve"> participar (τὸν μὴ δυνάμενον). Y Hesíodo, sin que se pidiera, da la ley que Zeus dio a los hombres (Trabajos y días 276-280).</w:t>
      </w:r>
    </w:p>
    <w:p>
      <w:pPr>
        <w:pStyle w:val="ListBullet"/>
      </w:pPr>
      <w:r>
        <w:rPr>
          <w:b/>
        </w:rPr>
        <w:t>América:</w:t>
      </w:r>
      <w:r>
        <w:t xml:space="preserve"> el resumen de Spence (1908), que la obra tenía, no trae la imagen del espejo: está en el castellano de Ximénez, que se leyó para esto.</w:t>
      </w:r>
    </w:p>
    <w:p>
      <w:r>
        <w:rPr>
          <w:b/>
        </w:rPr>
        <w:t>Los pasajes, tradición por tradición.</w:t>
      </w:r>
    </w:p>
    <w:p>
      <w:r>
        <w:rPr>
          <w:b/>
        </w:rPr>
        <w:t>1. La Biblia hebrea</w:t>
      </w:r>
      <w:r>
        <w:t xml:space="preserve"> (Reina-Valera Antigua).</w:t>
      </w:r>
    </w:p>
    <w:p>
      <w:pPr>
        <w:pStyle w:val="ListBullet"/>
      </w:pPr>
      <w:r>
        <w:rPr>
          <w:b/>
        </w:rPr>
        <w:t>Lo que se dio.</w:t>
      </w:r>
      <w:r>
        <w:t xml:space="preserve"> «Porque este mandamiento que yo te intimo hoy, no te es encubierto, ni está lejos […] Porque muy cerca de ti está la palabra, en tu boca y en tu corazón, para que la cumplas»</w:t>
      </w:r>
      <w:r>
        <w:t xml:space="preserve"> (Dt 30:11-14)</w:t>
      </w:r>
      <w:r>
        <w:br/>
      </w:r>
      <w:r>
        <w:rPr>
          <w:b/>
        </w:rPr>
        <w:t>leída en su fuente · Dt 30:11-14</w:t>
      </w:r>
      <w:r>
        <w:br/>
      </w:r>
      <w:r>
        <w:rPr>
          <w:b/>
        </w:rPr>
        <w:t>Archivo leído:</w:t>
      </w:r>
      <w:r>
        <w:t xml:space="preserve"> spaRV1909_vpl.txt (biblia_rv1909\spaRV1909_vpl.txt) · contraste del archivo de pasajes: ✔</w:t>
      </w:r>
      <w:r>
        <w:br/>
      </w:r>
      <w:r>
        <w:rPr>
          <w:b/>
        </w:rPr>
        <w:t>Lugar:</w:t>
      </w:r>
      <w:r>
        <w:t xml:space="preserve"> Dt 30:14</w:t>
      </w:r>
      <w:r>
        <w:br/>
      </w:r>
      <w:r>
        <w:rPr>
          <w:b/>
        </w:rPr>
        <w:t>Dirección:</w:t>
      </w:r>
      <w:r>
        <w:t xml:space="preserve"> </w:t>
      </w:r>
      <w:r>
        <w:t>https://eBible.org/Scriptures/spaRV1909_vpl.zip</w:t>
      </w:r>
      <w:r>
        <w:br/>
      </w:r>
      <w:r>
        <w:rPr>
          <w:b/>
        </w:rPr>
        <w:t>Tal como está en la fuente:</w:t>
      </w:r>
      <w:r>
        <w:t xml:space="preserve"> Porque muy cerca de ti está la palabra, en tu boca y en tu corazón, para que la cumplas.</w:t>
      </w:r>
      <w:r>
        <w:t>. «Oh hombre, él te ha declarado qué sea lo bueno, y qué pida de ti Jehová: solamente hacer juicio, y amar misericordia, y humillarte para andar con tu Dios»</w:t>
      </w:r>
      <w:r>
        <w:t xml:space="preserve"> (Mi 6:8)</w:t>
      </w:r>
      <w:r>
        <w:br/>
      </w:r>
      <w:r>
        <w:rPr>
          <w:b/>
        </w:rPr>
        <w:t>leída en su fuente · Mi 6:8</w:t>
      </w:r>
      <w:r>
        <w:br/>
      </w:r>
      <w:r>
        <w:rPr>
          <w:b/>
        </w:rPr>
        <w:t>Archivo leído:</w:t>
      </w:r>
      <w:r>
        <w:t xml:space="preserve"> spaRV1909_vpl.txt (biblia_rv1909\spaRV1909_vpl.txt) · contraste del archivo de pasajes: ✔</w:t>
      </w:r>
      <w:r>
        <w:br/>
      </w:r>
      <w:r>
        <w:rPr>
          <w:b/>
        </w:rPr>
        <w:t>Lugar:</w:t>
      </w:r>
      <w:r>
        <w:t xml:space="preserve"> Mi 6:8</w:t>
      </w:r>
      <w:r>
        <w:br/>
      </w:r>
      <w:r>
        <w:rPr>
          <w:b/>
        </w:rPr>
        <w:t>Dirección:</w:t>
      </w:r>
      <w:r>
        <w:t xml:space="preserve"> </w:t>
      </w:r>
      <w:r>
        <w:t>https://eBible.org/Scriptures/spaRV1909_vpl.zip</w:t>
      </w:r>
      <w:r>
        <w:br/>
      </w:r>
      <w:r>
        <w:rPr>
          <w:b/>
        </w:rPr>
        <w:t>Tal como está en la fuente:</w:t>
      </w:r>
      <w:r>
        <w:t xml:space="preserve"> Oh hombre, él te ha declarado qué sea lo bueno, y qué pida de ti Jehová: solamente hacer juicio, y amar misericordia, y humillarte para andar con tu Dios.</w:t>
      </w:r>
      <w:r>
        <w:t>. «El fin de todo el discurso oído [es este]: Teme á Dios, y guarda sus mandamientos; porque esto es el todo del hombre»</w:t>
      </w:r>
      <w:r>
        <w:t xml:space="preserve"> (Ecl 12:13)</w:t>
      </w:r>
      <w:r>
        <w:br/>
      </w:r>
      <w:r>
        <w:rPr>
          <w:b/>
        </w:rPr>
        <w:t>leída en su fuente · Ecl 12:13</w:t>
      </w:r>
      <w:r>
        <w:br/>
      </w:r>
      <w:r>
        <w:rPr>
          <w:b/>
        </w:rPr>
        <w:t>Archivo leído:</w:t>
      </w:r>
      <w:r>
        <w:t xml:space="preserve"> spaRV1909_vpl.txt (biblia_rv1909\spaRV1909_vpl.txt) · contraste del archivo de pasajes: ✔</w:t>
      </w:r>
      <w:r>
        <w:br/>
      </w:r>
      <w:r>
        <w:rPr>
          <w:b/>
        </w:rPr>
        <w:t>Lugar:</w:t>
      </w:r>
      <w:r>
        <w:t xml:space="preserve"> Ecl 12:13</w:t>
      </w:r>
      <w:r>
        <w:br/>
      </w:r>
      <w:r>
        <w:rPr>
          <w:b/>
        </w:rPr>
        <w:t>Dirección:</w:t>
      </w:r>
      <w:r>
        <w:t xml:space="preserve"> </w:t>
      </w:r>
      <w:r>
        <w:t>https://eBible.org/Scriptures/spaRV1909_vpl.zip</w:t>
      </w:r>
      <w:r>
        <w:br/>
      </w:r>
      <w:r>
        <w:rPr>
          <w:b/>
        </w:rPr>
        <w:t>Tal como está en la fuente:</w:t>
      </w:r>
      <w:r>
        <w:t xml:space="preserve"> El fin de todo el discurso oído [es este]: Teme á Dios, y guarda sus mandamientos; porque esto es el todo del hombre.</w:t>
      </w:r>
      <w:r>
        <w:t>. Y de la sabiduría: «Ella es árbol de vida á los que de ella asen: y bienaventurados son los que la mantienen»</w:t>
      </w:r>
      <w:r>
        <w:t xml:space="preserve"> (Pr 3:18)</w:t>
      </w:r>
      <w:r>
        <w:br/>
      </w:r>
      <w:r>
        <w:rPr>
          <w:b/>
        </w:rPr>
        <w:t>leída en su fuente · Pr 3:18</w:t>
      </w:r>
      <w:r>
        <w:br/>
      </w:r>
      <w:r>
        <w:rPr>
          <w:b/>
        </w:rPr>
        <w:t>Archivo leído:</w:t>
      </w:r>
      <w:r>
        <w:t xml:space="preserve"> spaRV1909_vpl.txt (biblia_rv1909\spaRV1909_vpl.txt) · contraste del archivo de pasajes: ✔</w:t>
      </w:r>
      <w:r>
        <w:br/>
      </w:r>
      <w:r>
        <w:rPr>
          <w:b/>
        </w:rPr>
        <w:t>Lugar:</w:t>
      </w:r>
      <w:r>
        <w:t xml:space="preserve"> Pr 3:18</w:t>
      </w:r>
      <w:r>
        <w:br/>
      </w:r>
      <w:r>
        <w:rPr>
          <w:b/>
        </w:rPr>
        <w:t>Dirección:</w:t>
      </w:r>
      <w:r>
        <w:t xml:space="preserve"> </w:t>
      </w:r>
      <w:r>
        <w:t>https://eBible.org/Scriptures/spaRV1909_vpl.zip</w:t>
      </w:r>
      <w:r>
        <w:br/>
      </w:r>
      <w:r>
        <w:rPr>
          <w:b/>
        </w:rPr>
        <w:t>Tal como está en la fuente:</w:t>
      </w:r>
      <w:r>
        <w:t xml:space="preserve"> Ella es árbol de vida á los que de ella asen: y bienaventurados son los que la mantienen.</w:t>
      </w:r>
      <w:r>
        <w:t>; el mismo libro llama también árbol de vida al fruto del justo, al deseo cumplido y a la sana lengua (Pr 11:30, 13:12 y 15:4).</w:t>
      </w:r>
    </w:p>
    <w:p>
      <w:pPr>
        <w:pStyle w:val="ListBullet"/>
      </w:pPr>
      <w:r>
        <w:rPr>
          <w:b/>
        </w:rPr>
        <w:t>Lo que se perdió.</w:t>
      </w:r>
      <w:r>
        <w:t xml:space="preserve"> El camino del árbol de la vida, guardado tras la expulsión (Gn 3:22-24), en </w:t>
      </w:r>
      <w:r>
        <w:t>4.2</w:t>
      </w:r>
      <w:r>
        <w:t>. Y el aviso: «Mas si tu corazón se apartare, y no oyeres […] Protéstoos hoy que de cierto pereceréis»</w:t>
      </w:r>
      <w:r>
        <w:t xml:space="preserve"> (Dt 30:17-18)</w:t>
      </w:r>
      <w:r>
        <w:br/>
      </w:r>
      <w:r>
        <w:rPr>
          <w:b/>
        </w:rPr>
        <w:t>leída en su fuente · Dt 30:17-18</w:t>
      </w:r>
      <w:r>
        <w:br/>
      </w:r>
      <w:r>
        <w:rPr>
          <w:b/>
        </w:rPr>
        <w:t>Archivo leído:</w:t>
      </w:r>
      <w:r>
        <w:t xml:space="preserve"> Deut.txt (biblia_rv1909\spaRV1909_texto_corrido.txt) · contraste del archivo de pasajes: ✔</w:t>
      </w:r>
      <w:r>
        <w:br/>
      </w:r>
      <w:r>
        <w:rPr>
          <w:b/>
        </w:rPr>
        <w:t>Lugar:</w:t>
      </w:r>
      <w:r>
        <w:t xml:space="preserve"> Dt 30:18 (RV1909)</w:t>
      </w:r>
      <w:r>
        <w:br/>
      </w:r>
      <w:r>
        <w:rPr>
          <w:b/>
        </w:rPr>
        <w:t>Tal como está en la fuente:</w:t>
      </w:r>
      <w:r>
        <w:t xml:space="preserve"> Protéstoos hoy que de cierto pereceréis: no tendréis largos días sobre la tierra, para ir á la cual pasas el Jordán para poseerla.</w:t>
      </w:r>
      <w:r>
        <w:t>. Y la respuesta del pueblo a las sendas antiguas: «Mas dijeron: No andaremos»</w:t>
      </w:r>
      <w:r>
        <w:t xml:space="preserve"> (Jer 6:16)</w:t>
      </w:r>
      <w:r>
        <w:br/>
      </w:r>
      <w:r>
        <w:rPr>
          <w:b/>
        </w:rPr>
        <w:t>pasaje guardado</w:t>
      </w:r>
      <w:r>
        <w:br/>
      </w:r>
      <w:r>
        <w:rPr>
          <w:b/>
        </w:rPr>
        <w:t>Archivo leído:</w:t>
      </w:r>
      <w:r>
        <w:t xml:space="preserve"> spaRV1909_vpl.txt (biblia_rv1909\spaRV1909_vpl.txt) · contraste del archivo de pasajes: ✔</w:t>
      </w:r>
      <w:r>
        <w:br/>
      </w:r>
      <w:r>
        <w:rPr>
          <w:b/>
        </w:rPr>
        <w:t>Lugar:</w:t>
      </w:r>
      <w:r>
        <w:t xml:space="preserve"> Jer 6:16</w:t>
      </w:r>
      <w:r>
        <w:br/>
      </w:r>
      <w:r>
        <w:rPr>
          <w:b/>
        </w:rPr>
        <w:t>Dirección:</w:t>
      </w:r>
      <w:r>
        <w:t xml:space="preserve"> </w:t>
      </w:r>
      <w:r>
        <w:t>https://eBible.org/Scriptures/spaRV1909_vpl.zip</w:t>
      </w:r>
      <w:r>
        <w:br/>
      </w:r>
      <w:r>
        <w:rPr>
          <w:b/>
        </w:rPr>
        <w:t>Tal como está en la fuente:</w:t>
      </w:r>
      <w:r>
        <w:t xml:space="preserve"> Así dijo Jehová: Paraos en los caminos, y mirad, y preguntad por las sendas antiguas, cuál sea el buen camino, y andad por él, y hallaréis descanso para vuestra alma. Mas dijeron: No andaremos.</w:t>
      </w:r>
      <w:r>
        <w:t>.</w:t>
      </w:r>
    </w:p>
    <w:p>
      <w:pPr>
        <w:pStyle w:val="ListBullet"/>
      </w:pPr>
      <w:r>
        <w:rPr>
          <w:b/>
        </w:rPr>
        <w:t>El camino de vuelta.</w:t>
      </w:r>
      <w:r>
        <w:t xml:space="preserve"> «Paraos en los caminos, y mirad, y preguntad por las sendas antiguas, cuál sea el buen camino, y andad por él, y hallaréis descanso para vuestra alma»</w:t>
      </w:r>
      <w:r>
        <w:t xml:space="preserve"> (Jer 6:16)</w:t>
      </w:r>
      <w:r>
        <w:br/>
      </w:r>
      <w:r>
        <w:rPr>
          <w:b/>
        </w:rPr>
        <w:t>leída en su fuente · Jer 6:16</w:t>
      </w:r>
      <w:r>
        <w:br/>
      </w:r>
      <w:r>
        <w:rPr>
          <w:b/>
        </w:rPr>
        <w:t>Archivo leído:</w:t>
      </w:r>
      <w:r>
        <w:t xml:space="preserve"> spaRV1909_vpl.txt (biblia_rv1909\spaRV1909_vpl.txt) · contraste del archivo de pasajes: ✔</w:t>
      </w:r>
      <w:r>
        <w:br/>
      </w:r>
      <w:r>
        <w:rPr>
          <w:b/>
        </w:rPr>
        <w:t>Lugar:</w:t>
      </w:r>
      <w:r>
        <w:t xml:space="preserve"> Jer 6:16</w:t>
      </w:r>
      <w:r>
        <w:br/>
      </w:r>
      <w:r>
        <w:rPr>
          <w:b/>
        </w:rPr>
        <w:t>Dirección:</w:t>
      </w:r>
      <w:r>
        <w:t xml:space="preserve"> </w:t>
      </w:r>
      <w:r>
        <w:t>https://eBible.org/Scriptures/spaRV1909_vpl.zip</w:t>
      </w:r>
      <w:r>
        <w:br/>
      </w:r>
      <w:r>
        <w:rPr>
          <w:b/>
        </w:rPr>
        <w:t>Tal como está en la fuente:</w:t>
      </w:r>
      <w:r>
        <w:t xml:space="preserve"> Así dijo Jehová: Paraos en los caminos, y mirad, y preguntad por las sendas antiguas, cuál sea el buen camino, y andad por él, y hallaréis descanso para vuestra alma. Mas dijeron: No andaremos.</w:t>
      </w:r>
      <w:r>
        <w:t>. «que os he puesto delante la vida y la muerte, la bendición y la maldición: escoge pues la vida, porque vivas tú y tu simiente»</w:t>
      </w:r>
      <w:r>
        <w:t xml:space="preserve"> (Dt 30:19)</w:t>
      </w:r>
      <w:r>
        <w:br/>
      </w:r>
      <w:r>
        <w:rPr>
          <w:b/>
        </w:rPr>
        <w:t>leída en su fuente · Dt 30:19</w:t>
      </w:r>
      <w:r>
        <w:br/>
      </w:r>
      <w:r>
        <w:rPr>
          <w:b/>
        </w:rPr>
        <w:t>Archivo leído:</w:t>
      </w:r>
      <w:r>
        <w:t xml:space="preserve"> Deut.txt (biblia_rv1909\spaRV1909_texto_corrido.txt) · contraste del archivo de pasajes: ✔</w:t>
      </w:r>
      <w:r>
        <w:br/>
      </w:r>
      <w:r>
        <w:rPr>
          <w:b/>
        </w:rPr>
        <w:t>Lugar:</w:t>
      </w:r>
      <w:r>
        <w:t xml:space="preserve"> Dt 30:19 (RV1909)</w:t>
      </w:r>
      <w:r>
        <w:br/>
      </w:r>
      <w:r>
        <w:rPr>
          <w:b/>
        </w:rPr>
        <w:t>Tal como está en la fuente:</w:t>
      </w:r>
      <w:r>
        <w:t xml:space="preserve"> A los cielos y la tierra llamo por testigos hoy contra vosotros, que os he puesto delante la vida y la muerte, la bendición y la maldición: escoge pues la vida, porque vivas tú y tu simiente:</w:t>
      </w:r>
      <w:r>
        <w:t>.</w:t>
      </w:r>
    </w:p>
    <w:p>
      <w:r>
        <w:rPr>
          <w:b/>
        </w:rPr>
        <w:t>2. El Nuevo Testamento</w:t>
      </w:r>
      <w:r>
        <w:t xml:space="preserve"> (Reina-Valera Antigua).</w:t>
      </w:r>
    </w:p>
    <w:p>
      <w:pPr>
        <w:pStyle w:val="ListBullet"/>
      </w:pPr>
      <w:r>
        <w:rPr>
          <w:b/>
        </w:rPr>
        <w:t>Lo que se dio.</w:t>
      </w:r>
      <w:r>
        <w:t xml:space="preserve"> «Amarás al Señor tu Dios de todo tu corazón, y de toda tu alma, y de toda tu mente […] Y el segundo es semejante á éste: Amarás á tu prójimo como á ti mismo. De estos dos mandamientos depende toda la ley y los profetas»</w:t>
      </w:r>
      <w:r>
        <w:t xml:space="preserve"> (Mt 22:37-40)</w:t>
      </w:r>
      <w:r>
        <w:br/>
      </w:r>
      <w:r>
        <w:rPr>
          <w:b/>
        </w:rPr>
        <w:t>leída en su fuente · Mt 22:37-40</w:t>
      </w:r>
      <w:r>
        <w:br/>
      </w:r>
      <w:r>
        <w:rPr>
          <w:b/>
        </w:rPr>
        <w:t>Original donde está:</w:t>
      </w:r>
      <w:r>
        <w:t xml:space="preserve"> spaRV1909_texto_corrido.txt</w:t>
      </w:r>
      <w:r>
        <w:br/>
      </w:r>
      <w:r>
        <w:t>El pasaje literal no está en el archivo de pasajes con este comienzo; la auditoría lo halló en ese original.</w:t>
      </w:r>
      <w:r>
        <w:t xml:space="preserve">. La regla de oro (Mt 7:12), en </w:t>
      </w:r>
      <w:r>
        <w:t>0.5</w:t>
      </w:r>
      <w:r>
        <w:t>.</w:t>
      </w:r>
    </w:p>
    <w:p>
      <w:pPr>
        <w:pStyle w:val="ListBullet"/>
      </w:pPr>
      <w:r>
        <w:rPr>
          <w:b/>
        </w:rPr>
        <w:t>Lo que se perdió.</w:t>
      </w:r>
      <w:r>
        <w:t xml:space="preserve"> «Entrad por la puerta estrecha: porque ancha es la puerta, y espacioso el camino que lleva á perdición, y muchos son los que entran por ella»</w:t>
      </w:r>
      <w:r>
        <w:t xml:space="preserve"> (Mt 7:13)</w:t>
      </w:r>
      <w:r>
        <w:br/>
      </w:r>
      <w:r>
        <w:rPr>
          <w:b/>
        </w:rPr>
        <w:t>leída en su fuente · Mt 7:13</w:t>
      </w:r>
      <w:r>
        <w:br/>
      </w:r>
      <w:r>
        <w:rPr>
          <w:b/>
        </w:rPr>
        <w:t>Archivo leído:</w:t>
      </w:r>
      <w:r>
        <w:t xml:space="preserve"> sblgnt_Matt.txt (biblia_rv1909\spaRV1909_texto_corrido.txt) · contraste del archivo de pasajes: ✔</w:t>
      </w:r>
      <w:r>
        <w:br/>
      </w:r>
      <w:r>
        <w:rPr>
          <w:b/>
        </w:rPr>
        <w:t>Lugar:</w:t>
      </w:r>
      <w:r>
        <w:t xml:space="preserve"> Mt 7:13 (RV1909)</w:t>
      </w:r>
      <w:r>
        <w:br/>
      </w:r>
      <w:r>
        <w:rPr>
          <w:b/>
        </w:rPr>
        <w:t>Tal como está en la fuente:</w:t>
      </w:r>
      <w:r>
        <w:t xml:space="preserve"> Entrad por la puerta estrecha: porque ancha es la puerta, y espacioso el camino que lleva á perdición, y muchos son los que entran por ella.</w:t>
      </w:r>
      <w:r>
        <w:t>.</w:t>
      </w:r>
    </w:p>
    <w:p>
      <w:pPr>
        <w:pStyle w:val="ListBullet"/>
      </w:pPr>
      <w:r>
        <w:rPr>
          <w:b/>
        </w:rPr>
        <w:t>El camino de vuelta.</w:t>
      </w:r>
      <w:r>
        <w:t xml:space="preserve"> «Porque estrecha es la puerta, y angosto el camino que lleva á la vida, y pocos son los que la hallan»</w:t>
      </w:r>
      <w:r>
        <w:t xml:space="preserve"> (Mt 7:14)</w:t>
      </w:r>
      <w:r>
        <w:br/>
      </w:r>
      <w:r>
        <w:rPr>
          <w:b/>
        </w:rPr>
        <w:t>leída en su fuente · Mt 7:14</w:t>
      </w:r>
      <w:r>
        <w:br/>
      </w:r>
      <w:r>
        <w:rPr>
          <w:b/>
        </w:rPr>
        <w:t>Archivo leído:</w:t>
      </w:r>
      <w:r>
        <w:t xml:space="preserve"> sblgnt_Matt.txt (biblia_rv1909\spaRV1909_texto_corrido.txt) · contraste del archivo de pasajes: ✔</w:t>
      </w:r>
      <w:r>
        <w:br/>
      </w:r>
      <w:r>
        <w:rPr>
          <w:b/>
        </w:rPr>
        <w:t>Lugar:</w:t>
      </w:r>
      <w:r>
        <w:t xml:space="preserve"> Mt 7:14 (RV1909)</w:t>
      </w:r>
      <w:r>
        <w:br/>
      </w:r>
      <w:r>
        <w:rPr>
          <w:b/>
        </w:rPr>
        <w:t>Tal como está en la fuente:</w:t>
      </w:r>
      <w:r>
        <w:t xml:space="preserve"> Porque estrecha es la puerta, y angosto el camino que lleva á la vida, y pocos son los que la hallan.</w:t>
      </w:r>
      <w:r>
        <w:t>. «Jesús le dice: Yo soy el camino, y la verdad, y la vida: nadie viene al Padre, sino por mí»</w:t>
      </w:r>
      <w:r>
        <w:t xml:space="preserve"> (Jn 14:6)</w:t>
      </w:r>
      <w:r>
        <w:br/>
      </w:r>
      <w:r>
        <w:rPr>
          <w:b/>
        </w:rPr>
        <w:t>leída en su fuente · Jn 14:6</w:t>
      </w:r>
      <w:r>
        <w:br/>
      </w:r>
      <w:r>
        <w:rPr>
          <w:b/>
        </w:rPr>
        <w:t>Archivo leído:</w:t>
      </w:r>
      <w:r>
        <w:t xml:space="preserve"> sblgnt_John.txt (biblia_rv1909\spaRV1909_texto_corrido.txt) · contraste del archivo de pasajes: ✔</w:t>
      </w:r>
      <w:r>
        <w:br/>
      </w:r>
      <w:r>
        <w:rPr>
          <w:b/>
        </w:rPr>
        <w:t>Lugar:</w:t>
      </w:r>
      <w:r>
        <w:t xml:space="preserve"> Jn 14:6 (RV1909)</w:t>
      </w:r>
      <w:r>
        <w:br/>
      </w:r>
      <w:r>
        <w:rPr>
          <w:b/>
        </w:rPr>
        <w:t>Tal como está en la fuente:</w:t>
      </w:r>
      <w:r>
        <w:t xml:space="preserve"> Jesús le dice: Yo soy el camino, y la verdad, y la vida: nadie viene al Padre, sino por mí.</w:t>
      </w:r>
      <w:r>
        <w:t xml:space="preserve">. Volverse como niños (Mt 18:3), en </w:t>
      </w:r>
      <w:r>
        <w:t>2.5</w:t>
      </w:r>
      <w:r>
        <w:t>. «porque he aquí el reino de Dios entre vosotros está»</w:t>
      </w:r>
      <w:r>
        <w:t xml:space="preserve"> (Lc 17:21)</w:t>
      </w:r>
      <w:r>
        <w:br/>
      </w:r>
      <w:r>
        <w:rPr>
          <w:b/>
        </w:rPr>
        <w:t>leída en su fuente · Lc 17:21</w:t>
      </w:r>
      <w:r>
        <w:br/>
      </w:r>
      <w:r>
        <w:rPr>
          <w:b/>
        </w:rPr>
        <w:t>Archivo leído:</w:t>
      </w:r>
      <w:r>
        <w:t xml:space="preserve"> sblgnt_Matt.txt (biblia_rv1909\spaRV1909_texto_corrido.txt) · contraste del archivo de pasajes: ✔</w:t>
      </w:r>
      <w:r>
        <w:br/>
      </w:r>
      <w:r>
        <w:rPr>
          <w:b/>
        </w:rPr>
        <w:t>Lugar:</w:t>
      </w:r>
      <w:r>
        <w:t xml:space="preserve"> Lc 17:21 (RV1909)</w:t>
      </w:r>
      <w:r>
        <w:br/>
      </w:r>
      <w:r>
        <w:rPr>
          <w:b/>
        </w:rPr>
        <w:t>Tal como está en la fuente:</w:t>
      </w:r>
      <w:r>
        <w:t xml:space="preserve"> Ni dirán: Helo aquí, ó helo allí: porque he aquí el reino de Dios entre vosotros está.</w:t>
      </w:r>
      <w:r>
        <w:t>. «Al que venciere, daré á comer del árbol de la vida, el cual está en medio del paraíso de Dios»</w:t>
      </w:r>
      <w:r>
        <w:t xml:space="preserve"> (Ap 2:7)</w:t>
      </w:r>
      <w:r>
        <w:br/>
      </w:r>
      <w:r>
        <w:rPr>
          <w:b/>
        </w:rPr>
        <w:t>leída en su fuente · Ap 2:7</w:t>
      </w:r>
      <w:r>
        <w:br/>
      </w:r>
      <w:r>
        <w:rPr>
          <w:b/>
        </w:rPr>
        <w:t>Archivo leído:</w:t>
      </w:r>
      <w:r>
        <w:t xml:space="preserve"> spaRV1909_vpl.txt (biblia_rv1909\spaRV1909_vpl.txt) · contraste del archivo de pasajes: ✔</w:t>
      </w:r>
      <w:r>
        <w:br/>
      </w:r>
      <w:r>
        <w:rPr>
          <w:b/>
        </w:rPr>
        <w:t>Lugar:</w:t>
      </w:r>
      <w:r>
        <w:t xml:space="preserve"> Ap 2:7</w:t>
      </w:r>
      <w:r>
        <w:br/>
      </w:r>
      <w:r>
        <w:rPr>
          <w:b/>
        </w:rPr>
        <w:t>Dirección:</w:t>
      </w:r>
      <w:r>
        <w:t xml:space="preserve"> </w:t>
      </w:r>
      <w:r>
        <w:t>https://eBible.org/Scriptures/spaRV1909_vpl.zip</w:t>
      </w:r>
      <w:r>
        <w:br/>
      </w:r>
      <w:r>
        <w:rPr>
          <w:b/>
        </w:rPr>
        <w:t>Tal como está en la fuente:</w:t>
      </w:r>
      <w:r>
        <w:t xml:space="preserve"> El que tiene oído, oiga lo que el Espíritu dice á las iglesias. Al que venciere, daré á comer del árbol de la vida, el cual está en medio del paraíso de Dios.</w:t>
      </w:r>
      <w:r>
        <w:t>. «estaba el árbol de la vida, que lleva doce frutos, dando cada mes su fruto: y las hojas del árbol eran para la sanidad de las naciones»</w:t>
      </w:r>
      <w:r>
        <w:t xml:space="preserve"> (Ap 22:2)</w:t>
      </w:r>
      <w:r>
        <w:br/>
      </w:r>
      <w:r>
        <w:rPr>
          <w:b/>
        </w:rPr>
        <w:t>leída en su fuente · Ap 22:2</w:t>
      </w:r>
      <w:r>
        <w:br/>
      </w:r>
      <w:r>
        <w:rPr>
          <w:b/>
        </w:rPr>
        <w:t>Archivo leído:</w:t>
      </w:r>
      <w:r>
        <w:t xml:space="preserve"> spaRV1909_vpl.txt (biblia_rv1909\spaRV1909_vpl.txt) · contraste del archivo de pasajes: ✔</w:t>
      </w:r>
      <w:r>
        <w:br/>
      </w:r>
      <w:r>
        <w:rPr>
          <w:b/>
        </w:rPr>
        <w:t>Lugar:</w:t>
      </w:r>
      <w:r>
        <w:t xml:space="preserve"> Ap 22:2</w:t>
      </w:r>
      <w:r>
        <w:br/>
      </w:r>
      <w:r>
        <w:rPr>
          <w:b/>
        </w:rPr>
        <w:t>Dirección:</w:t>
      </w:r>
      <w:r>
        <w:t xml:space="preserve"> </w:t>
      </w:r>
      <w:r>
        <w:t>https://eBible.org/Scriptures/spaRV1909_vpl.zip</w:t>
      </w:r>
      <w:r>
        <w:br/>
      </w:r>
      <w:r>
        <w:rPr>
          <w:b/>
        </w:rPr>
        <w:t>Tal como está en la fuente:</w:t>
      </w:r>
      <w:r>
        <w:t xml:space="preserve"> En el medio de la plaza de ella, y de la una y de la otra parte del río, estaba el árbol de la vida, que lleva doce frutos, dando cada mes su fruto: y las hojas del árbol eran para la sanidad de las naciones.</w:t>
      </w:r>
      <w:r>
        <w:t>. «Bienaventurados los que guardan sus mandamientos, para que su potencia sea en el árbol de la vida, y que entren por las puertas en la ciudad»</w:t>
      </w:r>
      <w:r>
        <w:t xml:space="preserve"> (Ap 22:14)</w:t>
      </w:r>
      <w:r>
        <w:br/>
      </w:r>
      <w:r>
        <w:rPr>
          <w:b/>
        </w:rPr>
        <w:t>leída en su fuente · Ap 22:14</w:t>
      </w:r>
      <w:r>
        <w:br/>
      </w:r>
      <w:r>
        <w:rPr>
          <w:b/>
        </w:rPr>
        <w:t>Archivo leído:</w:t>
      </w:r>
      <w:r>
        <w:t xml:space="preserve"> spaRV1909_vpl.txt (biblia_rv1909\spaRV1909_vpl.txt) · contraste del archivo de pasajes: ✔</w:t>
      </w:r>
      <w:r>
        <w:br/>
      </w:r>
      <w:r>
        <w:rPr>
          <w:b/>
        </w:rPr>
        <w:t>Lugar:</w:t>
      </w:r>
      <w:r>
        <w:t xml:space="preserve"> Ap 22:14</w:t>
      </w:r>
      <w:r>
        <w:br/>
      </w:r>
      <w:r>
        <w:rPr>
          <w:b/>
        </w:rPr>
        <w:t>Dirección:</w:t>
      </w:r>
      <w:r>
        <w:t xml:space="preserve"> </w:t>
      </w:r>
      <w:r>
        <w:t>https://eBible.org/Scriptures/spaRV1909_vpl.zip</w:t>
      </w:r>
      <w:r>
        <w:br/>
      </w:r>
      <w:r>
        <w:rPr>
          <w:b/>
        </w:rPr>
        <w:t>Tal como está en la fuente:</w:t>
      </w:r>
      <w:r>
        <w:t xml:space="preserve"> Bienaventurados los que guardan sus mandamientos, para que su potencia sea en el árbol de la vida, y que entren por las puertas en la ciudad.</w:t>
      </w:r>
      <w:r>
        <w:t>.</w:t>
      </w:r>
    </w:p>
    <w:p>
      <w:r>
        <w:rPr>
          <w:b/>
        </w:rPr>
        <w:t>3. La tradición rabínica</w:t>
      </w:r>
      <w:r>
        <w:t xml:space="preserve"> (Pirkei Avot en hebreo; Génesis Rabbah, fuente secundaria).</w:t>
      </w:r>
    </w:p>
    <w:p>
      <w:pPr>
        <w:pStyle w:val="ListBullet"/>
      </w:pPr>
      <w:r>
        <w:rPr>
          <w:b/>
        </w:rPr>
        <w:t>Lo que se dio.</w:t>
      </w:r>
      <w:r>
        <w:t xml:space="preserve"> «Moisés recibió la Torá desde el Sinaí y se la transmitió a Josué; Josué, a los ancianos; los ancianos, a los profetas; y los profetas se la transmitieron a los hombres de la Gran Asamblea»</w:t>
      </w:r>
      <w:r>
        <w:t xml:space="preserve"> [original: «משֶׁה קִבֵּל תּוֹרָה מִסִּינַי, וּמְסָרָהּ לִיהוֹשֻׁעַ, וִיהוֹשֻׁעַ לִזְקֵנִים, וּזְקֵנִים לִנְבִיאִים, וּנְבִיאִים מְסָרוּהָ לְאַנְשֵׁי כְנֶסֶת הַגְּדוֹלָה»]</w:t>
      </w:r>
      <w:r>
        <w:t xml:space="preserve"> (Pirkei Avot 1:1)</w:t>
      </w:r>
      <w:r>
        <w:br/>
      </w:r>
      <w:r>
        <w:rPr>
          <w:b/>
        </w:rPr>
        <w:t>leída en su fuente · Pirkei Avot 1:1</w:t>
      </w:r>
      <w:r>
        <w:br/>
      </w:r>
      <w:r>
        <w:rPr>
          <w:b/>
        </w:rPr>
        <w:t>Original donde está:</w:t>
      </w:r>
      <w:r>
        <w:t xml:space="preserve"> sefaria_Pirkei_Avot_1.json</w:t>
      </w:r>
      <w:r>
        <w:br/>
      </w:r>
      <w:r>
        <w:t>El pasaje literal no está en el archivo de pasajes con este comienzo; la auditoría lo halló en ese original.</w:t>
      </w:r>
      <w:r>
        <w:t>. «Sobre tres cosas se sostiene el mundo: sobre la Torá, sobre el culto y sobre las obras de bondad»</w:t>
      </w:r>
      <w:r>
        <w:t xml:space="preserve"> [original: «עַל שְׁלשָׁה דְבָרִים הָעוֹלָם עוֹמֵד, עַל הַתּוֹרָה וְעַל הָעֲבוֹדָה וְעַל גְּמִילוּת חֲסָדִים»]</w:t>
      </w:r>
      <w:r>
        <w:t xml:space="preserve"> (Pirkei Avot 1:2)</w:t>
      </w:r>
      <w:r>
        <w:br/>
      </w:r>
      <w:r>
        <w:rPr>
          <w:b/>
        </w:rPr>
        <w:t>leída en su fuente · Pirkei Avot 1:2</w:t>
      </w:r>
      <w:r>
        <w:br/>
      </w:r>
      <w:r>
        <w:rPr>
          <w:b/>
        </w:rPr>
        <w:t>Original donde está:</w:t>
      </w:r>
      <w:r>
        <w:t xml:space="preserve"> sefaria_Pirkei_Avot_1.json</w:t>
      </w:r>
      <w:r>
        <w:br/>
      </w:r>
      <w:r>
        <w:t>El pasaje literal no está en el archivo de pasajes con este comienzo; la auditoría lo halló en ese original.</w:t>
      </w:r>
      <w:r>
        <w:t>.</w:t>
      </w:r>
    </w:p>
    <w:p>
      <w:pPr>
        <w:pStyle w:val="ListBullet"/>
      </w:pPr>
      <w:r>
        <w:rPr>
          <w:b/>
        </w:rPr>
        <w:t>Lo que se perdió.</w:t>
      </w:r>
      <w:r>
        <w:t xml:space="preserve"> En lo leído, no se cuenta.</w:t>
      </w:r>
    </w:p>
    <w:p>
      <w:pPr>
        <w:pStyle w:val="ListBullet"/>
      </w:pPr>
      <w:r>
        <w:rPr>
          <w:b/>
        </w:rPr>
        <w:t>El camino de vuelta.</w:t>
      </w:r>
      <w:r>
        <w:t xml:space="preserve"> «¿Cuál es el camino recto que ha de escoger el hombre? Todo el que es honra para quien lo practica y le da honra ante los hombres»</w:t>
      </w:r>
      <w:r>
        <w:t xml:space="preserve"> [original: «אֵיזוֹהִי דֶרֶךְ יְשָׁרָה שֶׁיָּבֹר לוֹ הָאָדָם, כֹּל שֶׁהִיא תִפְאֶרֶת לְעוֹשֶׂיהָ וְתִפְאֶרֶת לוֹ מִן הָאָדָם.»]</w:t>
      </w:r>
      <w:r>
        <w:t xml:space="preserve"> (Pirkei Avot 2:1)</w:t>
      </w:r>
      <w:r>
        <w:br/>
      </w:r>
      <w:r>
        <w:rPr>
          <w:b/>
        </w:rPr>
        <w:t>leída en su fuente · Pirkei Avot 2:1</w:t>
      </w:r>
      <w:r>
        <w:br/>
      </w:r>
      <w:r>
        <w:rPr>
          <w:b/>
        </w:rPr>
        <w:t>Original donde está:</w:t>
      </w:r>
      <w:r>
        <w:t xml:space="preserve"> sefaria_Pirkei_Avot_2.json</w:t>
      </w:r>
      <w:r>
        <w:br/>
      </w:r>
      <w:r>
        <w:t>El pasaje literal no está en el archivo de pasajes con este comienzo; la auditoría lo halló en ese original.</w:t>
      </w:r>
      <w:r>
        <w:t>. «Fíjate en tres cosas y no caerás en el pecado: sabe de dónde vienes, adónde vas y ante quién has de dar cuenta y razón»</w:t>
      </w:r>
      <w:r>
        <w:t xml:space="preserve"> [original: «הִסְתַּכֵּל בִּשְׁלשָׁה דְבָרִים וְאִי אַתָּה בָא לִידֵי עֲבֵרָה. דַּע מֵאַיִן בָּאתָ, וּלְאָן אַתָּה הוֹלֵךְ, וְלִפְנֵי מִי אַתָּה עָתִיד לִתֵּן דִּין וְחֶשְׁבּוֹן»]</w:t>
      </w:r>
      <w:r>
        <w:t xml:space="preserve"> (Pirkei Avot 3:1)</w:t>
      </w:r>
      <w:r>
        <w:br/>
      </w:r>
      <w:r>
        <w:rPr>
          <w:b/>
        </w:rPr>
        <w:t>leída en su fuente · Pirkei Avot 3:1</w:t>
      </w:r>
      <w:r>
        <w:br/>
      </w:r>
      <w:r>
        <w:rPr>
          <w:b/>
        </w:rPr>
        <w:t>Original donde está:</w:t>
      </w:r>
      <w:r>
        <w:t xml:space="preserve"> sefaria_Pirkei_Avot_3.json</w:t>
      </w:r>
      <w:r>
        <w:br/>
      </w:r>
      <w:r>
        <w:t>El pasaje literal no está en el archivo de pasajes con este comienzo; la auditoría lo halló en ese original.</w:t>
      </w:r>
      <w:r>
        <w:t>. Y sobre la expulsión del huerto: «Esto enseña que el Santo, bendito sea, le abrió una oportunidad de arrepentirse»</w:t>
      </w:r>
      <w:r>
        <w:t xml:space="preserve"> [original: «This teaches that the Holy One blessed be He opened for him an opportunity for repentance.», en la traducción inglesa de Sefaria]</w:t>
      </w:r>
      <w:r>
        <w:t xml:space="preserve"> (Génesis Rabbah 21:6; fuente secundaria)</w:t>
      </w:r>
      <w:r>
        <w:br/>
      </w:r>
      <w:r>
        <w:rPr>
          <w:b/>
        </w:rPr>
        <w:t>leída en su fuente · Génesis Rabbah 21:6; fuente secundaria</w:t>
      </w:r>
      <w:r>
        <w:br/>
      </w:r>
      <w:r>
        <w:rPr>
          <w:b/>
        </w:rPr>
        <w:t>Archivo leído:</w:t>
      </w:r>
      <w:r>
        <w:t xml:space="preserve"> Bereshit_Rabbah.21.json.txt (reglas_del_juego_12oct\sefaria_genesis_midrash_talmud\Bereshit_Rabbah.21.json.txt) · contraste del archivo de pasajes: ✔</w:t>
      </w:r>
      <w:r>
        <w:br/>
      </w:r>
      <w:r>
        <w:rPr>
          <w:b/>
        </w:rPr>
        <w:t>Lugar:</w:t>
      </w:r>
      <w:r>
        <w:t xml:space="preserve"> Génesis Rabbá 21:6</w:t>
      </w:r>
      <w:r>
        <w:br/>
      </w:r>
      <w:r>
        <w:rPr>
          <w:b/>
        </w:rPr>
        <w:t>Dirección:</w:t>
      </w:r>
      <w:r>
        <w:t xml:space="preserve"> </w:t>
      </w:r>
      <w:r>
        <w:t>https://www.sefaria.org/api/texts/Bereshit_Rabbah.21?context=0&amp;commentary=0&amp;pad=0&amp;wrapLinks=0&amp;wrapNamedEntities=0</w:t>
      </w:r>
      <w:r>
        <w:br/>
      </w:r>
      <w:r>
        <w:rPr>
          <w:b/>
        </w:rPr>
        <w:t>Tal como está en la fuente:</w:t>
      </w:r>
      <w:r>
        <w:t xml:space="preserve"> This teaches that the Holy One blessed be He opened for him an opportunity for repentance.</w:t>
      </w:r>
      <w:r>
        <w:br/>
      </w:r>
      <w:r>
        <w:rPr>
          <w:b/>
        </w:rPr>
        <w:t>Traducción guardada:</w:t>
      </w:r>
      <w:r>
        <w:t xml:space="preserve"> traducción propia: Esto enseña que el Santo, bendito sea, le abrió una oportunidad de arrepentimiento.</w:t>
      </w:r>
      <w:r>
        <w:t>.</w:t>
      </w:r>
    </w:p>
    <w:p>
      <w:r>
        <w:rPr>
          <w:b/>
        </w:rPr>
        <w:t>4. El islam</w:t>
      </w:r>
      <w:r>
        <w:t xml:space="preserve"> (Corán, traducción de Julio Cortés).</w:t>
      </w:r>
    </w:p>
    <w:p>
      <w:pPr>
        <w:pStyle w:val="ListBullet"/>
      </w:pPr>
      <w:r>
        <w:rPr>
          <w:b/>
        </w:rPr>
        <w:t>Lo que se dio.</w:t>
      </w:r>
      <w:r>
        <w:t xml:space="preserve"> «Enseñó a Adán los nombres de todos los seres»</w:t>
      </w:r>
      <w:r>
        <w:t xml:space="preserve"> (Corán 2:31, traducción de Julio Cortés)</w:t>
      </w:r>
      <w:r>
        <w:br/>
      </w:r>
      <w:r>
        <w:rPr>
          <w:b/>
        </w:rPr>
        <w:t>leída en su fuente · Corán 2:31,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2:31, traducción de Julio Cortés</w:t>
      </w:r>
      <w:r>
        <w:br/>
      </w:r>
      <w:r>
        <w:rPr>
          <w:b/>
        </w:rPr>
        <w:t>Tal como está en la fuente:</w:t>
      </w:r>
      <w:r>
        <w:t xml:space="preserve"> Enseñó a Adán los nombres de todos los seres</w:t>
      </w:r>
      <w:r>
        <w:t>. «Habíamos concertado antes una alianza con Adán»</w:t>
      </w:r>
      <w:r>
        <w:t xml:space="preserve"> (Corán 20:115, traducción de Julio Cortés)</w:t>
      </w:r>
      <w:r>
        <w:br/>
      </w:r>
      <w:r>
        <w:rPr>
          <w:b/>
        </w:rPr>
        <w:t>leída en su fuente · Corán 20:115,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20:115, traducción de Julio Cortés</w:t>
      </w:r>
      <w:r>
        <w:br/>
      </w:r>
      <w:r>
        <w:rPr>
          <w:b/>
        </w:rPr>
        <w:t>Tal como está en la fuente:</w:t>
      </w:r>
      <w:r>
        <w:t xml:space="preserve"> Habíamos concertado antes una alianza con Adán</w:t>
      </w:r>
      <w:r>
        <w:t xml:space="preserve">. El alma, instruida sobre su propensión al pecado y su temor de Dios (Corán 91:7-8), en </w:t>
      </w:r>
      <w:r>
        <w:t>2.4</w:t>
      </w:r>
      <w:r>
        <w:t>.</w:t>
      </w:r>
    </w:p>
    <w:p>
      <w:pPr>
        <w:pStyle w:val="ListBullet"/>
      </w:pPr>
      <w:r>
        <w:rPr>
          <w:b/>
        </w:rPr>
        <w:t>Lo que se perdió.</w:t>
      </w:r>
      <w:r>
        <w:t xml:space="preserve"> «pero olvidó y no vimos en él resolución»</w:t>
      </w:r>
      <w:r>
        <w:t xml:space="preserve"> (Corán 20:115, traducción de Julio Cortés)</w:t>
      </w:r>
      <w:r>
        <w:br/>
      </w:r>
      <w:r>
        <w:rPr>
          <w:b/>
        </w:rPr>
        <w:t>leída en su fuente · Corán 20:115,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20:115, traducción de Julio Cortés</w:t>
      </w:r>
      <w:r>
        <w:br/>
      </w:r>
      <w:r>
        <w:rPr>
          <w:b/>
        </w:rPr>
        <w:t>Tal como está en la fuente:</w:t>
      </w:r>
      <w:r>
        <w:t xml:space="preserve"> pero olvidó y no vimos en él resolución</w:t>
      </w:r>
      <w:r>
        <w:t>. «Pero el Demonio les hizo caer, perdiéndolo, y les sacó del estado en que estaban»</w:t>
      </w:r>
      <w:r>
        <w:t xml:space="preserve"> (Corán 2:36, traducción de Julio Cortés)</w:t>
      </w:r>
      <w:r>
        <w:br/>
      </w:r>
      <w:r>
        <w:rPr>
          <w:b/>
        </w:rPr>
        <w:t>leída en su fuente · Corán 2:36,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2:36, traducción de Julio Cortés</w:t>
      </w:r>
      <w:r>
        <w:br/>
      </w:r>
      <w:r>
        <w:rPr>
          <w:b/>
        </w:rPr>
        <w:t>Tal como está en la fuente:</w:t>
      </w:r>
      <w:r>
        <w:t xml:space="preserve"> Pero el Demonio les hizo caer, perdiéndolo, y les sacó del estado en que estaban</w:t>
      </w:r>
      <w:r>
        <w:t xml:space="preserve">. El susurro del Demonio (Corán 7:20 y 20:120), en </w:t>
      </w:r>
      <w:r>
        <w:t>4.2</w:t>
      </w:r>
      <w:r>
        <w:t>.</w:t>
      </w:r>
    </w:p>
    <w:p>
      <w:pPr>
        <w:pStyle w:val="ListBullet"/>
      </w:pPr>
      <w:r>
        <w:rPr>
          <w:b/>
        </w:rPr>
        <w:t>El camino de vuelta.</w:t>
      </w:r>
      <w:r>
        <w:t xml:space="preserve"> «Adán recibió palabras de su Señor y Éste se volvió a él»</w:t>
      </w:r>
      <w:r>
        <w:t xml:space="preserve"> (Corán 2:37, traducción de Julio Cortés)</w:t>
      </w:r>
      <w:r>
        <w:br/>
      </w:r>
      <w:r>
        <w:rPr>
          <w:b/>
        </w:rPr>
        <w:t>leída en su fuente · Corán 2:37,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2:37, traducción de Julio Cortés</w:t>
      </w:r>
      <w:r>
        <w:br/>
      </w:r>
      <w:r>
        <w:rPr>
          <w:b/>
        </w:rPr>
        <w:t>Tal como está en la fuente:</w:t>
      </w:r>
      <w:r>
        <w:t xml:space="preserve"> Adán recibió palabras de su Señor y Éste se volvió a él</w:t>
      </w:r>
      <w:r>
        <w:t>. «le perdonó y le puso en la buena dirección»</w:t>
      </w:r>
      <w:r>
        <w:t xml:space="preserve"> (Corán 20:122, traducción de Julio Cortés)</w:t>
      </w:r>
      <w:r>
        <w:br/>
      </w:r>
      <w:r>
        <w:rPr>
          <w:b/>
        </w:rPr>
        <w:t>leída en su fuente · Corán 20:122,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20:122, traducción de Julio Cortés</w:t>
      </w:r>
      <w:r>
        <w:br/>
      </w:r>
      <w:r>
        <w:rPr>
          <w:b/>
        </w:rPr>
        <w:t>Tal como está en la fuente:</w:t>
      </w:r>
      <w:r>
        <w:t xml:space="preserve"> le perdonó y le puso en la buena dirección</w:t>
      </w:r>
      <w:r>
        <w:t>. «quien siga Mi dirección no se extraviará y no será desgraciado»</w:t>
      </w:r>
      <w:r>
        <w:t xml:space="preserve"> (Corán 20:123, traducción de Julio Cortés)</w:t>
      </w:r>
      <w:r>
        <w:br/>
      </w:r>
      <w:r>
        <w:rPr>
          <w:b/>
        </w:rPr>
        <w:t>leída en su fuente · Corán 20:123,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20:123, traducción de Julio Cortés</w:t>
      </w:r>
      <w:r>
        <w:br/>
      </w:r>
      <w:r>
        <w:rPr>
          <w:b/>
        </w:rPr>
        <w:t>Tal como está en la fuente:</w:t>
      </w:r>
      <w:r>
        <w:t xml:space="preserve"> quien siga Mi dirección no se extraviará y no será desgraciado</w:t>
      </w:r>
      <w:r>
        <w:t>. «¡Bienaventurado quien la purifique! ¡Decepcionado, empero, quien la corrompa!»</w:t>
      </w:r>
      <w:r>
        <w:t xml:space="preserve"> (Corán 91:9-10, traducción de Julio Cortés)</w:t>
      </w:r>
      <w:r>
        <w:br/>
      </w:r>
      <w:r>
        <w:rPr>
          <w:b/>
        </w:rPr>
        <w:t>leída en su fuente · Corán 91:9-10, traducción de Julio Cortés</w:t>
      </w:r>
      <w:r>
        <w:br/>
      </w:r>
      <w:r>
        <w:rPr>
          <w:b/>
        </w:rPr>
        <w:t>Archivo leído:</w:t>
      </w:r>
      <w:r>
        <w:t xml:space="preserve"> coran_cortes_texto_corrido.txt (c4\coran_cortes_texto_corrido.txt) · contraste del archivo de pasajes: ✔</w:t>
      </w:r>
      <w:r>
        <w:br/>
      </w:r>
      <w:r>
        <w:rPr>
          <w:b/>
        </w:rPr>
        <w:t>Lugar:</w:t>
      </w:r>
      <w:r>
        <w:t xml:space="preserve"> Corán 91:9-10, traducción de Julio Cortés</w:t>
      </w:r>
      <w:r>
        <w:br/>
      </w:r>
      <w:r>
        <w:rPr>
          <w:b/>
        </w:rPr>
        <w:t>Tal como está en la fuente:</w:t>
      </w:r>
      <w:r>
        <w:t xml:space="preserve"> ¡Bienaventurado quien la purifique! ¡Decepcionado, empero, quien la corrompa!</w:t>
      </w:r>
      <w:r>
        <w:t>.</w:t>
      </w:r>
    </w:p>
    <w:p>
      <w:r>
        <w:rPr>
          <w:b/>
        </w:rPr>
        <w:t>5. Persia</w:t>
      </w:r>
      <w:r>
        <w:t xml:space="preserve"> (el Vendidad, en la traducción inglesa de Darmesteter; el Yasna, en la de avesta.org).</w:t>
      </w:r>
    </w:p>
    <w:p>
      <w:pPr>
        <w:pStyle w:val="ListBullet"/>
      </w:pPr>
      <w:r>
        <w:rPr>
          <w:b/>
        </w:rPr>
        <w:t>Lo que se dio.</w:t>
      </w:r>
      <w:r>
        <w:t xml:space="preserve"> Ahura Mazda dice de Yima que «fue el primer mortal, antes que tú, Zaratustra, con quien yo, Ahura Mazda, conversé, y a quien enseñé la Religión de Ahura, la Religión de Zaratustra»</w:t>
      </w:r>
      <w:r>
        <w:t xml:space="preserve"> [original: «he was the first mortal, before thee, Zarathushtra, with whom I, Ahura Mazda, did converse, whom I taught the Religion of Ahura, the Religion of Zarathushtra.», en la traducción inglesa de Darmesteter]</w:t>
      </w:r>
      <w:r>
        <w:t xml:space="preserve"> (Vendidad 2:2)</w:t>
      </w:r>
      <w:r>
        <w:br/>
      </w:r>
      <w:r>
        <w:rPr>
          <w:b/>
        </w:rPr>
        <w:t>leída en su fuente · Vendidad 2:2</w:t>
      </w:r>
      <w:r>
        <w:br/>
      </w:r>
      <w:r>
        <w:rPr>
          <w:b/>
        </w:rPr>
        <w:t>Archivo leído:</w:t>
      </w:r>
      <w:r>
        <w:t xml:space="preserve"> vd2sbe.htm.txt (reglas_del_juego_12oct\vendidad\vd2sbe.htm.txt) · contraste del archivo de pasajes: ✔</w:t>
      </w:r>
      <w:r>
        <w:br/>
      </w:r>
      <w:r>
        <w:rPr>
          <w:b/>
        </w:rPr>
        <w:t>Lugar:</w:t>
      </w:r>
      <w:r>
        <w:t xml:space="preserve"> Vd 2:2</w:t>
      </w:r>
      <w:r>
        <w:br/>
      </w:r>
      <w:r>
        <w:rPr>
          <w:b/>
        </w:rPr>
        <w:t>Dirección:</w:t>
      </w:r>
      <w:r>
        <w:t xml:space="preserve"> </w:t>
      </w:r>
      <w:r>
        <w:t>https://www.avesta.org/vendidad/vd2sbe.htm</w:t>
      </w:r>
      <w:r>
        <w:br/>
      </w:r>
      <w:r>
        <w:rPr>
          <w:b/>
        </w:rPr>
        <w:t>Tal como está en la fuente:</w:t>
      </w:r>
      <w:r>
        <w:t xml:space="preserve"> he was the first mortal, before thee, Zarathushtra, with whom I, Ahura Mazda, did converse, whom I taught the Religion of Ahura, the Religion of Zarathushtra.</w:t>
      </w:r>
      <w:r>
        <w:br/>
      </w:r>
      <w:r>
        <w:rPr>
          <w:b/>
        </w:rPr>
        <w:t>Traducción guardada:</w:t>
      </w:r>
      <w:r>
        <w:t xml:space="preserve"> traducción propia: fue el primer mortal, antes que tú, Zaratustra, con quien yo, Ahura Mazda, conversé, a quien enseñé la Religión de Ahura, la Religión de Zaratustra.</w:t>
      </w:r>
      <w:r>
        <w:t>.</w:t>
      </w:r>
    </w:p>
    <w:p>
      <w:pPr>
        <w:pStyle w:val="ListBullet"/>
      </w:pPr>
      <w:r>
        <w:rPr>
          <w:b/>
        </w:rPr>
        <w:t>Lo que se perdió.</w:t>
      </w:r>
      <w:r>
        <w:t xml:space="preserve"> Ahura Mazda le pide que sea su predicador, y Yima responde: «No he nacido ni se me ha enseñado para ser el predicador y el portador de tu Religión»</w:t>
      </w:r>
      <w:r>
        <w:t xml:space="preserve"> [original: «I was not born, I was not taught to be the preacher and the bearer of thy Religion.», en la traducción inglesa de Darmesteter]</w:t>
      </w:r>
      <w:r>
        <w:t xml:space="preserve"> (Vendidad 2:3)</w:t>
      </w:r>
      <w:r>
        <w:br/>
      </w:r>
      <w:r>
        <w:rPr>
          <w:b/>
        </w:rPr>
        <w:t>leída en su fuente · Vendidad 2:3</w:t>
      </w:r>
      <w:r>
        <w:br/>
      </w:r>
      <w:r>
        <w:rPr>
          <w:b/>
        </w:rPr>
        <w:t>Archivo leído:</w:t>
      </w:r>
      <w:r>
        <w:t xml:space="preserve"> vd2sbe.htm.txt (reglas_del_juego_12oct\vendidad\vd2sbe.htm.txt) · contraste del archivo de pasajes: ✔</w:t>
      </w:r>
      <w:r>
        <w:br/>
      </w:r>
      <w:r>
        <w:rPr>
          <w:b/>
        </w:rPr>
        <w:t>Lugar:</w:t>
      </w:r>
      <w:r>
        <w:t xml:space="preserve"> Vd 2:3</w:t>
      </w:r>
      <w:r>
        <w:br/>
      </w:r>
      <w:r>
        <w:rPr>
          <w:b/>
        </w:rPr>
        <w:t>Dirección:</w:t>
      </w:r>
      <w:r>
        <w:t xml:space="preserve"> </w:t>
      </w:r>
      <w:r>
        <w:t>https://www.avesta.org/vendidad/vd2sbe.htm</w:t>
      </w:r>
      <w:r>
        <w:br/>
      </w:r>
      <w:r>
        <w:rPr>
          <w:b/>
        </w:rPr>
        <w:t>Tal como está en la fuente:</w:t>
      </w:r>
      <w:r>
        <w:t xml:space="preserve"> And the fair Yima, O Zarathushtra, replied unto me, saying: 'I was not born, I was not taught to be the preacher and the bearer of thy Religion.'</w:t>
      </w:r>
      <w:r>
        <w:br/>
      </w:r>
      <w:r>
        <w:rPr>
          <w:b/>
        </w:rPr>
        <w:t>Traducción guardada:</w:t>
      </w:r>
      <w:r>
        <w:t xml:space="preserve"> traducción propia: Y el hermoso Yima me respondió, Zaratustra: 'No he nacido ni se me ha enseñado para ser el predicador y el portador de tu Religión.'</w:t>
      </w:r>
      <w:r>
        <w:t>. Y la Religión llega al recinto de Yima, el Vara, por un ave: «¿Quién llevó la Religión de Mazda al Vara que hizo Yima? Ahura Mazda respondió: Fue el ave Karshipta»</w:t>
      </w:r>
      <w:r>
        <w:t xml:space="preserve"> [original: «Who is he who brought the Religion of Mazda into the Vara which Yima made? Ahura Mazda answered: 'It was the bird Karshipta», en la traducción inglesa de Darmesteter]</w:t>
      </w:r>
      <w:r>
        <w:t xml:space="preserve"> (Vendidad 2:42)</w:t>
      </w:r>
      <w:r>
        <w:br/>
      </w:r>
      <w:r>
        <w:rPr>
          <w:b/>
        </w:rPr>
        <w:t>leída en su fuente · Vendidad 2:42</w:t>
      </w:r>
      <w:r>
        <w:br/>
      </w:r>
      <w:r>
        <w:rPr>
          <w:b/>
        </w:rPr>
        <w:t>Archivo leído:</w:t>
      </w:r>
      <w:r>
        <w:t xml:space="preserve"> vd2sbe.htm.txt (reglas_del_juego_12oct\vendidad\vd2sbe.htm.txt) · contraste del archivo de pasajes: ✔</w:t>
      </w:r>
      <w:r>
        <w:br/>
      </w:r>
      <w:r>
        <w:rPr>
          <w:b/>
        </w:rPr>
        <w:t>Lugar:</w:t>
      </w:r>
      <w:r>
        <w:t xml:space="preserve"> Vd 2:42</w:t>
      </w:r>
      <w:r>
        <w:br/>
      </w:r>
      <w:r>
        <w:rPr>
          <w:b/>
        </w:rPr>
        <w:t>Dirección:</w:t>
      </w:r>
      <w:r>
        <w:t xml:space="preserve"> </w:t>
      </w:r>
      <w:r>
        <w:t>https://www.avesta.org/vendidad/vd2sbe.htm</w:t>
      </w:r>
      <w:r>
        <w:br/>
      </w:r>
      <w:r>
        <w:rPr>
          <w:b/>
        </w:rPr>
        <w:t>Tal como está en la fuente:</w:t>
      </w:r>
      <w:r>
        <w:t xml:space="preserve"> Who is he who brought the Religion of Mazda into the Vara which Yima made? Ahura Mazda answered: 'It was the bird Karshipta</w:t>
      </w:r>
      <w:r>
        <w:br/>
      </w:r>
      <w:r>
        <w:rPr>
          <w:b/>
        </w:rPr>
        <w:t>Traducción guardada:</w:t>
      </w:r>
      <w:r>
        <w:t xml:space="preserve"> traducción propia: ¿Quién llevó la Religión de Mazda al Vara que hizo Yima? Ahura Mazda respondió: 'Fue el ave Karshipta</w:t>
      </w:r>
      <w:r>
        <w:t>.</w:t>
      </w:r>
    </w:p>
    <w:p>
      <w:pPr>
        <w:pStyle w:val="ListBullet"/>
      </w:pPr>
      <w:r>
        <w:rPr>
          <w:b/>
        </w:rPr>
        <w:t>El camino de vuelta.</w:t>
      </w:r>
      <w:r>
        <w:t xml:space="preserve"> Elegir, cada uno por sí mismo, entre los dos espíritus (Yasna 30:2, 30:3, 30:5 y 30:6), en </w:t>
      </w:r>
      <w:r>
        <w:t>1.9</w:t>
      </w:r>
      <w:r>
        <w:t xml:space="preserve">, </w:t>
      </w:r>
      <w:r>
        <w:t>4.2</w:t>
      </w:r>
      <w:r>
        <w:t xml:space="preserve"> y </w:t>
      </w:r>
      <w:r>
        <w:t>4.4</w:t>
      </w:r>
      <w:r>
        <w:t>. Y lo que se sigue de elegir: «Y cuando estos dos espíritus se encontraron al principio, crearon la Vida y la No-Vida, y que al final la peor existencia sería para los que siguen la Mentira, y la mejor existencia para quien sigue la Rectitud»</w:t>
      </w:r>
      <w:r>
        <w:t xml:space="preserve"> [original: «And when these twain Spirits came together in the beginning, they created Life and Not-Life, and that at the last Worst Existence shall be to the followers of the Lie, but the Best Existence to him that follows Right.», en la traducción inglesa de avesta.org]</w:t>
      </w:r>
      <w:r>
        <w:t xml:space="preserve"> (Yasna 30:4)</w:t>
      </w:r>
      <w:r>
        <w:br/>
      </w:r>
      <w:r>
        <w:rPr>
          <w:b/>
        </w:rPr>
        <w:t>leída en su fuente · Yasna 30:4</w:t>
      </w:r>
      <w:r>
        <w:br/>
      </w:r>
      <w:r>
        <w:rPr>
          <w:b/>
        </w:rPr>
        <w:t>Archivo leído:</w:t>
      </w:r>
      <w:r>
        <w:t xml:space="preserve"> index.html.txt (cierre_B3_B4_9oct\zoroastrismo_avesta_org\avesta\yasna\index.html.txt) · contraste del archivo de pasajes: ✔</w:t>
      </w:r>
      <w:r>
        <w:br/>
      </w:r>
      <w:r>
        <w:rPr>
          <w:b/>
        </w:rPr>
        <w:t>Lugar:</w:t>
      </w:r>
      <w:r>
        <w:t xml:space="preserve"> Yasna 30:4</w:t>
      </w:r>
      <w:r>
        <w:br/>
      </w:r>
      <w:r>
        <w:rPr>
          <w:b/>
        </w:rPr>
        <w:t>Dirección:</w:t>
      </w:r>
      <w:r>
        <w:t xml:space="preserve"> </w:t>
      </w:r>
      <w:r>
        <w:t>https://www.avesta.org/yasna/index.html</w:t>
      </w:r>
      <w:r>
        <w:br/>
      </w:r>
      <w:r>
        <w:rPr>
          <w:b/>
        </w:rPr>
        <w:t>Tal como está en la fuente:</w:t>
      </w:r>
      <w:r>
        <w:t xml:space="preserve"> And when these twain Spirits came together in the beginning, they created Life and Not-Life, and that at the last Worst Existence shall be to the followers of the Lie, but the Best Existence to him that follows Right.</w:t>
      </w:r>
      <w:r>
        <w:br/>
      </w:r>
      <w:r>
        <w:rPr>
          <w:b/>
        </w:rPr>
        <w:t>Traducción guardada:</w:t>
      </w:r>
      <w:r>
        <w:t xml:space="preserve"> traducción propia: Y cuando estos dos espíritus se encontraron al principio, crearon la Vida y la No-Vida, y al final la Peor Existencia será para los seguidores de la Mentira, y la Mejor Existencia para quien sigue la Rectitud.</w:t>
      </w:r>
      <w:r>
        <w:t>. «Ni los pensamientos, ni las enseñanzas, ni las voluntades, ni las creencias, ni las palabras, ni los actos, ni los seres, ni las almas de nosotros dos coinciden»</w:t>
      </w:r>
      <w:r>
        <w:t xml:space="preserve"> [original: «Neither thought, nor teachings, nor wills, nor beliefs, nor words, nor deeds, nor selfs, nor souls of us twain agree», en la traducción inglesa de avesta.org]</w:t>
      </w:r>
      <w:r>
        <w:t xml:space="preserve"> (Yasna 45:2)</w:t>
      </w:r>
      <w:r>
        <w:br/>
      </w:r>
      <w:r>
        <w:rPr>
          <w:b/>
        </w:rPr>
        <w:t>leída en su fuente · Yasna 45:2</w:t>
      </w:r>
      <w:r>
        <w:br/>
      </w:r>
      <w:r>
        <w:rPr>
          <w:b/>
        </w:rPr>
        <w:t>Archivo leído:</w:t>
      </w:r>
      <w:r>
        <w:t xml:space="preserve"> index.html.txt (cierre_B3_B4_9oct\zoroastrismo_avesta_org\avesta\yasna\index.html.txt) · contraste del archivo de pasajes: ✔</w:t>
      </w:r>
      <w:r>
        <w:br/>
      </w:r>
      <w:r>
        <w:rPr>
          <w:b/>
        </w:rPr>
        <w:t>Lugar:</w:t>
      </w:r>
      <w:r>
        <w:t xml:space="preserve"> Yasna 45:2</w:t>
      </w:r>
      <w:r>
        <w:br/>
      </w:r>
      <w:r>
        <w:rPr>
          <w:b/>
        </w:rPr>
        <w:t>Dirección:</w:t>
      </w:r>
      <w:r>
        <w:t xml:space="preserve"> </w:t>
      </w:r>
      <w:r>
        <w:t>https://www.avesta.org/yasna/index.html</w:t>
      </w:r>
      <w:r>
        <w:br/>
      </w:r>
      <w:r>
        <w:rPr>
          <w:b/>
        </w:rPr>
        <w:t>Tal como está en la fuente:</w:t>
      </w:r>
      <w:r>
        <w:t xml:space="preserve"> Neither thought, nor teachings, nor wills, nor beliefs, nor words, nor deeds, nor selfs, nor souls of us twain agree</w:t>
      </w:r>
      <w:r>
        <w:br/>
      </w:r>
      <w:r>
        <w:rPr>
          <w:b/>
        </w:rPr>
        <w:t>Traducción guardada:</w:t>
      </w:r>
      <w:r>
        <w:t xml:space="preserve"> traducción propia: Ni los pensamientos, ni las enseñanzas, ni las voluntades, ni las creencias, ni las palabras, ni los actos, ni los yoes, ni las almas de nosotros dos coinciden</w:t>
      </w:r>
      <w:r>
        <w:t>. «A los de vosotros que no pongan en práctica esta palabra como yo la pienso y la digo, les vendrá la desgracia al final de la vida»</w:t>
      </w:r>
      <w:r>
        <w:t xml:space="preserve"> [original: «Those of you that put not in practice this word as I think and utter it, to them shall be woe at the end of life.», en la traducción inglesa de avesta.org]</w:t>
      </w:r>
      <w:r>
        <w:t xml:space="preserve"> (Yasna 45:3)</w:t>
      </w:r>
      <w:r>
        <w:br/>
      </w:r>
      <w:r>
        <w:rPr>
          <w:b/>
        </w:rPr>
        <w:t>leída en su fuente · Yasna 45:3</w:t>
      </w:r>
      <w:r>
        <w:br/>
      </w:r>
      <w:r>
        <w:rPr>
          <w:b/>
        </w:rPr>
        <w:t>Archivo leído:</w:t>
      </w:r>
      <w:r>
        <w:t xml:space="preserve"> index.html.txt (cierre_B3_B4_9oct\zoroastrismo_avesta_org\avesta\yasna\index.html.txt) · contraste del archivo de pasajes: ✔</w:t>
      </w:r>
      <w:r>
        <w:br/>
      </w:r>
      <w:r>
        <w:rPr>
          <w:b/>
        </w:rPr>
        <w:t>Lugar:</w:t>
      </w:r>
      <w:r>
        <w:t xml:space="preserve"> Yasna 45:3</w:t>
      </w:r>
      <w:r>
        <w:br/>
      </w:r>
      <w:r>
        <w:rPr>
          <w:b/>
        </w:rPr>
        <w:t>Tal como está en la fuente:</w:t>
      </w:r>
      <w:r>
        <w:t xml:space="preserve"> 3. I will speak of that which Mazda Ahura, the all-knowing, revealed to me first in this (earthly) life. Those of you that put not in practice this word as I think and utter it, to them shall be woe at the end of life.</w:t>
      </w:r>
      <w:r>
        <w:br/>
      </w:r>
      <w:r>
        <w:rPr>
          <w:b/>
        </w:rPr>
        <w:t>Traducción guardada:</w:t>
      </w:r>
      <w:r>
        <w:t xml:space="preserve"> traducción propia: Hablaré de lo que Mazda Ahura, el que todo lo sabe, me reveló primero en esta vida (terrena). A los de vosotros que no pongan en práctica esta palabra tal como yo la pienso y la digo, para ellos será la desgracia al final de la vida</w:t>
      </w:r>
      <w:r>
        <w:t>.</w:t>
      </w:r>
    </w:p>
    <w:p>
      <w:r>
        <w:rPr>
          <w:b/>
        </w:rPr>
        <w:t>6. La India</w:t>
      </w:r>
      <w:r>
        <w:t xml:space="preserve"> (la Bhagavad Gita en sánscrito, GRETIL).</w:t>
      </w:r>
    </w:p>
    <w:p>
      <w:pPr>
        <w:pStyle w:val="ListBullet"/>
      </w:pPr>
      <w:r>
        <w:rPr>
          <w:b/>
        </w:rPr>
        <w:t>Lo que se dio.</w:t>
      </w:r>
      <w:r>
        <w:t xml:space="preserve"> «Tu derecho es solo a la acción, nunca a sus frutos»</w:t>
      </w:r>
      <w:r>
        <w:t xml:space="preserve"> [original: «karmaṇy evādhikāras te mā phaleṣu kadācana»]</w:t>
      </w:r>
      <w:r>
        <w:t xml:space="preserve"> (Bhagavad Gita 2.47)</w:t>
      </w:r>
      <w:r>
        <w:br/>
      </w:r>
      <w:r>
        <w:rPr>
          <w:b/>
        </w:rPr>
        <w:t>leída en su fuente · Bhagavad Gita 2.47</w:t>
      </w:r>
      <w:r>
        <w:br/>
      </w:r>
      <w:r>
        <w:rPr>
          <w:b/>
        </w:rPr>
        <w:t>Archivo leído:</w:t>
      </w:r>
      <w:r>
        <w:t xml:space="preserve"> pg2388.txt (c4\bg_sanscrito_gretil_comm.txt) · contraste del archivo de pasajes: ✔</w:t>
      </w:r>
      <w:r>
        <w:br/>
      </w:r>
      <w:r>
        <w:rPr>
          <w:b/>
        </w:rPr>
        <w:t>Lugar:</w:t>
      </w:r>
      <w:r>
        <w:t xml:space="preserve"> 16.19 (sánscrito, GRETIL)</w:t>
      </w:r>
      <w:r>
        <w:br/>
      </w:r>
      <w:r>
        <w:rPr>
          <w:b/>
        </w:rPr>
        <w:t>Tal como está en la fuente:</w:t>
      </w:r>
      <w:r>
        <w:t xml:space="preserve"> karmaṇy evādhikāras te mā phaleṣu kadācana</w:t>
      </w:r>
      <w:r>
        <w:br/>
      </w:r>
      <w:r>
        <w:rPr>
          <w:b/>
        </w:rPr>
        <w:t>Traducción guardada:</w:t>
      </w:r>
      <w:r>
        <w:t xml:space="preserve"> tu derecho está solo en la acción, nunca en sus frutos</w:t>
      </w:r>
      <w:r>
        <w:t>. «Por eso, sin apego, haz siempre la acción que debe hacerse»</w:t>
      </w:r>
      <w:r>
        <w:t xml:space="preserve"> [original: «tasmād asaktaḥ satataṃ kāryaṃ karma samācara»]</w:t>
      </w:r>
      <w:r>
        <w:t xml:space="preserve"> (Bhagavad Gita 3.19)</w:t>
      </w:r>
      <w:r>
        <w:br/>
      </w:r>
      <w:r>
        <w:rPr>
          <w:b/>
        </w:rPr>
        <w:t>leída en su fuente · Bhagavad Gita 3.19</w:t>
      </w:r>
      <w:r>
        <w:br/>
      </w:r>
      <w:r>
        <w:rPr>
          <w:b/>
        </w:rPr>
        <w:t>Archivo leído:</w:t>
      </w:r>
      <w:r>
        <w:t xml:space="preserve"> bg_sanscrito_gretil_comm.txt (c4\bg_sanscrito_gretil_comm.txt) · contraste del archivo de pasajes: ✔</w:t>
      </w:r>
      <w:r>
        <w:br/>
      </w:r>
      <w:r>
        <w:rPr>
          <w:b/>
        </w:rPr>
        <w:t>Lugar:</w:t>
      </w:r>
      <w:r>
        <w:t xml:space="preserve"> Gita 3.19 (verso a)</w:t>
      </w:r>
      <w:r>
        <w:br/>
      </w:r>
      <w:r>
        <w:rPr>
          <w:b/>
        </w:rPr>
        <w:t>Dirección:</w:t>
      </w:r>
      <w:r>
        <w:t xml:space="preserve"> </w:t>
      </w:r>
      <w:r>
        <w:t>https://gretil.sub.uni-goettingen.de/gretil/corpustei/transformations/plaintext/sa_bhagavadgItA-comm.txt</w:t>
      </w:r>
      <w:r>
        <w:br/>
      </w:r>
      <w:r>
        <w:rPr>
          <w:b/>
        </w:rPr>
        <w:t>Tal como está en la fuente:</w:t>
      </w:r>
      <w:r>
        <w:t xml:space="preserve"> tasmād asaktaḥ satataṃ kāryaṃ karma samācara</w:t>
      </w:r>
      <w:r>
        <w:br/>
      </w:r>
      <w:r>
        <w:rPr>
          <w:b/>
        </w:rPr>
        <w:t>Traducción guardada:</w:t>
      </w:r>
      <w:r>
        <w:t xml:space="preserve"> traducción propia: Por eso, sin apego, realiza siempre la acción que debe hacerse.</w:t>
      </w:r>
      <w:r>
        <w:t>. «Lo que hace el mejor, eso mismo hacen los demás; lo que él toma por medida, el mundo lo sigue»</w:t>
      </w:r>
      <w:r>
        <w:t xml:space="preserve"> [original: «yad yad ācarati śreṣṭhas tat tad evetaro janaḥ / sa yat pramāṇaṃ kurute lokas tad anuvartate»]</w:t>
      </w:r>
      <w:r>
        <w:t xml:space="preserve"> (Bhagavad Gita 3.21)</w:t>
      </w:r>
      <w:r>
        <w:br/>
      </w:r>
      <w:r>
        <w:rPr>
          <w:b/>
        </w:rPr>
        <w:t>leída en su fuente · Bhagavad Gita 3.21</w:t>
      </w:r>
      <w:r>
        <w:br/>
      </w:r>
      <w:r>
        <w:rPr>
          <w:b/>
        </w:rPr>
        <w:t>Archivo leído:</w:t>
      </w:r>
      <w:r>
        <w:t xml:space="preserve"> gretil_mbh12.htm (c4\bg_sanscrito_gretil_comm.txt; ant\india\gretil_mbh12.htm) · contraste del archivo de pasajes: ✔</w:t>
      </w:r>
      <w:r>
        <w:br/>
      </w:r>
      <w:r>
        <w:rPr>
          <w:b/>
        </w:rPr>
        <w:t>Lugar:</w:t>
      </w:r>
      <w:r>
        <w:t xml:space="preserve"> Bhagavad Gita 3.21</w:t>
      </w:r>
      <w:r>
        <w:br/>
      </w:r>
      <w:r>
        <w:rPr>
          <w:b/>
        </w:rPr>
        <w:t>Tal como está en la fuente:</w:t>
      </w:r>
      <w:r>
        <w:t xml:space="preserve"> yad yad ācarati śreṣṭhas tat tad evetaro janaḥ / sa yat pramāṇaṃ kurute lokas tad anuvartate</w:t>
      </w:r>
      <w:r>
        <w:t>.</w:t>
      </w:r>
    </w:p>
    <w:p>
      <w:pPr>
        <w:pStyle w:val="ListBullet"/>
      </w:pPr>
      <w:r>
        <w:rPr>
          <w:b/>
        </w:rPr>
        <w:t>Lo que se perdió.</w:t>
      </w:r>
      <w:r>
        <w:t xml:space="preserve"> «Con el largo tiempo, este yoga se perdió aquí, oh azote de enemigos»</w:t>
      </w:r>
      <w:r>
        <w:t xml:space="preserve"> [original: «sa kāleneha mahatā yogo naṣṭaḥ parantapa»]</w:t>
      </w:r>
      <w:r>
        <w:t xml:space="preserve"> (Bhagavad Gita 4.2)</w:t>
      </w:r>
      <w:r>
        <w:br/>
      </w:r>
      <w:r>
        <w:rPr>
          <w:b/>
        </w:rPr>
        <w:t>leída en su fuente · Bhagavad Gita 4.2</w:t>
      </w:r>
      <w:r>
        <w:br/>
      </w:r>
      <w:r>
        <w:rPr>
          <w:b/>
        </w:rPr>
        <w:t>Archivo leído:</w:t>
      </w:r>
      <w:r>
        <w:t xml:space="preserve"> bg_sanscrito_gretil_comm.txt (c4\bg_sanscrito_gretil_comm.txt) · contraste del archivo de pasajes: ✔</w:t>
      </w:r>
      <w:r>
        <w:br/>
      </w:r>
      <w:r>
        <w:rPr>
          <w:b/>
        </w:rPr>
        <w:t>Lugar:</w:t>
      </w:r>
      <w:r>
        <w:t xml:space="preserve"> Gita 4.2 (verso b)</w:t>
      </w:r>
      <w:r>
        <w:br/>
      </w:r>
      <w:r>
        <w:rPr>
          <w:b/>
        </w:rPr>
        <w:t>Dirección:</w:t>
      </w:r>
      <w:r>
        <w:t xml:space="preserve"> </w:t>
      </w:r>
      <w:r>
        <w:t>https://gretil.sub.uni-goettingen.de/gretil/corpustei/transformations/plaintext/sa_bhagavadgItA-comm.txt</w:t>
      </w:r>
      <w:r>
        <w:br/>
      </w:r>
      <w:r>
        <w:rPr>
          <w:b/>
        </w:rPr>
        <w:t>Tal como está en la fuente:</w:t>
      </w:r>
      <w:r>
        <w:t xml:space="preserve"> sa kāleneha mahatā yogo naṣṭaḥ parantapa</w:t>
      </w:r>
      <w:r>
        <w:br/>
      </w:r>
      <w:r>
        <w:rPr>
          <w:b/>
        </w:rPr>
        <w:t>Traducción guardada:</w:t>
      </w:r>
      <w:r>
        <w:t xml:space="preserve"> traducción propia: Con el largo tiempo, este yoga se perdió aquí, azote de enemigos.</w:t>
      </w:r>
      <w:r>
        <w:t>.</w:t>
      </w:r>
    </w:p>
    <w:p>
      <w:pPr>
        <w:pStyle w:val="ListBullet"/>
      </w:pPr>
      <w:r>
        <w:rPr>
          <w:b/>
        </w:rPr>
        <w:t>El camino de vuelta.</w:t>
      </w:r>
      <w:r>
        <w:t xml:space="preserve"> «Ese mismo yoga antiguo es el que hoy te he dicho a ti»</w:t>
      </w:r>
      <w:r>
        <w:t xml:space="preserve"> [original: «sa evāyaṃ mayā te 'dya yogaḥ proktaḥ purātanaḥ»]</w:t>
      </w:r>
      <w:r>
        <w:t xml:space="preserve"> (Bhagavad Gita 4.3)</w:t>
      </w:r>
      <w:r>
        <w:br/>
      </w:r>
      <w:r>
        <w:rPr>
          <w:b/>
        </w:rPr>
        <w:t>leída en su fuente · Bhagavad Gita 4.3</w:t>
      </w:r>
      <w:r>
        <w:br/>
      </w:r>
      <w:r>
        <w:rPr>
          <w:b/>
        </w:rPr>
        <w:t>Archivo leído:</w:t>
      </w:r>
      <w:r>
        <w:t xml:space="preserve"> bg_sanscrito_gretil_comm.txt (c4\bg_sanscrito_gretil_comm.txt) · contraste del archivo de pasajes: ✔</w:t>
      </w:r>
      <w:r>
        <w:br/>
      </w:r>
      <w:r>
        <w:rPr>
          <w:b/>
        </w:rPr>
        <w:t>Lugar:</w:t>
      </w:r>
      <w:r>
        <w:t xml:space="preserve"> Gita 4.3 (verso a)</w:t>
      </w:r>
      <w:r>
        <w:br/>
      </w:r>
      <w:r>
        <w:rPr>
          <w:b/>
        </w:rPr>
        <w:t>Dirección:</w:t>
      </w:r>
      <w:r>
        <w:t xml:space="preserve"> </w:t>
      </w:r>
      <w:r>
        <w:t>https://gretil.sub.uni-goettingen.de/gretil/corpustei/transformations/plaintext/sa_bhagavadgItA-comm.txt</w:t>
      </w:r>
      <w:r>
        <w:br/>
      </w:r>
      <w:r>
        <w:rPr>
          <w:b/>
        </w:rPr>
        <w:t>Tal como está en la fuente:</w:t>
      </w:r>
      <w:r>
        <w:t xml:space="preserve"> sa evāyaṃ mayā te 'dya yogaḥ proktaḥ purātanaḥ</w:t>
      </w:r>
      <w:r>
        <w:br/>
      </w:r>
      <w:r>
        <w:rPr>
          <w:b/>
        </w:rPr>
        <w:t>Traducción guardada:</w:t>
      </w:r>
      <w:r>
        <w:t xml:space="preserve"> traducción propia: Ese mismo yoga antiguo te lo he dicho hoy a ti.</w:t>
      </w:r>
      <w:r>
        <w:t>. «Siempre que decae el dharma, oh Bhárata, y se alza lo contrario al dharma, entonces me creo a mí mismo. Para proteger a los buenos y destruir a los malhechores, para restablecer el dharma, nazco de era en era»</w:t>
      </w:r>
      <w:r>
        <w:t xml:space="preserve"> [original: «yadā yadā hi dharmasya glānir bhavati bhārata / abhyutthānam adharmasya tadātmānaṃ sṛjāmy aham / paritrāṇāya sādhūnāṃ vināśāya ca duṣkṛtām / dharma-saṃsthāpanārthāya saṃbhavāmi yuge yuge»]</w:t>
      </w:r>
      <w:r>
        <w:t xml:space="preserve"> (Bhagavad Gita 4.7-8)</w:t>
      </w:r>
      <w:r>
        <w:br/>
      </w:r>
      <w:r>
        <w:rPr>
          <w:b/>
        </w:rPr>
        <w:t>pasaje guardado · Bhagavad Gita 4.7-8</w:t>
      </w:r>
      <w:r>
        <w:br/>
      </w:r>
      <w:r>
        <w:rPr>
          <w:b/>
        </w:rPr>
        <w:t>Archivo leído:</w:t>
      </w:r>
      <w:r>
        <w:t xml:space="preserve"> bg_sanscrito_gretil_comm.txt (c4\bg_sanscrito_gretil_comm.txt) · contraste del archivo de pasajes: parcial</w:t>
      </w:r>
      <w:r>
        <w:br/>
      </w:r>
      <w:r>
        <w:rPr>
          <w:b/>
        </w:rPr>
        <w:t>Lugar:</w:t>
      </w:r>
      <w:r>
        <w:t xml:space="preserve"> Bhagavad Gita 4.7-8</w:t>
      </w:r>
      <w:r>
        <w:br/>
      </w:r>
      <w:r>
        <w:rPr>
          <w:b/>
        </w:rPr>
        <w:t>Tal como está en la fuente:</w:t>
      </w:r>
      <w:r>
        <w:t xml:space="preserve"> yadā yadā hi dharmasya glānir bhavati bhārata / abhyutthānam adharmasya tadātmānaṃ sṛjāmy aham / paritrāṇāya sādhūnāṃ vināśāya ca duṣkṛtām / dharma-saṃsthāpanārthāya saṃbhavāmi yuge yuge</w:t>
      </w:r>
      <w:r>
        <w:t>.</w:t>
      </w:r>
    </w:p>
    <w:p>
      <w:r>
        <w:rPr>
          <w:b/>
        </w:rPr>
        <w:t>7. El budismo</w:t>
      </w:r>
      <w:r>
        <w:t xml:space="preserve"> (el Dhammapada, en la traducción inglesa de Max Müller).</w:t>
      </w:r>
    </w:p>
    <w:p>
      <w:pPr>
        <w:pStyle w:val="ListBullet"/>
      </w:pPr>
      <w:r>
        <w:rPr>
          <w:b/>
        </w:rPr>
        <w:t>Lo que se dio.</w:t>
      </w:r>
      <w:r>
        <w:t xml:space="preserve"> «No cometer ningún pecado, hacer el bien y purificar la propia mente: esa es la enseñanza de [todos] los Despiertos»</w:t>
      </w:r>
      <w:r>
        <w:t xml:space="preserve"> [original: «Not to commit any sin, to do good, and to purify one's mind, that is the teaching of (all) the Awakened.», en la traducción inglesa de Max Müller]</w:t>
      </w:r>
      <w:r>
        <w:t xml:space="preserve"> (Dhammapada 183)</w:t>
      </w:r>
      <w:r>
        <w:br/>
      </w:r>
      <w:r>
        <w:rPr>
          <w:b/>
        </w:rPr>
        <w:t>leída en su fuente · Dhammapada 183</w:t>
      </w:r>
      <w:r>
        <w:br/>
      </w:r>
      <w:r>
        <w:rPr>
          <w:b/>
        </w:rPr>
        <w:t>Archivo leído:</w:t>
      </w:r>
      <w:r>
        <w:t xml:space="preserve"> dhammapada_sbe10_cap14_the_buddha.htm.txt (reglas_del_juego_12oct\originales\dhammapada_sbe10_cap14_the_buddha.htm.txt) · contraste del archivo de pasajes: ✔</w:t>
      </w:r>
      <w:r>
        <w:br/>
      </w:r>
      <w:r>
        <w:rPr>
          <w:b/>
        </w:rPr>
        <w:t>Lugar:</w:t>
      </w:r>
      <w:r>
        <w:t xml:space="preserve"> Dhammapada 183</w:t>
      </w:r>
      <w:r>
        <w:br/>
      </w:r>
      <w:r>
        <w:rPr>
          <w:b/>
        </w:rPr>
        <w:t>Dirección:</w:t>
      </w:r>
      <w:r>
        <w:t xml:space="preserve"> </w:t>
      </w:r>
      <w:r>
        <w:t>https://sacred-texts.com/book/the-dhammapada-and-the-sutta-nipata/chapter-xiv-the-buddha-the-awakened</w:t>
      </w:r>
      <w:r>
        <w:br/>
      </w:r>
      <w:r>
        <w:rPr>
          <w:b/>
        </w:rPr>
        <w:t>Tal como está en la fuente:</w:t>
      </w:r>
      <w:r>
        <w:t xml:space="preserve"> Not to commit any sin, to do good, and to purify one's mind, that is the teaching of (all) the Awakened.</w:t>
      </w:r>
      <w:r>
        <w:br/>
      </w:r>
      <w:r>
        <w:rPr>
          <w:b/>
        </w:rPr>
        <w:t>Traducción guardada:</w:t>
      </w:r>
      <w:r>
        <w:t xml:space="preserve"> traducción propia: No cometer pecado alguno, hacer el bien y purificar la propia mente: esa es la enseñanza de [todos] los Despiertos.</w:t>
      </w:r>
      <w:r>
        <w:t>. «Todo lo que somos es resultado de lo que hemos pensado: se funda en nuestros pensamientos, está hecho de nuestros pensamientos»</w:t>
      </w:r>
      <w:r>
        <w:t xml:space="preserve"> [original: «All that we are is the result of what we have thought: it is founded on our thoughts, it is made up of our thoughts.», en la traducción inglesa de Max Müller]</w:t>
      </w:r>
      <w:r>
        <w:t xml:space="preserve"> (Dhammapada 1)</w:t>
      </w:r>
      <w:r>
        <w:br/>
      </w:r>
      <w:r>
        <w:rPr>
          <w:b/>
        </w:rPr>
        <w:t>leída en su fuente · Dhammapada 1</w:t>
      </w:r>
      <w:r>
        <w:br/>
      </w:r>
      <w:r>
        <w:rPr>
          <w:b/>
        </w:rPr>
        <w:t>Archivo leído:</w:t>
      </w:r>
      <w:r>
        <w:t xml:space="preserve"> dhammapada_sbe10_cap01_twin_verses.htm.txt (reglas_del_juego_12oct\originales\dhammapada_sbe10_cap01_twin_verses.htm.txt) · contraste del archivo de pasajes: ✔</w:t>
      </w:r>
      <w:r>
        <w:br/>
      </w:r>
      <w:r>
        <w:rPr>
          <w:b/>
        </w:rPr>
        <w:t>Lugar:</w:t>
      </w:r>
      <w:r>
        <w:t xml:space="preserve"> Dhammapada 1</w:t>
      </w:r>
      <w:r>
        <w:br/>
      </w:r>
      <w:r>
        <w:rPr>
          <w:b/>
        </w:rPr>
        <w:t>Dirección:</w:t>
      </w:r>
      <w:r>
        <w:t xml:space="preserve"> </w:t>
      </w:r>
      <w:r>
        <w:t>https://sacred-texts.com/book/the-dhammapada-and-the-sutta-nipata/chapter-i-the-twin-verses</w:t>
      </w:r>
      <w:r>
        <w:br/>
      </w:r>
      <w:r>
        <w:rPr>
          <w:b/>
        </w:rPr>
        <w:t>Tal como está en la fuente:</w:t>
      </w:r>
      <w:r>
        <w:t xml:space="preserve"> All that we are is the result of what we have thought: it is founded on our thoughts, it is made up of our thoughts.</w:t>
      </w:r>
      <w:r>
        <w:br/>
      </w:r>
      <w:r>
        <w:rPr>
          <w:b/>
        </w:rPr>
        <w:t>Traducción guardada:</w:t>
      </w:r>
      <w:r>
        <w:t xml:space="preserve"> traducción propia: Todo lo que somos es resultado de lo que hemos pensado: se funda en nuestros pensamientos, está hecho de nuestros pensamientos.</w:t>
      </w:r>
      <w:r>
        <w:t>. «Si un hombre habla u obra con un pensamiento malo, el dolor lo sigue, como la rueda sigue la pata del buey que tira del carro»</w:t>
      </w:r>
      <w:r>
        <w:t xml:space="preserve"> [original: «If a man speaks or acts with an evil thought, pain follows him, as the wheel follows the foot of the ox that draws the carriage.», en la traducción inglesa de Max Müller]</w:t>
      </w:r>
      <w:r>
        <w:t xml:space="preserve"> (Dhammapada 1)</w:t>
      </w:r>
      <w:r>
        <w:br/>
      </w:r>
      <w:r>
        <w:rPr>
          <w:b/>
        </w:rPr>
        <w:t>leída en su fuente · Dhammapada 1</w:t>
      </w:r>
      <w:r>
        <w:br/>
      </w:r>
      <w:r>
        <w:rPr>
          <w:b/>
        </w:rPr>
        <w:t>Archivo leído:</w:t>
      </w:r>
      <w:r>
        <w:t xml:space="preserve"> dhammapada_muller_gutenberg_2017.txt (c9h\dhammapada_muller_gutenberg_2017.txt) · contraste del archivo de pasajes: ✔</w:t>
      </w:r>
      <w:r>
        <w:br/>
      </w:r>
      <w:r>
        <w:rPr>
          <w:b/>
        </w:rPr>
        <w:t>Lugar:</w:t>
      </w:r>
      <w:r>
        <w:t xml:space="preserve"> Dhammapada 1 (Müller)</w:t>
      </w:r>
      <w:r>
        <w:br/>
      </w:r>
      <w:r>
        <w:rPr>
          <w:b/>
        </w:rPr>
        <w:t>Tal como está en la fuente:</w:t>
      </w:r>
      <w:r>
        <w:t xml:space="preserve"> All that we are is the result of what we have thought: it is founded on our thoughts, it is made up of our thoughts. If a man speaks or acts with an evil thought, pain follows him, as the wheel follows the foot of the ox that draws the carriage.</w:t>
      </w:r>
      <w:r>
        <w:br/>
      </w:r>
      <w:r>
        <w:rPr>
          <w:b/>
        </w:rPr>
        <w:t>Traducción guardada:</w:t>
      </w:r>
      <w:r>
        <w:t xml:space="preserve"> traducción propia: Todo lo que somos es el resultado de lo que hemos pensado: se funda en nuestros pensamientos, está hecho de nuestros pensamientos. Si un hombre habla u obra con un pensamiento malo, el dolor le sigue como la rueda sigue la pata del buey que tira del carro.</w:t>
      </w:r>
      <w:r>
        <w:t>. «Si un hombre habla u obra con un pensamiento puro, la felicidad lo sigue, como una sombra que nunca lo deja»</w:t>
      </w:r>
      <w:r>
        <w:t xml:space="preserve"> [original: «If a man speaks or acts with a pure thought, happiness follows him, like a shadow that never leaves him.», en la traducción inglesa de Max Müller]</w:t>
      </w:r>
      <w:r>
        <w:t xml:space="preserve"> (Dhammapada 2)</w:t>
      </w:r>
      <w:r>
        <w:br/>
      </w:r>
      <w:r>
        <w:rPr>
          <w:b/>
        </w:rPr>
        <w:t>leída en su fuente · Dhammapada 2</w:t>
      </w:r>
      <w:r>
        <w:br/>
      </w:r>
      <w:r>
        <w:rPr>
          <w:b/>
        </w:rPr>
        <w:t>Archivo leído:</w:t>
      </w:r>
      <w:r>
        <w:t xml:space="preserve"> dhammapada_muller_gutenberg_2017.txt (c9h\dhammapada_muller_gutenberg_2017.txt) · contraste del archivo de pasajes: ✔</w:t>
      </w:r>
      <w:r>
        <w:br/>
      </w:r>
      <w:r>
        <w:rPr>
          <w:b/>
        </w:rPr>
        <w:t>Lugar:</w:t>
      </w:r>
      <w:r>
        <w:t xml:space="preserve"> Dhammapada 2 (Müller)</w:t>
      </w:r>
      <w:r>
        <w:br/>
      </w:r>
      <w:r>
        <w:rPr>
          <w:b/>
        </w:rPr>
        <w:t>Tal como está en la fuente:</w:t>
      </w:r>
      <w:r>
        <w:t xml:space="preserve"> All that we are is the result of what we have thought: it is founded on our thoughts, it is made up of our thoughts. If a man speaks or acts with a pure thought, happiness follows him, like a shadow that never leaves him.</w:t>
      </w:r>
      <w:r>
        <w:br/>
      </w:r>
      <w:r>
        <w:rPr>
          <w:b/>
        </w:rPr>
        <w:t>Traducción guardada:</w:t>
      </w:r>
      <w:r>
        <w:t xml:space="preserve"> traducción propia: […] Si un hombre habla u obra con un pensamiento puro, la felicidad le sigue como una sombra que nunca le deja.</w:t>
      </w:r>
      <w:r>
        <w:t>.</w:t>
      </w:r>
    </w:p>
    <w:p>
      <w:pPr>
        <w:pStyle w:val="ListBullet"/>
      </w:pPr>
      <w:r>
        <w:rPr>
          <w:b/>
        </w:rPr>
        <w:t>Lo que se perdió.</w:t>
      </w:r>
      <w:r>
        <w:t xml:space="preserve"> En lo leído, no se cuenta una pérdida; sí la atadura de Mara, de la que se libra quien entra en el camino (Dhammapada 276, abajo).</w:t>
      </w:r>
    </w:p>
    <w:p>
      <w:pPr>
        <w:pStyle w:val="ListBullet"/>
      </w:pPr>
      <w:r>
        <w:rPr>
          <w:b/>
        </w:rPr>
        <w:t>El camino de vuelta.</w:t>
      </w:r>
      <w:r>
        <w:t xml:space="preserve"> «Este es el camino; no hay otro que lleve a purificar la inteligencia»</w:t>
      </w:r>
      <w:r>
        <w:t xml:space="preserve"> [original: «This is the way, there is no other that leads to the purifying of intelligence.», en la traducción inglesa de Max Müller]</w:t>
      </w:r>
      <w:r>
        <w:t xml:space="preserve"> (Dhammapada 274)</w:t>
      </w:r>
      <w:r>
        <w:br/>
      </w:r>
      <w:r>
        <w:rPr>
          <w:b/>
        </w:rPr>
        <w:t>leída en su fuente · Dhammapada 274</w:t>
      </w:r>
      <w:r>
        <w:br/>
      </w:r>
      <w:r>
        <w:rPr>
          <w:b/>
        </w:rPr>
        <w:t>Archivo leído:</w:t>
      </w:r>
      <w:r>
        <w:t xml:space="preserve"> dhammapada_sbe10_cap20_the_way.htm.txt (reglas_del_juego_12oct\originales\dhammapada_sbe10_cap20_the_way.htm.txt) · contraste del archivo de pasajes: ✔</w:t>
      </w:r>
      <w:r>
        <w:br/>
      </w:r>
      <w:r>
        <w:rPr>
          <w:b/>
        </w:rPr>
        <w:t>Lugar:</w:t>
      </w:r>
      <w:r>
        <w:t xml:space="preserve"> Dhammapada 274</w:t>
      </w:r>
      <w:r>
        <w:br/>
      </w:r>
      <w:r>
        <w:rPr>
          <w:b/>
        </w:rPr>
        <w:t>Dirección:</w:t>
      </w:r>
      <w:r>
        <w:t xml:space="preserve"> </w:t>
      </w:r>
      <w:r>
        <w:t>https://sacred-texts.com/book/the-dhammapada-and-the-sutta-nipata/chapter-xx-the-way</w:t>
      </w:r>
      <w:r>
        <w:br/>
      </w:r>
      <w:r>
        <w:rPr>
          <w:b/>
        </w:rPr>
        <w:t>Tal como está en la fuente:</w:t>
      </w:r>
      <w:r>
        <w:t xml:space="preserve"> This is the way, there is no other that leads to the purifying of intelligence.</w:t>
      </w:r>
      <w:r>
        <w:br/>
      </w:r>
      <w:r>
        <w:rPr>
          <w:b/>
        </w:rPr>
        <w:t>Traducción guardada:</w:t>
      </w:r>
      <w:r>
        <w:t xml:space="preserve"> traducción propia: Este es el camino; no hay otro que lleve a la purificación de la inteligencia.</w:t>
      </w:r>
      <w:r>
        <w:t>. «Tú mismo has de esforzarte. Los Tathagatas [los Budas] son solo predicadores. Los reflexivos que entran en el camino se libran de la atadura de Mara»</w:t>
      </w:r>
      <w:r>
        <w:t xml:space="preserve"> [original: «You yourself must make an effort. The Tathâgatas (Buddhas) are only preachers. The thoughtful who enter the way are freed from the bondage of Mâra.», en la traducción inglesa de Max Müller]</w:t>
      </w:r>
      <w:r>
        <w:t xml:space="preserve"> (Dhammapada 276)</w:t>
      </w:r>
      <w:r>
        <w:br/>
      </w:r>
      <w:r>
        <w:rPr>
          <w:b/>
        </w:rPr>
        <w:t>leída en su fuente · Dhammapada 276</w:t>
      </w:r>
      <w:r>
        <w:br/>
      </w:r>
      <w:r>
        <w:rPr>
          <w:b/>
        </w:rPr>
        <w:t>Archivo leído:</w:t>
      </w:r>
      <w:r>
        <w:t xml:space="preserve"> suttacentral_dhammapada_pali_ms.json (c9h\dhammapada_muller_gutenberg_2017.txt) · contraste del archivo de pasajes: ✔</w:t>
      </w:r>
      <w:r>
        <w:br/>
      </w:r>
      <w:r>
        <w:rPr>
          <w:b/>
        </w:rPr>
        <w:t>Lugar:</w:t>
      </w:r>
      <w:r>
        <w:t xml:space="preserve"> Dhammapada 276 (Müller)</w:t>
      </w:r>
      <w:r>
        <w:br/>
      </w:r>
      <w:r>
        <w:rPr>
          <w:b/>
        </w:rPr>
        <w:t>Tal como está en la fuente:</w:t>
      </w:r>
      <w:r>
        <w:t xml:space="preserve"> You yourself must make an effort. The Tathagatas (Buddhas) are only preachers. The thoughtful who enter the way are freed from the bondage of Mara.</w:t>
      </w:r>
      <w:r>
        <w:t>.</w:t>
      </w:r>
    </w:p>
    <w:p>
      <w:r>
        <w:rPr>
          <w:b/>
        </w:rPr>
        <w:t>8. China</w:t>
      </w:r>
      <w:r>
        <w:t xml:space="preserve"> (el Daodejing, las Analectas y Mencio, en la traducción inglesa de Legge; el chino de las Analectas y de Mencio, de Wikisource).</w:t>
      </w:r>
    </w:p>
    <w:p>
      <w:pPr>
        <w:pStyle w:val="ListBullet"/>
      </w:pPr>
      <w:r>
        <w:rPr>
          <w:b/>
        </w:rPr>
        <w:t>Lo que se dio.</w:t>
      </w:r>
      <w:r>
        <w:t xml:space="preserve"> «La benevolencia es la mente del hombre, y la justicia es su camino»</w:t>
      </w:r>
      <w:r>
        <w:t xml:space="preserve"> [original: «Benevolence is man's mind, and righteousness is man's path.», en la traducción inglesa de Legge]</w:t>
      </w:r>
      <w:r>
        <w:t xml:space="preserve"> (Mencio 6A11)</w:t>
      </w:r>
      <w:r>
        <w:br/>
      </w:r>
      <w:r>
        <w:rPr>
          <w:b/>
        </w:rPr>
        <w:t>leída en su fuente · Mencio 6A11</w:t>
      </w:r>
      <w:r>
        <w:br/>
      </w:r>
      <w:r>
        <w:rPr>
          <w:b/>
        </w:rPr>
        <w:t>Archivo leído:</w:t>
      </w:r>
      <w:r>
        <w:t xml:space="preserve"> chapter11.txt (reglas_del_juego_12oct\mencio_legge_wikisource\chapter11.txt) · contraste del archivo de pasajes: ✔</w:t>
      </w:r>
      <w:r>
        <w:br/>
      </w:r>
      <w:r>
        <w:rPr>
          <w:b/>
        </w:rPr>
        <w:t>Lugar:</w:t>
      </w:r>
      <w:r>
        <w:t xml:space="preserve"> Mencio VI, 1, 11 (Legge)</w:t>
      </w:r>
      <w:r>
        <w:br/>
      </w:r>
      <w:r>
        <w:rPr>
          <w:b/>
        </w:rPr>
        <w:t>Tal como está en la fuente:</w:t>
      </w:r>
      <w:r>
        <w:t xml:space="preserve"> Mencius said, 'Benevolence is man's mind, and righteousness is man's path. How lamentable is it to neglect the path and not pursue it, to lose this mind and not know to seek it again! When men's fowls and dogs are lost, they know to seek for them again, but they lose their mind, and do not know to seek for it. The great end of learning is nothing else but to seek for the lost mind.'</w:t>
      </w:r>
      <w:r>
        <w:br/>
      </w:r>
      <w:r>
        <w:rPr>
          <w:b/>
        </w:rPr>
        <w:t>Traducción guardada:</w:t>
      </w:r>
      <w:r>
        <w:t xml:space="preserve"> traducción propia: Mencio dijo: La benevolencia es la mente del hombre, y la rectitud es el camino del hombre. ¡Qué lástima descuidar el camino y no seguirlo, perder esa mente y no saber buscarla de nuevo! Cuando a los hombres se les pierden las gallinas y los perros, saben buscarlos; pero pierden su mente y no saben buscarla. El gran fin del aprendizaje no es otro que buscar la mente perdida.</w:t>
      </w:r>
      <w:r>
        <w:t>.</w:t>
      </w:r>
    </w:p>
    <w:p>
      <w:pPr>
        <w:pStyle w:val="ListBullet"/>
      </w:pPr>
      <w:r>
        <w:rPr>
          <w:b/>
        </w:rPr>
        <w:t>Lo que se perdió.</w:t>
      </w:r>
      <w:r>
        <w:t xml:space="preserve"> «Cuando dejó de observarse el Gran Tao (el Camino o Método), entraron en uso la benevolencia y la justicia. (Entonces) aparecieron la sabiduría y la astucia, y vino una gran hipocresía»</w:t>
      </w:r>
      <w:r>
        <w:t xml:space="preserve"> [original: «When the Great Tâo (Way or Method) ceased to be observed, benevolence and righteousness came into vogue. (Then) appeared wisdom and shrewdness, and there ensued great hypocrisy.», en la traducción inglesa de Legge]</w:t>
      </w:r>
      <w:r>
        <w:t xml:space="preserve"> (Daodejing 18)</w:t>
      </w:r>
      <w:r>
        <w:br/>
      </w:r>
      <w:r>
        <w:rPr>
          <w:b/>
        </w:rPr>
        <w:t>leída en su fuente · Daodejing 18</w:t>
      </w:r>
      <w:r>
        <w:br/>
      </w:r>
      <w:r>
        <w:rPr>
          <w:b/>
        </w:rPr>
        <w:t>Archivo leído:</w:t>
      </w:r>
      <w:r>
        <w:t xml:space="preserve"> sbe39025.htm.txt (reglas_del_juego_12oct\taoismo_legge_sacredtexts\sbe39025.htm.txt) · contraste del archivo de pasajes: ✔</w:t>
      </w:r>
      <w:r>
        <w:br/>
      </w:r>
      <w:r>
        <w:rPr>
          <w:b/>
        </w:rPr>
        <w:t>Lugar:</w:t>
      </w:r>
      <w:r>
        <w:t xml:space="preserve"> Tao Te Ching 18.1</w:t>
      </w:r>
      <w:r>
        <w:br/>
      </w:r>
      <w:r>
        <w:rPr>
          <w:b/>
        </w:rPr>
        <w:t>Dirección:</w:t>
      </w:r>
      <w:r>
        <w:t xml:space="preserve"> </w:t>
      </w:r>
      <w:r>
        <w:t>https://www.sacred-texts.com/tao/sbe39/sbe39025.htm</w:t>
      </w:r>
      <w:r>
        <w:br/>
      </w:r>
      <w:r>
        <w:rPr>
          <w:b/>
        </w:rPr>
        <w:t>Tal como está en la fuente:</w:t>
      </w:r>
      <w:r>
        <w:t xml:space="preserve"> When the Great Tâo (Way or Method) ceased to be observed, benevolence and righteousness came into vogue. (Then) appeared wisdom and shrewdness, and there ensued great hypocrisy.</w:t>
      </w:r>
      <w:r>
        <w:br/>
      </w:r>
      <w:r>
        <w:rPr>
          <w:b/>
        </w:rPr>
        <w:t>Traducción guardada:</w:t>
      </w:r>
      <w:r>
        <w:t xml:space="preserve"> traducción propia: Cuando se dejó de observar el Gran Tao [Camino o Método], entraron en uso la benevolencia y la justicia. [Entonces] aparecieron la sabiduría y la astucia, y sobrevino una gran hipocresía.</w:t>
      </w:r>
      <w:r>
        <w:t>. «Así fue como, cuando se perdió el Tao, aparecieron sus atributos; cuando se perdieron sus atributos, apareció la benevolencia; cuando se perdió la benevolencia, apareció la justicia; y cuando se perdió la justicia, aparecieron las formas de corrección»</w:t>
      </w:r>
      <w:r>
        <w:t xml:space="preserve"> [original: «Thus it was that when the Tâo was lost, its attributes appeared; when its attributes were lost, benevolence appeared; when benevolence was lost, righteousness appeared; and when righteousness was lost, the proprieties appeared.», en la traducción inglesa de Legge]</w:t>
      </w:r>
      <w:r>
        <w:t xml:space="preserve"> (Daodejing 38)</w:t>
      </w:r>
      <w:r>
        <w:br/>
      </w:r>
      <w:r>
        <w:rPr>
          <w:b/>
        </w:rPr>
        <w:t>leída en su fuente · Daodejing 38</w:t>
      </w:r>
      <w:r>
        <w:br/>
      </w:r>
      <w:r>
        <w:rPr>
          <w:b/>
        </w:rPr>
        <w:t>Archivo leído:</w:t>
      </w:r>
      <w:r>
        <w:t xml:space="preserve"> sbe39045.htm.txt (cierre_B3_B4_9oct\taoismo_legge_sacredtexts\sbe39045.htm.txt) · contraste del archivo de pasajes: ✔</w:t>
      </w:r>
      <w:r>
        <w:br/>
      </w:r>
      <w:r>
        <w:rPr>
          <w:b/>
        </w:rPr>
        <w:t>Lugar:</w:t>
      </w:r>
      <w:r>
        <w:t xml:space="preserve"> Tao Te Ching 38.5</w:t>
      </w:r>
      <w:r>
        <w:br/>
      </w:r>
      <w:r>
        <w:rPr>
          <w:b/>
        </w:rPr>
        <w:t>Dirección:</w:t>
      </w:r>
      <w:r>
        <w:t xml:space="preserve"> </w:t>
      </w:r>
      <w:r>
        <w:t>https://www.sacred-texts.com/tao/sbe39/sbe39045.htm</w:t>
      </w:r>
      <w:r>
        <w:br/>
      </w:r>
      <w:r>
        <w:rPr>
          <w:b/>
        </w:rPr>
        <w:t>Tal como está en la fuente:</w:t>
      </w:r>
      <w:r>
        <w:t xml:space="preserve"> Thus it was that when the Tâo was lost, its attributes appeared; when its attributes were lost, benevolence appeared; when benevolence was lost, righteousness appeared; and when righteousness was lost, the proprieties appeared.</w:t>
      </w:r>
      <w:r>
        <w:br/>
      </w:r>
      <w:r>
        <w:rPr>
          <w:b/>
        </w:rPr>
        <w:t>Traducción guardada:</w:t>
      </w:r>
      <w:r>
        <w:t xml:space="preserve"> traducción propia: Así, cuando se perdió el Tao, aparecieron sus atributos; cuando se perdieron sus atributos, apareció la benevolencia; cuando se perdió la benevolencia, apareció la justicia; y cuando se perdió la justicia, aparecieron las formas de corrección [los ritos].</w:t>
      </w:r>
      <w:r>
        <w:t>. «Ahora bien, la corrección es la forma debilitada de la lealtad del corazón y de la buena fe, y es también el comienzo del desorden»</w:t>
      </w:r>
      <w:r>
        <w:t xml:space="preserve"> [original: «Now propriety is the attenuated form of leal-heartedness and good faith, and is also the commencement of disorder», en la traducción inglesa de Legge]</w:t>
      </w:r>
      <w:r>
        <w:t xml:space="preserve"> (Daodejing 38)</w:t>
      </w:r>
      <w:r>
        <w:br/>
      </w:r>
      <w:r>
        <w:rPr>
          <w:b/>
        </w:rPr>
        <w:t>leída en su fuente · Daodejing 38</w:t>
      </w:r>
      <w:r>
        <w:br/>
      </w:r>
      <w:r>
        <w:rPr>
          <w:b/>
        </w:rPr>
        <w:t>Archivo leído:</w:t>
      </w:r>
      <w:r>
        <w:t xml:space="preserve"> sbe39045.htm.txt (cierre_B3_B4_9oct\taoismo_legge_sacredtexts\sbe39045.htm.txt) · contraste del archivo de pasajes: ✔</w:t>
      </w:r>
      <w:r>
        <w:br/>
      </w:r>
      <w:r>
        <w:rPr>
          <w:b/>
        </w:rPr>
        <w:t>Lugar:</w:t>
      </w:r>
      <w:r>
        <w:t xml:space="preserve"> Tao Te Ching 38.6</w:t>
      </w:r>
      <w:r>
        <w:br/>
      </w:r>
      <w:r>
        <w:rPr>
          <w:b/>
        </w:rPr>
        <w:t>Dirección:</w:t>
      </w:r>
      <w:r>
        <w:t xml:space="preserve"> </w:t>
      </w:r>
      <w:r>
        <w:t>https://www.sacred-texts.com/tao/sbe39/sbe39045.htm</w:t>
      </w:r>
      <w:r>
        <w:br/>
      </w:r>
      <w:r>
        <w:rPr>
          <w:b/>
        </w:rPr>
        <w:t>Tal como está en la fuente:</w:t>
      </w:r>
      <w:r>
        <w:t xml:space="preserve"> Now propriety is the attenuated form of leal-heartedness and good faith, and is also the commencement of disorder;</w:t>
      </w:r>
      <w:r>
        <w:br/>
      </w:r>
      <w:r>
        <w:rPr>
          <w:b/>
        </w:rPr>
        <w:t>Traducción guardada:</w:t>
      </w:r>
      <w:r>
        <w:t xml:space="preserve"> traducción propia: Ahora bien, la corrección es la forma atenuada de la lealtad de corazón y de la buena fe, y es también el comienzo del desorden;</w:t>
      </w:r>
      <w:r>
        <w:t>. «¡Qué lástima dejar el camino y no seguirlo, perder esta mente y no saber buscarla de nuevo!»</w:t>
      </w:r>
      <w:r>
        <w:t xml:space="preserve"> [original: «How lamentable is it to neglect the path and not pursue it, to lose this mind and not know to seek it again!», en la traducción inglesa de Legge]</w:t>
      </w:r>
      <w:r>
        <w:t xml:space="preserve"> (Mencio 6A11)</w:t>
      </w:r>
      <w:r>
        <w:br/>
      </w:r>
      <w:r>
        <w:rPr>
          <w:b/>
        </w:rPr>
        <w:t>leída en su fuente · Mencio 6A11</w:t>
      </w:r>
      <w:r>
        <w:br/>
      </w:r>
      <w:r>
        <w:rPr>
          <w:b/>
        </w:rPr>
        <w:t>Archivo leído:</w:t>
      </w:r>
      <w:r>
        <w:t xml:space="preserve"> chapter11.txt (reglas_del_juego_12oct\mencio_legge_wikisource\chapter11.txt) · contraste del archivo de pasajes: ✔</w:t>
      </w:r>
      <w:r>
        <w:br/>
      </w:r>
      <w:r>
        <w:rPr>
          <w:b/>
        </w:rPr>
        <w:t>Lugar:</w:t>
      </w:r>
      <w:r>
        <w:t xml:space="preserve"> Mencio VI, 1, 11 (Legge)</w:t>
      </w:r>
      <w:r>
        <w:br/>
      </w:r>
      <w:r>
        <w:rPr>
          <w:b/>
        </w:rPr>
        <w:t>Tal como está en la fuente:</w:t>
      </w:r>
      <w:r>
        <w:t xml:space="preserve"> Mencius said, 'Benevolence is man's mind, and righteousness is man's path. How lamentable is it to neglect the path and not pursue it, to lose this mind and not know to seek it again! When men's fowls and dogs are lost, they know to seek for them again, but they lose their mind, and do not know to seek for it. The great end of learning is nothing else but to seek for the lost mind.'</w:t>
      </w:r>
      <w:r>
        <w:br/>
      </w:r>
      <w:r>
        <w:rPr>
          <w:b/>
        </w:rPr>
        <w:t>Traducción guardada:</w:t>
      </w:r>
      <w:r>
        <w:t xml:space="preserve"> traducción propia: Mencio dijo: La benevolencia es la mente del hombre, y la rectitud es el camino del hombre. ¡Qué lástima descuidar el camino y no seguirlo, perder esa mente y no saber buscarla de nuevo! Cuando a los hombres se les pierden las gallinas y los perros, saben buscarlos; pero pierden su mente y no saben buscarla. El gran fin del aprendizaje no es otro que buscar la mente perdida.</w:t>
      </w:r>
      <w:r>
        <w:t>.</w:t>
      </w:r>
    </w:p>
    <w:p>
      <w:pPr>
        <w:pStyle w:val="ListBullet"/>
      </w:pPr>
      <w:r>
        <w:rPr>
          <w:b/>
        </w:rPr>
        <w:t>El camino de vuelta.</w:t>
      </w:r>
      <w:r>
        <w:t xml:space="preserve"> «El gran fin del aprender no es otro que buscar la mente perdida»</w:t>
      </w:r>
      <w:r>
        <w:t xml:space="preserve"> [original: «學問之道無他，求其放心而已矣»; en la traducción inglesa de Legge: «The great end of learning is nothing else but to seek for the lost mind.»]</w:t>
      </w:r>
      <w:r>
        <w:t xml:space="preserve"> (Mencio 6A11)</w:t>
      </w:r>
      <w:r>
        <w:br/>
      </w:r>
      <w:r>
        <w:rPr>
          <w:b/>
        </w:rPr>
        <w:t>leída en su fuente · Mencio 6A11</w:t>
      </w:r>
      <w:r>
        <w:br/>
      </w:r>
      <w:r>
        <w:rPr>
          <w:b/>
        </w:rPr>
        <w:t>Archivo leído:</w:t>
      </w:r>
      <w:r>
        <w:t xml:space="preserve"> chapter11.txt (reglas_del_juego_12oct\mencio_legge_wikisource\chapter11.txt) · contraste del archivo de pasajes: ✔</w:t>
      </w:r>
      <w:r>
        <w:br/>
      </w:r>
      <w:r>
        <w:rPr>
          <w:b/>
        </w:rPr>
        <w:t>Lugar:</w:t>
      </w:r>
      <w:r>
        <w:t xml:space="preserve"> Mencio VI, 1, 11 (Legge)</w:t>
      </w:r>
      <w:r>
        <w:br/>
      </w:r>
      <w:r>
        <w:rPr>
          <w:b/>
        </w:rPr>
        <w:t>Tal como está en la fuente:</w:t>
      </w:r>
      <w:r>
        <w:t xml:space="preserve"> Mencius said, 'Benevolence is man's mind, and righteousness is man's path. How lamentable is it to neglect the path and not pursue it, to lose this mind and not know to seek it again! When men's fowls and dogs are lost, they know to seek for them again, but they lose their mind, and do not know to seek for it. The great end of learning is nothing else but to seek for the lost mind.'</w:t>
      </w:r>
      <w:r>
        <w:br/>
      </w:r>
      <w:r>
        <w:rPr>
          <w:b/>
        </w:rPr>
        <w:t>Traducción guardada:</w:t>
      </w:r>
      <w:r>
        <w:t xml:space="preserve"> traducción propia: Mencio dijo: La benevolencia es la mente del hombre, y la rectitud es el camino del hombre. ¡Qué lástima descuidar el camino y no seguirlo, perder esa mente y no saber buscarla de nuevo! Cuando a los hombres se les pierden las gallinas y los perros, saben buscarlos; pero pierden su mente y no saben buscarla. El gran fin del aprendizaje no es otro que buscar la mente perdida.</w:t>
      </w:r>
      <w:r>
        <w:t>. «Si un hombre oye por la mañana el camino recto, puede morir por la tarde sin pesar»</w:t>
      </w:r>
      <w:r>
        <w:t xml:space="preserve"> [original: «子曰、朝聞道、夕死、可矣。»; en la traducción inglesa de Legge: «If a man in the morning hear the right way, he may die in the evening without regret.»]</w:t>
      </w:r>
      <w:r>
        <w:t xml:space="preserve"> (Analectas 4.8)</w:t>
      </w:r>
      <w:r>
        <w:br/>
      </w:r>
      <w:r>
        <w:rPr>
          <w:b/>
        </w:rPr>
        <w:t>leída en su fuente · Analectas 4.8</w:t>
      </w:r>
      <w:r>
        <w:br/>
      </w:r>
      <w:r>
        <w:rPr>
          <w:b/>
        </w:rPr>
        <w:t>Archivo leído:</w:t>
      </w:r>
      <w:r>
        <w:t xml:space="preserve"> analectas_legge_wikisource_libro04.htm.txt (reglas_del_juego_12oct\originales\analectas_legge_wikisource_libro04.htm.txt) · contraste del archivo de pasajes: ✔</w:t>
      </w:r>
      <w:r>
        <w:br/>
      </w:r>
      <w:r>
        <w:rPr>
          <w:b/>
        </w:rPr>
        <w:t>Lugar:</w:t>
      </w:r>
      <w:r>
        <w:t xml:space="preserve"> Analectas IV, cap. VIII</w:t>
      </w:r>
      <w:r>
        <w:br/>
      </w:r>
      <w:r>
        <w:rPr>
          <w:b/>
        </w:rPr>
        <w:t>Dirección:</w:t>
      </w:r>
      <w:r>
        <w:t xml:space="preserve"> </w:t>
      </w:r>
      <w:r>
        <w:t>https://en.wikisource.org/wiki/The_Chinese_Classics/Volume_1/Confucian_Analects/IV</w:t>
      </w:r>
      <w:r>
        <w:br/>
      </w:r>
      <w:r>
        <w:rPr>
          <w:b/>
        </w:rPr>
        <w:t>Tal como está en la fuente:</w:t>
      </w:r>
      <w:r>
        <w:t xml:space="preserve"> If a man in the morning hear the right way, he may die in the evening without regret.</w:t>
      </w:r>
      <w:r>
        <w:br/>
      </w:r>
      <w:r>
        <w:rPr>
          <w:b/>
        </w:rPr>
        <w:t>Traducción guardada:</w:t>
      </w:r>
      <w:r>
        <w:t xml:space="preserve"> traducción propia: Si un hombre oye por la mañana el camino recto, puede morir por la tarde sin pesar.</w:t>
      </w:r>
      <w:r>
        <w:t>. «El hombre puede ensanchar los principios que sigue; no son esos principios los que ensanchan al hombre»</w:t>
      </w:r>
      <w:r>
        <w:t xml:space="preserve"> [original: «子曰、人能弘道、非道弘人。»; en la traducción inglesa de Legge: «A man can enlarge the principles which he follows; those principles do not enlarge the man.»]</w:t>
      </w:r>
      <w:r>
        <w:t xml:space="preserve"> (Analectas 15.28, en la numeración de Legge)</w:t>
      </w:r>
      <w:r>
        <w:br/>
      </w:r>
      <w:r>
        <w:rPr>
          <w:b/>
        </w:rPr>
        <w:t>leída en su fuente · Analectas 15.28, en la numeración de Legge</w:t>
      </w:r>
      <w:r>
        <w:br/>
      </w:r>
      <w:r>
        <w:rPr>
          <w:b/>
        </w:rPr>
        <w:t>Archivo leído:</w:t>
      </w:r>
      <w:r>
        <w:t xml:space="preserve"> chapter11.txt (c7c\19.00-2.1_Analects_Legge_Gutenberg_3330.txt) · contraste del archivo de pasajes: ✔</w:t>
      </w:r>
      <w:r>
        <w:br/>
      </w:r>
      <w:r>
        <w:rPr>
          <w:b/>
        </w:rPr>
        <w:t>Lugar:</w:t>
      </w:r>
      <w:r>
        <w:t xml:space="preserve"> Analectas XV, cap. XXVIII (Legge)</w:t>
      </w:r>
      <w:r>
        <w:br/>
      </w:r>
      <w:r>
        <w:rPr>
          <w:b/>
        </w:rPr>
        <w:t>Tal como está en la fuente:</w:t>
      </w:r>
      <w:r>
        <w:t xml:space="preserve"> "The Master said, ""A man can enlarge the principles which he follows; those principles do not enlarge the man."""</w:t>
      </w:r>
      <w:r>
        <w:br/>
      </w:r>
      <w:r>
        <w:rPr>
          <w:b/>
        </w:rPr>
        <w:t>Traducción guardada:</w:t>
      </w:r>
      <w:r>
        <w:t xml:space="preserve"> traducción propia: El Maestro dijo: El hombre puede ensanchar los principios que sigue; esos principios no ensanchan al hombre.</w:t>
      </w:r>
      <w:r>
        <w:t>. «Si pudiéramos renunciar a ser sabios y desechar nuestro saber, sería cien veces mejor para el pueblo. Si pudiéramos renunciar a nuestra benevolencia y desechar nuestra justicia, el pueblo volvería a ser filial y bondadoso»</w:t>
      </w:r>
      <w:r>
        <w:t xml:space="preserve"> [original: «If we could renounce our sageness and discard our wisdom, it would be better for the people a hundredfold. If we could renounce our benevolence and discard our righteousness, the people would again become filial and kindly.», en la traducción inglesa de Legge]</w:t>
      </w:r>
      <w:r>
        <w:t xml:space="preserve"> (Daodejing 19)</w:t>
      </w:r>
      <w:r>
        <w:br/>
      </w:r>
      <w:r>
        <w:rPr>
          <w:b/>
        </w:rPr>
        <w:t>leída en su fuente · Daodejing 19</w:t>
      </w:r>
      <w:r>
        <w:br/>
      </w:r>
      <w:r>
        <w:rPr>
          <w:b/>
        </w:rPr>
        <w:t>Archivo leído:</w:t>
      </w:r>
      <w:r>
        <w:t xml:space="preserve"> sbe39026.htm.txt (reglas_del_juego_12oct\taoismo_legge_sacredtexts\sbe39026.htm.txt) · contraste del archivo de pasajes: ✔</w:t>
      </w:r>
      <w:r>
        <w:br/>
      </w:r>
      <w:r>
        <w:rPr>
          <w:b/>
        </w:rPr>
        <w:t>Lugar:</w:t>
      </w:r>
      <w:r>
        <w:t xml:space="preserve"> Tao Te Ching 19.1</w:t>
      </w:r>
      <w:r>
        <w:br/>
      </w:r>
      <w:r>
        <w:rPr>
          <w:b/>
        </w:rPr>
        <w:t>Dirección:</w:t>
      </w:r>
      <w:r>
        <w:t xml:space="preserve"> </w:t>
      </w:r>
      <w:r>
        <w:t>https://www.sacred-texts.com/tao/sbe39/sbe39026.htm</w:t>
      </w:r>
      <w:r>
        <w:br/>
      </w:r>
      <w:r>
        <w:rPr>
          <w:b/>
        </w:rPr>
        <w:t>Tal como está en la fuente:</w:t>
      </w:r>
      <w:r>
        <w:t xml:space="preserve"> If we could renounce our sageness and discard our wisdom, it would be better for the people a hundredfold. If we could renounce our benevolence and discard our righteousness, the people would again become filial and kindly.</w:t>
      </w:r>
      <w:r>
        <w:br/>
      </w:r>
      <w:r>
        <w:rPr>
          <w:b/>
        </w:rPr>
        <w:t>Traducción guardada:</w:t>
      </w:r>
      <w:r>
        <w:t xml:space="preserve"> traducción propia: Si pudiéramos renunciar a nuestra sabiduría de sabios y descartar nuestro saber, sería cien veces mejor para el pueblo. Si pudiéramos renunciar a nuestra benevolencia y descartar nuestra justicia, el pueblo volvería a ser filial y bondadoso.</w:t>
      </w:r>
      <w:r>
        <w:t>.</w:t>
      </w:r>
    </w:p>
    <w:p>
      <w:r>
        <w:rPr>
          <w:b/>
        </w:rPr>
        <w:t>9. Mesopotamia</w:t>
      </w:r>
      <w:r>
        <w:t xml:space="preserve"> (las Instrucciones de Shuruppak, en la traducción inglesa del ETCSL, Oxford; Gilgamesh, en la de Thompson).</w:t>
      </w:r>
    </w:p>
    <w:p>
      <w:pPr>
        <w:pStyle w:val="ListBullet"/>
      </w:pPr>
      <w:r>
        <w:rPr>
          <w:b/>
        </w:rPr>
        <w:t>Lo que se dio.</w:t>
      </w:r>
      <w:r>
        <w:t xml:space="preserve"> «Curuppag dio instrucciones a su hijo; Curuppag, hijo de Ubara-Tutu, dio instrucciones a su hijo Zi-ud-sura: Hijo mío, déjame darte instrucciones: ¡presta atención!»</w:t>
      </w:r>
      <w:r>
        <w:t xml:space="preserve"> [original: «Curuppag gave instructions to his son; Curuppag, the son of Ubara-Tutu gave instructions to his son Zi-ud-sura: My son, let me give you instructions: you should pay attention!», en la traducción inglesa del ETCSL]</w:t>
      </w:r>
      <w:r>
        <w:t xml:space="preserve"> (Instrucciones de Shuruppak, líneas 1-13)</w:t>
      </w:r>
      <w:r>
        <w:br/>
      </w:r>
      <w:r>
        <w:rPr>
          <w:b/>
        </w:rPr>
        <w:t>leída en su fuente · Instrucciones de Shuruppak, líneas 1-13</w:t>
      </w:r>
      <w:r>
        <w:br/>
      </w:r>
      <w:r>
        <w:rPr>
          <w:b/>
        </w:rPr>
        <w:t>Archivo leído:</w:t>
      </w:r>
      <w:r>
        <w:t xml:space="preserve"> etcsl_tr561_instrucciones_de_shuruppak.htm.txt (reglas_del_juego_12oct\originales\etcsl_tr561_instrucciones_de_shuruppak.htm.txt) · contraste del archivo de pasajes: ✔</w:t>
      </w:r>
      <w:r>
        <w:br/>
      </w:r>
      <w:r>
        <w:rPr>
          <w:b/>
        </w:rPr>
        <w:t>Lugar:</w:t>
      </w:r>
      <w:r>
        <w:t xml:space="preserve"> Líneas 1-13</w:t>
      </w:r>
      <w:r>
        <w:br/>
      </w:r>
      <w:r>
        <w:rPr>
          <w:b/>
        </w:rPr>
        <w:t>Dirección:</w:t>
      </w:r>
      <w:r>
        <w:t xml:space="preserve"> </w:t>
      </w:r>
      <w:r>
        <w:t>https://etcsl.orinst.ox.ac.uk/section5/tr561.htm</w:t>
      </w:r>
      <w:r>
        <w:br/>
      </w:r>
      <w:r>
        <w:rPr>
          <w:b/>
        </w:rPr>
        <w:t>Tal como está en la fuente:</w:t>
      </w:r>
      <w:r>
        <w:t xml:space="preserve"> Curuppag gave instructions to his son; Curuppag, the son of Ubara-Tutu gave instructions to his son Zi-ud-sura: My son, let me give you instructions: you should pay attention!</w:t>
      </w:r>
      <w:r>
        <w:br/>
      </w:r>
      <w:r>
        <w:rPr>
          <w:b/>
        </w:rPr>
        <w:t>Traducción guardada:</w:t>
      </w:r>
      <w:r>
        <w:t xml:space="preserve"> traducción propia: Curuppag dio instrucciones a su hijo; Curuppag, hijo de Ubara-Tutu, dio instrucciones a su hijo Zi-ud-sura: Hijo mío, déjame darte instrucciones: ¡presta atención!</w:t>
      </w:r>
      <w:r>
        <w:t>. «¡No descuides mis instrucciones! ¡No quebrantes las palabras que digo! Las instrucciones de un anciano son preciosas: ¡cúmplelas!»</w:t>
      </w:r>
      <w:r>
        <w:t xml:space="preserve"> [original: «Do not neglect my instructions! Do not transgress the words I speak! The instructions of an old man are precious; you should comply with them!», en la traducción inglesa del ETCSL]</w:t>
      </w:r>
      <w:r>
        <w:t xml:space="preserve"> (Instrucciones de Shuruppak, líneas 1-13)</w:t>
      </w:r>
      <w:r>
        <w:br/>
      </w:r>
      <w:r>
        <w:rPr>
          <w:b/>
        </w:rPr>
        <w:t>leída en su fuente · Instrucciones de Shuruppak, líneas 1-13</w:t>
      </w:r>
      <w:r>
        <w:br/>
      </w:r>
      <w:r>
        <w:rPr>
          <w:b/>
        </w:rPr>
        <w:t>Archivo leído:</w:t>
      </w:r>
      <w:r>
        <w:t xml:space="preserve"> etcsl_tr561_instrucciones_de_shuruppak.htm.txt (reglas_del_juego_12oct\originales\etcsl_tr561_instrucciones_de_shuruppak.htm.txt) · contraste del archivo de pasajes: ✔</w:t>
      </w:r>
      <w:r>
        <w:br/>
      </w:r>
      <w:r>
        <w:rPr>
          <w:b/>
        </w:rPr>
        <w:t>Lugar:</w:t>
      </w:r>
      <w:r>
        <w:t xml:space="preserve"> Líneas 1-13</w:t>
      </w:r>
      <w:r>
        <w:br/>
      </w:r>
      <w:r>
        <w:rPr>
          <w:b/>
        </w:rPr>
        <w:t>Dirección:</w:t>
      </w:r>
      <w:r>
        <w:t xml:space="preserve"> </w:t>
      </w:r>
      <w:r>
        <w:t>https://etcsl.orinst.ox.ac.uk/section5/tr561.htm</w:t>
      </w:r>
      <w:r>
        <w:br/>
      </w:r>
      <w:r>
        <w:rPr>
          <w:b/>
        </w:rPr>
        <w:t>Tal como está en la fuente:</w:t>
      </w:r>
      <w:r>
        <w:t xml:space="preserve"> Do not neglect my instructions! Do not transgress the words I speak! The instructions of an old man are precious; you should comply with them!</w:t>
      </w:r>
      <w:r>
        <w:br/>
      </w:r>
      <w:r>
        <w:rPr>
          <w:b/>
        </w:rPr>
        <w:t>Traducción guardada:</w:t>
      </w:r>
      <w:r>
        <w:t xml:space="preserve"> traducción propia: ¡No descuides mis instrucciones! ¡No quebrantes las palabras que digo! Las instrucciones de un anciano son preciosas; debes cumplirlas.</w:t>
      </w:r>
      <w:r>
        <w:t>.</w:t>
      </w:r>
    </w:p>
    <w:p>
      <w:pPr>
        <w:pStyle w:val="ListBullet"/>
      </w:pPr>
      <w:r>
        <w:rPr>
          <w:b/>
        </w:rPr>
        <w:t>Lo que se perdió.</w:t>
      </w:r>
      <w:r>
        <w:t xml:space="preserve"> La planta de la vida, que Utnapishtim revela a Gilgamesh y que una serpiente le roba mientras se baña (Gilgamesh, tablilla XI), en </w:t>
      </w:r>
      <w:r>
        <w:t>4.2</w:t>
      </w:r>
      <w:r>
        <w:t>.</w:t>
      </w:r>
    </w:p>
    <w:p>
      <w:pPr>
        <w:pStyle w:val="ListBullet"/>
      </w:pPr>
      <w:r>
        <w:rPr>
          <w:b/>
        </w:rPr>
        <w:t>El camino de vuelta.</w:t>
      </w:r>
      <w:r>
        <w:t xml:space="preserve"> En lo leído, no se nombra.</w:t>
      </w:r>
    </w:p>
    <w:p>
      <w:r>
        <w:rPr>
          <w:b/>
        </w:rPr>
        <w:t>10. Egipto</w:t>
      </w:r>
      <w:r>
        <w:t xml:space="preserve"> (Ptahhotep, en la traducción inglesa de Gunn, 1906; la Enseñanza de Amenemope, en la de Budge, 1924).</w:t>
      </w:r>
    </w:p>
    <w:p>
      <w:pPr>
        <w:pStyle w:val="ListBullet"/>
      </w:pPr>
      <w:r>
        <w:rPr>
          <w:b/>
        </w:rPr>
        <w:t>Lo que se dio.</w:t>
      </w:r>
      <w:r>
        <w:t xml:space="preserve"> El género se llama Instrucción (</w:t>
      </w:r>
      <w:r>
        <w:rPr>
          <w:i/>
        </w:rPr>
        <w:t>sebayt</w:t>
      </w:r>
      <w:r>
        <w:t>): según su traductor, lo escribe un padre para provecho de su hijo (Gunn, introducción). «Grande es la Verdad, que señala un camino recto»</w:t>
      </w:r>
      <w:r>
        <w:t xml:space="preserve"> [original: «Great is Truth, appointing a straight path», en la traducción inglesa de Gunn]</w:t>
      </w:r>
      <w:r>
        <w:t xml:space="preserve"> (Ptahhotep, máxima 5)</w:t>
      </w:r>
      <w:r>
        <w:br/>
      </w:r>
      <w:r>
        <w:rPr>
          <w:b/>
        </w:rPr>
        <w:t>leída en su fuente · Ptahhotep, máxima 5</w:t>
      </w:r>
      <w:r>
        <w:br/>
      </w:r>
      <w:r>
        <w:rPr>
          <w:b/>
        </w:rPr>
        <w:t>Archivo leído:</w:t>
      </w:r>
      <w:r>
        <w:t xml:space="preserve"> pg30508.txt (cierre_B3_B4_9oct\ptahhotep_gunn_gutenberg\pg30508.txt; cierre_mujer_varon_9oct\egipto_ptahhotep\pg30508.txt) · contraste del archivo de pasajes: ✔</w:t>
      </w:r>
      <w:r>
        <w:br/>
      </w:r>
      <w:r>
        <w:rPr>
          <w:b/>
        </w:rPr>
        <w:t>Lugar:</w:t>
      </w:r>
      <w:r>
        <w:t xml:space="preserve"> Ptahhotep, máxima 5</w:t>
      </w:r>
      <w:r>
        <w:br/>
      </w:r>
      <w:r>
        <w:rPr>
          <w:b/>
        </w:rPr>
        <w:t>Dirección:</w:t>
      </w:r>
      <w:r>
        <w:t xml:space="preserve"> </w:t>
      </w:r>
      <w:r>
        <w:t>https://www.gutenberg.org/cache/epub/30508/pg30508.txt</w:t>
      </w:r>
      <w:r>
        <w:br/>
      </w:r>
      <w:r>
        <w:rPr>
          <w:b/>
        </w:rPr>
        <w:t>Tal como está en la fuente:</w:t>
      </w:r>
      <w:r>
        <w:t xml:space="preserve"> Great is Truth, appointing a straight path</w:t>
      </w:r>
      <w:r>
        <w:br/>
      </w:r>
      <w:r>
        <w:rPr>
          <w:b/>
        </w:rPr>
        <w:t>Traducción guardada:</w:t>
      </w:r>
      <w:r>
        <w:t xml:space="preserve"> traducción propia: Grande es la Verdad, que señala un camino recto</w:t>
      </w:r>
      <w:r>
        <w:t>. «Pero los límites de la justicia son firmes; es lo que un hombre repite de su padre»</w:t>
      </w:r>
      <w:r>
        <w:t xml:space="preserve"> [original: «But the limits of justice are steadfast; it is that which a man repeateth from his father.», en la traducción inglesa de Gunn]</w:t>
      </w:r>
      <w:r>
        <w:t xml:space="preserve"> (Ptahhotep, máxima 5)</w:t>
      </w:r>
      <w:r>
        <w:br/>
      </w:r>
      <w:r>
        <w:rPr>
          <w:b/>
        </w:rPr>
        <w:t>leída en su fuente · Ptahhotep, máxima 5</w:t>
      </w:r>
      <w:r>
        <w:br/>
      </w:r>
      <w:r>
        <w:rPr>
          <w:b/>
        </w:rPr>
        <w:t>Archivo leído:</w:t>
      </w:r>
      <w:r>
        <w:t xml:space="preserve"> pg30508.txt (cierre_B3_B4_9oct\ptahhotep_gunn_gutenberg\pg30508.txt; cierre_mujer_varon_9oct\egipto_ptahhotep\pg30508.txt) · contraste del archivo de pasajes: ✔</w:t>
      </w:r>
      <w:r>
        <w:br/>
      </w:r>
      <w:r>
        <w:rPr>
          <w:b/>
        </w:rPr>
        <w:t>Lugar:</w:t>
      </w:r>
      <w:r>
        <w:t xml:space="preserve"> Ptahhotep, máxima 5</w:t>
      </w:r>
      <w:r>
        <w:br/>
      </w:r>
      <w:r>
        <w:rPr>
          <w:b/>
        </w:rPr>
        <w:t>Dirección:</w:t>
      </w:r>
      <w:r>
        <w:t xml:space="preserve"> </w:t>
      </w:r>
      <w:r>
        <w:t>https://www.gutenberg.org/cache/epub/30508/pg30508.txt</w:t>
      </w:r>
      <w:r>
        <w:br/>
      </w:r>
      <w:r>
        <w:rPr>
          <w:b/>
        </w:rPr>
        <w:t>Tal como está en la fuente:</w:t>
      </w:r>
      <w:r>
        <w:t xml:space="preserve"> But the limits of justice are steadfast; it is that which a man repeateth from his father.</w:t>
      </w:r>
      <w:r>
        <w:br/>
      </w:r>
      <w:r>
        <w:rPr>
          <w:b/>
        </w:rPr>
        <w:t>Traducción guardada:</w:t>
      </w:r>
      <w:r>
        <w:t xml:space="preserve"> traducción propia: Pero los límites de la justicia son firmes; es lo que un hombre repite de su padre.</w:t>
      </w:r>
      <w:r>
        <w:t>. «Lo repite del mismo modo a sus hijos y a sus hijas, y así renueva la instrucción de su padre. Cada uno instruye como lo hizo quien lo engendró, y lo repite a sus hijos»</w:t>
      </w:r>
      <w:r>
        <w:t xml:space="preserve"> [original: «He repeateth in like manner to his sons and daughters, so renewing the instruction of his father. Each man instructeth as did his begetter, repeating it unto his children.», en la traducción inglesa de Gunn]</w:t>
      </w:r>
      <w:r>
        <w:t xml:space="preserve"> (Ptahhotep, máxima 41)</w:t>
      </w:r>
      <w:r>
        <w:br/>
      </w:r>
      <w:r>
        <w:rPr>
          <w:b/>
        </w:rPr>
        <w:t>leída en su fuente · Ptahhotep, máxima 41</w:t>
      </w:r>
      <w:r>
        <w:br/>
      </w:r>
      <w:r>
        <w:rPr>
          <w:b/>
        </w:rPr>
        <w:t>Archivo leído:</w:t>
      </w:r>
      <w:r>
        <w:t xml:space="preserve"> pg30508.txt (cierre_B3_B4_9oct\ptahhotep_gunn_gutenberg\pg30508.txt; cierre_mujer_varon_9oct\egipto_ptahhotep\pg30508.txt) · contraste del archivo de pasajes: ✔</w:t>
      </w:r>
      <w:r>
        <w:br/>
      </w:r>
      <w:r>
        <w:rPr>
          <w:b/>
        </w:rPr>
        <w:t>Lugar:</w:t>
      </w:r>
      <w:r>
        <w:t xml:space="preserve"> Ptahhotep, máxima 41</w:t>
      </w:r>
      <w:r>
        <w:br/>
      </w:r>
      <w:r>
        <w:rPr>
          <w:b/>
        </w:rPr>
        <w:t>Dirección:</w:t>
      </w:r>
      <w:r>
        <w:t xml:space="preserve"> </w:t>
      </w:r>
      <w:r>
        <w:t>https://www.gutenberg.org/cache/epub/30508/pg30508.txt</w:t>
      </w:r>
      <w:r>
        <w:br/>
      </w:r>
      <w:r>
        <w:rPr>
          <w:b/>
        </w:rPr>
        <w:t>Tal como está en la fuente:</w:t>
      </w:r>
      <w:r>
        <w:t xml:space="preserve"> He repeateth in like manner to his sons and daughters, so renewing the instruction of his father. Each man instructeth as did his begetter, repeating it unto his children.</w:t>
      </w:r>
      <w:r>
        <w:br/>
      </w:r>
      <w:r>
        <w:rPr>
          <w:b/>
        </w:rPr>
        <w:t>Traducción guardada:</w:t>
      </w:r>
      <w:r>
        <w:t xml:space="preserve"> traducción propia: Lo repite del mismo modo a sus hijos e hijas, renovando así la instrucción de su padre. Cada cual instruye como lo hizo quien lo engendró, repitiéndolo a sus hijos.</w:t>
      </w:r>
      <w:r>
        <w:t>. «Que lo que digas siembre cosas verdaderas y justas en la vida de tus hijos»</w:t>
      </w:r>
      <w:r>
        <w:t xml:space="preserve"> [original: «Let that which thou speakest implant true things and just in the life of thy children.», en la traducción inglesa de Gunn]</w:t>
      </w:r>
      <w:r>
        <w:t xml:space="preserve"> (Ptahhotep, máxima 41)</w:t>
      </w:r>
      <w:r>
        <w:br/>
      </w:r>
      <w:r>
        <w:rPr>
          <w:b/>
        </w:rPr>
        <w:t>leída en su fuente · Ptahhotep, máxima 41</w:t>
      </w:r>
      <w:r>
        <w:br/>
      </w:r>
      <w:r>
        <w:rPr>
          <w:b/>
        </w:rPr>
        <w:t>Archivo leído:</w:t>
      </w:r>
      <w:r>
        <w:t xml:space="preserve"> pg30508.txt (cierre_B3_B4_9oct\ptahhotep_gunn_gutenberg\pg30508.txt; cierre_mujer_varon_9oct\egipto_ptahhotep\pg30508.txt) · contraste del archivo de pasajes: ✔</w:t>
      </w:r>
      <w:r>
        <w:br/>
      </w:r>
      <w:r>
        <w:rPr>
          <w:b/>
        </w:rPr>
        <w:t>Lugar:</w:t>
      </w:r>
      <w:r>
        <w:t xml:space="preserve"> Ptahhotep, máxima 41</w:t>
      </w:r>
      <w:r>
        <w:br/>
      </w:r>
      <w:r>
        <w:rPr>
          <w:b/>
        </w:rPr>
        <w:t>Dirección:</w:t>
      </w:r>
      <w:r>
        <w:t xml:space="preserve"> </w:t>
      </w:r>
      <w:r>
        <w:t>https://www.gutenberg.org/cache/epub/30508/pg30508.txt</w:t>
      </w:r>
      <w:r>
        <w:br/>
      </w:r>
      <w:r>
        <w:rPr>
          <w:b/>
        </w:rPr>
        <w:t>Tal como está en la fuente:</w:t>
      </w:r>
      <w:r>
        <w:t xml:space="preserve"> Let that which thou speakest implant true things and just in the life of thy children.</w:t>
      </w:r>
      <w:r>
        <w:br/>
      </w:r>
      <w:r>
        <w:rPr>
          <w:b/>
        </w:rPr>
        <w:t>Traducción guardada:</w:t>
      </w:r>
      <w:r>
        <w:t xml:space="preserve"> traducción propia: Que lo que dices implante cosas verdaderas y justas en la vida de tus hijos.</w:t>
      </w:r>
      <w:r>
        <w:t>. Amenemope llama a su libro la enseñanza sobre la vida, sobre cómo vivir, y dice que «le hará seguir un rumbo recto por los caminos de la vida»</w:t>
      </w:r>
      <w:r>
        <w:t xml:space="preserve"> [original: «will make him to follow a straight course on the roads of life», en la traducción inglesa de Budge]</w:t>
      </w:r>
      <w:r>
        <w:t xml:space="preserve"> (Enseñanza de Amenemope, título)</w:t>
      </w:r>
      <w:r>
        <w:br/>
      </w:r>
      <w:r>
        <w:rPr>
          <w:b/>
        </w:rPr>
        <w:t>leída en su fuente · Enseñanza de Amenemope, título</w:t>
      </w:r>
      <w:r>
        <w:br/>
      </w:r>
      <w:r>
        <w:rPr>
          <w:b/>
        </w:rPr>
        <w:t>Archivo leído:</w:t>
      </w:r>
      <w:r>
        <w:t xml:space="preserve"> budge_1924_teaching_of_amen_em_apt_archive.txt (reglas_del_juego_12oct\originales\budge_1924_teaching_of_amen_em_apt_archive.txt) · contraste del archivo de pasajes: ✔</w:t>
      </w:r>
      <w:r>
        <w:br/>
      </w:r>
      <w:r>
        <w:rPr>
          <w:b/>
        </w:rPr>
        <w:t>Lugar:</w:t>
      </w:r>
      <w:r>
        <w:t xml:space="preserve"> Amenemope, título, línea 7</w:t>
      </w:r>
      <w:r>
        <w:br/>
      </w:r>
      <w:r>
        <w:rPr>
          <w:b/>
        </w:rPr>
        <w:t>Dirección:</w:t>
      </w:r>
      <w:r>
        <w:t xml:space="preserve"> </w:t>
      </w:r>
      <w:r>
        <w:t>https://archive.org/download/teachingofamenem0000eawa/teachingofamenem0000eawa_djvu.txt</w:t>
      </w:r>
      <w:r>
        <w:br/>
      </w:r>
      <w:r>
        <w:rPr>
          <w:b/>
        </w:rPr>
        <w:t>Tal como está en la fuente:</w:t>
      </w:r>
      <w:r>
        <w:t xml:space="preserve"> will make him to follow a straight course on the roads of life,</w:t>
      </w:r>
      <w:r>
        <w:br/>
      </w:r>
      <w:r>
        <w:rPr>
          <w:b/>
        </w:rPr>
        <w:t>Traducción guardada:</w:t>
      </w:r>
      <w:r>
        <w:t xml:space="preserve"> traducción propia: le hará seguir un rumbo recto por los caminos de la vida,</w:t>
      </w:r>
      <w:r>
        <w:t>.</w:t>
      </w:r>
    </w:p>
    <w:p>
      <w:pPr>
        <w:pStyle w:val="ListBullet"/>
      </w:pPr>
      <w:r>
        <w:rPr>
          <w:b/>
        </w:rPr>
        <w:t>Lo que se perdió.</w:t>
      </w:r>
      <w:r>
        <w:t xml:space="preserve"> «Pero los que pierden el rumbo no pueden hallar un camino recto»</w:t>
      </w:r>
      <w:r>
        <w:t xml:space="preserve"> [original: «but they that lose their bearings cannot find a straight course.», en la traducción inglesa de Gunn]</w:t>
      </w:r>
      <w:r>
        <w:t xml:space="preserve"> (Ptahhotep, máxima 12)</w:t>
      </w:r>
      <w:r>
        <w:br/>
      </w:r>
      <w:r>
        <w:rPr>
          <w:b/>
        </w:rPr>
        <w:t>leída en su fuente · Ptahhotep, máxima 12</w:t>
      </w:r>
      <w:r>
        <w:br/>
      </w:r>
      <w:r>
        <w:rPr>
          <w:b/>
        </w:rPr>
        <w:t>Archivo leído:</w:t>
      </w:r>
      <w:r>
        <w:t xml:space="preserve"> pg30508.txt (cierre_B3_B4_9oct\ptahhotep_gunn_gutenberg\pg30508.txt; cierre_mujer_varon_9oct\egipto_ptahhotep\pg30508.txt) · contraste del archivo de pasajes: ✔</w:t>
      </w:r>
      <w:r>
        <w:br/>
      </w:r>
      <w:r>
        <w:rPr>
          <w:b/>
        </w:rPr>
        <w:t>Lugar:</w:t>
      </w:r>
      <w:r>
        <w:t xml:space="preserve"> Ptahhotep, máxima 12</w:t>
      </w:r>
      <w:r>
        <w:br/>
      </w:r>
      <w:r>
        <w:rPr>
          <w:b/>
        </w:rPr>
        <w:t>Dirección:</w:t>
      </w:r>
      <w:r>
        <w:t xml:space="preserve"> </w:t>
      </w:r>
      <w:r>
        <w:t>https://www.gutenberg.org/cache/epub/30508/pg30508.txt</w:t>
      </w:r>
      <w:r>
        <w:br/>
      </w:r>
      <w:r>
        <w:rPr>
          <w:b/>
        </w:rPr>
        <w:t>Tal como está en la fuente:</w:t>
      </w:r>
      <w:r>
        <w:t xml:space="preserve"> And they that are guided go not astray, but they that lose their bearings cannot find a straight course.</w:t>
      </w:r>
      <w:r>
        <w:br/>
      </w:r>
      <w:r>
        <w:rPr>
          <w:b/>
        </w:rPr>
        <w:t>Traducción guardada:</w:t>
      </w:r>
      <w:r>
        <w:t xml:space="preserve"> traducción propia: Y los que son guiados no se extravían, pero los que pierden el rumbo no pueden hallar un camino recto.</w:t>
      </w:r>
      <w:r>
        <w:t>.</w:t>
      </w:r>
    </w:p>
    <w:p>
      <w:pPr>
        <w:pStyle w:val="ListBullet"/>
      </w:pPr>
      <w:r>
        <w:rPr>
          <w:b/>
        </w:rPr>
        <w:t>El camino de vuelta.</w:t>
      </w:r>
      <w:r>
        <w:t xml:space="preserve"> «Y los que son guiados no se extravían»</w:t>
      </w:r>
      <w:r>
        <w:t xml:space="preserve"> [original: «And they that are guided go not astray», en la traducción inglesa de Gunn]</w:t>
      </w:r>
      <w:r>
        <w:t xml:space="preserve"> (Ptahhotep, máxima 12)</w:t>
      </w:r>
      <w:r>
        <w:br/>
      </w:r>
      <w:r>
        <w:rPr>
          <w:b/>
        </w:rPr>
        <w:t>leída en su fuente · Ptahhotep, máxima 12</w:t>
      </w:r>
      <w:r>
        <w:br/>
      </w:r>
      <w:r>
        <w:rPr>
          <w:b/>
        </w:rPr>
        <w:t>Archivo leído:</w:t>
      </w:r>
      <w:r>
        <w:t xml:space="preserve"> pg30508.txt (cierre_B3_B4_9oct\ptahhotep_gunn_gutenberg\pg30508.txt; cierre_mujer_varon_9oct\egipto_ptahhotep\pg30508.txt) · contraste del archivo de pasajes: ✔</w:t>
      </w:r>
      <w:r>
        <w:br/>
      </w:r>
      <w:r>
        <w:rPr>
          <w:b/>
        </w:rPr>
        <w:t>Lugar:</w:t>
      </w:r>
      <w:r>
        <w:t xml:space="preserve"> Ptahhotep, máxima 12</w:t>
      </w:r>
      <w:r>
        <w:br/>
      </w:r>
      <w:r>
        <w:rPr>
          <w:b/>
        </w:rPr>
        <w:t>Dirección:</w:t>
      </w:r>
      <w:r>
        <w:t xml:space="preserve"> </w:t>
      </w:r>
      <w:r>
        <w:t>https://www.gutenberg.org/cache/epub/30508/pg30508.txt</w:t>
      </w:r>
      <w:r>
        <w:br/>
      </w:r>
      <w:r>
        <w:rPr>
          <w:b/>
        </w:rPr>
        <w:t>Tal como está en la fuente:</w:t>
      </w:r>
      <w:r>
        <w:t xml:space="preserve"> And they that are guided go not astray, but they that lose their bearings cannot find a straight course.</w:t>
      </w:r>
      <w:r>
        <w:br/>
      </w:r>
      <w:r>
        <w:rPr>
          <w:b/>
        </w:rPr>
        <w:t>Traducción guardada:</w:t>
      </w:r>
      <w:r>
        <w:t xml:space="preserve"> traducción propia: Y los que son guiados no se extravían, pero los que pierden el rumbo no pueden hallar un camino recto.</w:t>
      </w:r>
      <w:r>
        <w:t>. «Sin duda llevará su rumbo [por la vida] según lo que ellos dicen»</w:t>
      </w:r>
      <w:r>
        <w:t xml:space="preserve"> [original: «Assuredly he will steer his course [through life] according to their mouth», en la traducción inglesa de Budge]</w:t>
      </w:r>
      <w:r>
        <w:t xml:space="preserve"> (Enseñanza de Amenemope, cap. 30)</w:t>
      </w:r>
      <w:r>
        <w:br/>
      </w:r>
      <w:r>
        <w:rPr>
          <w:b/>
        </w:rPr>
        <w:t>leída en su fuente · Enseñanza de Amenemope, cap. 30</w:t>
      </w:r>
      <w:r>
        <w:br/>
      </w:r>
      <w:r>
        <w:rPr>
          <w:b/>
        </w:rPr>
        <w:t>Archivo leído:</w:t>
      </w:r>
      <w:r>
        <w:t xml:space="preserve"> budge_1924_teaching_of_amen_em_apt_archive.txt (reglas_del_juego_12oct\originales\budge_1924_teaching_of_amen_em_apt_archive.txt) · contraste del archivo de pasajes: ✔</w:t>
      </w:r>
      <w:r>
        <w:br/>
      </w:r>
      <w:r>
        <w:rPr>
          <w:b/>
        </w:rPr>
        <w:t>Lugar:</w:t>
      </w:r>
      <w:r>
        <w:t xml:space="preserve"> Amenemope, cap. 30, línea 544</w:t>
      </w:r>
      <w:r>
        <w:br/>
      </w:r>
      <w:r>
        <w:rPr>
          <w:b/>
        </w:rPr>
        <w:t>Dirección:</w:t>
      </w:r>
      <w:r>
        <w:t xml:space="preserve"> </w:t>
      </w:r>
      <w:r>
        <w:t>https://archive.org/download/teachingofamenem0000eawa/teachingofamenem0000eawa_djvu.txt</w:t>
      </w:r>
      <w:r>
        <w:br/>
      </w:r>
      <w:r>
        <w:rPr>
          <w:b/>
        </w:rPr>
        <w:t>Tal como está en la fuente:</w:t>
      </w:r>
      <w:r>
        <w:t xml:space="preserve"> Assuredly he will steer his course [through life] according to their mouth</w:t>
      </w:r>
      <w:r>
        <w:br/>
      </w:r>
      <w:r>
        <w:rPr>
          <w:b/>
        </w:rPr>
        <w:t>Traducción guardada:</w:t>
      </w:r>
      <w:r>
        <w:t xml:space="preserve"> traducción propia: Sin duda llevará su rumbo [por la vida] según lo que ellos dicen</w:t>
      </w:r>
      <w:r>
        <w:t>.</w:t>
      </w:r>
    </w:p>
    <w:p>
      <w:r>
        <w:rPr>
          <w:b/>
        </w:rPr>
        <w:t>11. Grecia</w:t>
      </w:r>
      <w:r>
        <w:t xml:space="preserve"> (Hesíodo, Trabajos y días, en la traducción inglesa de Evelyn-White; Platón, en la de Jowett).</w:t>
      </w:r>
    </w:p>
    <w:p>
      <w:pPr>
        <w:pStyle w:val="ListBullet"/>
      </w:pPr>
      <w:r>
        <w:rPr>
          <w:b/>
        </w:rPr>
        <w:t>Lo que se dio.</w:t>
      </w:r>
      <w:r>
        <w:t xml:space="preserve"> «Pues el hijo de Crono ha establecido esta ley para los hombres: que los peces, las fieras y las aves aladas se devoren unos a otros, porque no hay derecho entre ellos; pero a la humanidad le dio el derecho, que resulta, con mucho, lo mejor»</w:t>
      </w:r>
      <w:r>
        <w:t xml:space="preserve"> [original: «For the son of Cronos has ordained this law for men, that fishes and beasts and winged fowls should devour one another, for right is not in them; but to mankind he gave right which proves far the best.», en la traducción inglesa de Evelyn-White]</w:t>
      </w:r>
      <w:r>
        <w:t xml:space="preserve"> (Hesíodo, Trabajos y días 276-280)</w:t>
      </w:r>
      <w:r>
        <w:br/>
      </w:r>
      <w:r>
        <w:rPr>
          <w:b/>
        </w:rPr>
        <w:t>leída en su fuente · Hesíodo, Trabajos y días 276-280</w:t>
      </w:r>
      <w:r>
        <w:br/>
      </w:r>
      <w:r>
        <w:rPr>
          <w:b/>
        </w:rPr>
        <w:t>Archivo leído:</w:t>
      </w:r>
      <w:r>
        <w:t xml:space="preserve"> pg348.txt (cierre_mujer_varon_9oct\hesiodo_evelynwhite\pg348.txt) · contraste del archivo de pasajes: ✔</w:t>
      </w:r>
      <w:r>
        <w:br/>
      </w:r>
      <w:r>
        <w:rPr>
          <w:b/>
        </w:rPr>
        <w:t>Lugar:</w:t>
      </w:r>
      <w:r>
        <w:t xml:space="preserve"> Trabajos y días 276-280</w:t>
      </w:r>
      <w:r>
        <w:br/>
      </w:r>
      <w:r>
        <w:rPr>
          <w:b/>
        </w:rPr>
        <w:t>Dirección:</w:t>
      </w:r>
      <w:r>
        <w:t xml:space="preserve"> </w:t>
      </w:r>
      <w:r>
        <w:t>https://www.gutenberg.org/cache/epub/348/pg348.txt</w:t>
      </w:r>
      <w:r>
        <w:br/>
      </w:r>
      <w:r>
        <w:rPr>
          <w:b/>
        </w:rPr>
        <w:t>Tal como está en la fuente:</w:t>
      </w:r>
      <w:r>
        <w:t xml:space="preserve"> For the son of Cronos has ordained this law for men, that fishes and beasts and winged fowls should devour one another, for right is not in them; but to mankind he gave right which proves far the best.</w:t>
      </w:r>
      <w:r>
        <w:br/>
      </w:r>
      <w:r>
        <w:rPr>
          <w:b/>
        </w:rPr>
        <w:t>Traducción guardada:</w:t>
      </w:r>
      <w:r>
        <w:t xml:space="preserve"> traducción propia: Pues el hijo de Crono ha ordenado esta ley para los hombres: que los peces, las fieras y las aves aladas se devoren unos a otros, porque en ellos no hay derecho; pero a la humanidad le dio el derecho, que resulta con mucho lo mejor.</w:t>
      </w:r>
      <w:r>
        <w:t>. «Primero, los dioses inmortales que habitan el Olimpo hicieron una raza de oro de hombres mortales, que vivieron en tiempos de Crono, cuando reinaba en el cielo»</w:t>
      </w:r>
      <w:r>
        <w:t xml:space="preserve"> [original: «First of all the deathless gods who dwell on Olympus made a golden race of mortal men who lived in the time of Cronos when he was reigning in heaven.», en la traducción inglesa de Evelyn-White]</w:t>
      </w:r>
      <w:r>
        <w:t xml:space="preserve"> (Hesíodo, Trabajos y días 109-111)</w:t>
      </w:r>
      <w:r>
        <w:br/>
      </w:r>
      <w:r>
        <w:rPr>
          <w:b/>
        </w:rPr>
        <w:t>leída en su fuente · Hesíodo, Trabajos y días 109-111</w:t>
      </w:r>
      <w:r>
        <w:br/>
      </w:r>
      <w:r>
        <w:rPr>
          <w:b/>
        </w:rPr>
        <w:t>Archivo leído:</w:t>
      </w:r>
      <w:r>
        <w:t xml:space="preserve"> pg348.txt (cierre_mujer_varon_9oct\hesiodo_evelynwhite\pg348.txt) · contraste del archivo de pasajes: ✔</w:t>
      </w:r>
      <w:r>
        <w:br/>
      </w:r>
      <w:r>
        <w:rPr>
          <w:b/>
        </w:rPr>
        <w:t>Lugar:</w:t>
      </w:r>
      <w:r>
        <w:t xml:space="preserve"> Trabajos y días 109-111</w:t>
      </w:r>
      <w:r>
        <w:br/>
      </w:r>
      <w:r>
        <w:rPr>
          <w:b/>
        </w:rPr>
        <w:t>Dirección:</w:t>
      </w:r>
      <w:r>
        <w:t xml:space="preserve"> </w:t>
      </w:r>
      <w:r>
        <w:t>https://www.gutenberg.org/cache/epub/348/pg348.txt</w:t>
      </w:r>
      <w:r>
        <w:br/>
      </w:r>
      <w:r>
        <w:rPr>
          <w:b/>
        </w:rPr>
        <w:t>Tal como está en la fuente:</w:t>
      </w:r>
      <w:r>
        <w:t xml:space="preserve"> First of all the deathless gods who dwell on Olympus made a golden race of mortal men who lived in the time of Cronos when he was reigning in heaven.</w:t>
      </w:r>
      <w:r>
        <w:br/>
      </w:r>
      <w:r>
        <w:rPr>
          <w:b/>
        </w:rPr>
        <w:t>Traducción guardada:</w:t>
      </w:r>
      <w:r>
        <w:t xml:space="preserve"> traducción propia: Primero los dioses inmortales que habitan el Olimpo hicieron una raza de oro de hombres mortales, que vivieron en tiempos de Crono, cuando reinaba en el cielo.</w:t>
      </w:r>
      <w:r>
        <w:t>. En el Protágoras, el hombre tenía lo necesario para vivir, pero no el arte de vivir juntos: «Así, el hombre tenía la sabiduría necesaria para sostener la vida, pero la sabiduría política no la tenía»</w:t>
      </w:r>
      <w:r>
        <w:t xml:space="preserve"> [original: «Thus man had the wisdom necessary to the support of life, but political wisdom he had not», en la traducción inglesa de Jowett]</w:t>
      </w:r>
      <w:r>
        <w:t xml:space="preserve"> (Platón, Protágoras, el mito de Prometeo, traducción inglesa de Jowett)</w:t>
      </w:r>
      <w:r>
        <w:br/>
      </w:r>
      <w:r>
        <w:rPr>
          <w:b/>
        </w:rPr>
        <w:t>leída en su fuente · Platón, Protágoras, el mito de Prometeo, traducción inglesa de Jowett</w:t>
      </w:r>
      <w:r>
        <w:br/>
      </w:r>
      <w:r>
        <w:rPr>
          <w:b/>
        </w:rPr>
        <w:t>Archivo leído:</w:t>
      </w:r>
      <w:r>
        <w:t xml:space="preserve"> pg1591_platon_protagoras_jowett.txt (reglas_del_juego_12oct\originales\pg1591_platon_protagoras_jowett.txt) · contraste del archivo de pasajes: ✔</w:t>
      </w:r>
      <w:r>
        <w:br/>
      </w:r>
      <w:r>
        <w:rPr>
          <w:b/>
        </w:rPr>
        <w:t>Lugar:</w:t>
      </w:r>
      <w:r>
        <w:t xml:space="preserve"> Protágoras 321c-d</w:t>
      </w:r>
      <w:r>
        <w:br/>
      </w:r>
      <w:r>
        <w:rPr>
          <w:b/>
        </w:rPr>
        <w:t>Dirección:</w:t>
      </w:r>
      <w:r>
        <w:t xml:space="preserve"> </w:t>
      </w:r>
      <w:r>
        <w:t>https://www.gutenberg.org/cache/epub/1591/pg1591.txt</w:t>
      </w:r>
      <w:r>
        <w:br/>
      </w:r>
      <w:r>
        <w:rPr>
          <w:b/>
        </w:rPr>
        <w:t>Tal como está en la fuente:</w:t>
      </w:r>
      <w:r>
        <w:t xml:space="preserve"> Thus man had the wisdom necessary to the support of life, but political wisdom he had not</w:t>
      </w:r>
      <w:r>
        <w:br/>
      </w:r>
      <w:r>
        <w:rPr>
          <w:b/>
        </w:rPr>
        <w:t>Traducción guardada:</w:t>
      </w:r>
      <w:r>
        <w:t xml:space="preserve"> traducción propia: Así el hombre tenía la sabiduría necesaria para el sustento de la vida, pero la sabiduría política no la tenía</w:t>
      </w:r>
      <w:r>
        <w:t>; «pero cuando se reunían, como no tenían el arte de gobernar, se maltrataban unos a otros, y otra vez se dispersaban y se destruían»</w:t>
      </w:r>
      <w:r>
        <w:t xml:space="preserve"> [original: «but when they were gathered together, having no art of government, they evil intreated one another, and were again in process of dispersion and destruction.», en la traducción inglesa de Jowett]</w:t>
      </w:r>
      <w:r>
        <w:t xml:space="preserve"> (ídem)</w:t>
      </w:r>
      <w:r>
        <w:br/>
      </w:r>
      <w:r>
        <w:rPr>
          <w:b/>
        </w:rPr>
        <w:t>leída en su fuente · ídem</w:t>
      </w:r>
      <w:r>
        <w:br/>
      </w:r>
      <w:r>
        <w:rPr>
          <w:b/>
        </w:rPr>
        <w:t>Archivo leído:</w:t>
      </w:r>
      <w:r>
        <w:t xml:space="preserve"> pg1591_platon_protagoras_jowett.txt (reglas_del_juego_12oct\originales\pg1591_platon_protagoras_jowett.txt) · contraste del archivo de pasajes: ✔</w:t>
      </w:r>
      <w:r>
        <w:br/>
      </w:r>
      <w:r>
        <w:rPr>
          <w:b/>
        </w:rPr>
        <w:t>Lugar:</w:t>
      </w:r>
      <w:r>
        <w:t xml:space="preserve"> Protágoras 322b</w:t>
      </w:r>
      <w:r>
        <w:br/>
      </w:r>
      <w:r>
        <w:rPr>
          <w:b/>
        </w:rPr>
        <w:t>Dirección:</w:t>
      </w:r>
      <w:r>
        <w:t xml:space="preserve"> </w:t>
      </w:r>
      <w:r>
        <w:t>https://www.gutenberg.org/cache/epub/1591/pg1591.txt</w:t>
      </w:r>
      <w:r>
        <w:br/>
      </w:r>
      <w:r>
        <w:rPr>
          <w:b/>
        </w:rPr>
        <w:t>Tal como está en la fuente:</w:t>
      </w:r>
      <w:r>
        <w:t xml:space="preserve"> but when they were gathered together, having no art of government, they evil intreated one another, and were again in process of dispersion and destruction.</w:t>
      </w:r>
      <w:r>
        <w:br/>
      </w:r>
      <w:r>
        <w:rPr>
          <w:b/>
        </w:rPr>
        <w:t>Traducción guardada:</w:t>
      </w:r>
      <w:r>
        <w:t xml:space="preserve"> traducción propia: pero al reunirse, al no tener el arte de gobernar, se maltrataban unos a otros y volvían a dispersarse y a destruirse.</w:t>
      </w:r>
      <w:r>
        <w:t>. Y Zeus «envió a Hermes a ellos, con la reverencia y la justicia, para que fueran los principios que ordenan las ciudades y los lazos de la amistad y la concordia»</w:t>
      </w:r>
      <w:r>
        <w:t xml:space="preserve"> [original: «he sent Hermes to them, bearing reverence and justice to be the ordering principles of cities and the bonds of friendship and conciliation.», en la traducción inglesa de Jowett]</w:t>
      </w:r>
      <w:r>
        <w:t xml:space="preserve"> (ídem)</w:t>
      </w:r>
      <w:r>
        <w:br/>
      </w:r>
      <w:r>
        <w:rPr>
          <w:b/>
        </w:rPr>
        <w:t>leída en su fuente · ídem</w:t>
      </w:r>
      <w:r>
        <w:br/>
      </w:r>
      <w:r>
        <w:rPr>
          <w:b/>
        </w:rPr>
        <w:t>Archivo leído:</w:t>
      </w:r>
      <w:r>
        <w:t xml:space="preserve"> pg1591_platon_protagoras_jowett.txt (reglas_del_juego_12oct\originales\pg1591_platon_protagoras_jowett.txt) · contraste del archivo de pasajes: ✔</w:t>
      </w:r>
      <w:r>
        <w:br/>
      </w:r>
      <w:r>
        <w:rPr>
          <w:b/>
        </w:rPr>
        <w:t>Lugar:</w:t>
      </w:r>
      <w:r>
        <w:t xml:space="preserve"> Protágoras 322c</w:t>
      </w:r>
      <w:r>
        <w:br/>
      </w:r>
      <w:r>
        <w:rPr>
          <w:b/>
        </w:rPr>
        <w:t>Dirección:</w:t>
      </w:r>
      <w:r>
        <w:t xml:space="preserve"> </w:t>
      </w:r>
      <w:r>
        <w:t>https://www.gutenberg.org/cache/epub/1591/pg1591.txt</w:t>
      </w:r>
      <w:r>
        <w:br/>
      </w:r>
      <w:r>
        <w:rPr>
          <w:b/>
        </w:rPr>
        <w:t>Tal como está en la fuente:</w:t>
      </w:r>
      <w:r>
        <w:t xml:space="preserve"> he sent Hermes to them, bearing reverence and justice to be the ordering principles of cities and the bonds of friendship and conciliation.</w:t>
      </w:r>
      <w:r>
        <w:br/>
      </w:r>
      <w:r>
        <w:rPr>
          <w:b/>
        </w:rPr>
        <w:t>Traducción guardada:</w:t>
      </w:r>
      <w:r>
        <w:t xml:space="preserve"> traducción propia: envió a Hermes a ellos, llevando reverencia y justicia como principios ordenadores de las ciudades y vínculos de amistad y concordia.</w:t>
      </w:r>
      <w:r>
        <w:t>: «¿Así he de repartir la justicia y la reverencia entre los hombres, o se las daré a todos? A todos, dijo Zeus»</w:t>
      </w:r>
      <w:r>
        <w:t xml:space="preserve"> [original: «Shall this be the manner in which I am to distribute justice and reverence among men, or shall I give them to all?' 'To all,' said Zeus», en la traducción inglesa de Jowett]</w:t>
      </w:r>
      <w:r>
        <w:t xml:space="preserve"> (Platón, Protágoras, el mito de Prometeo, traducción inglesa de Jowett)</w:t>
      </w:r>
      <w:r>
        <w:br/>
      </w:r>
      <w:r>
        <w:rPr>
          <w:b/>
        </w:rPr>
        <w:t>leída en su fuente · Platón, Protágoras, el mito de Prometeo, traducción inglesa de Jowett</w:t>
      </w:r>
      <w:r>
        <w:br/>
      </w:r>
      <w:r>
        <w:rPr>
          <w:b/>
        </w:rPr>
        <w:t>Archivo leído:</w:t>
      </w:r>
      <w:r>
        <w:t xml:space="preserve"> pg1591_platon_protagoras_jowett.txt (reglas_del_juego_12oct\originales\pg1591_platon_protagoras_jowett.txt) · contraste del archivo de pasajes: ✔</w:t>
      </w:r>
      <w:r>
        <w:br/>
      </w:r>
      <w:r>
        <w:rPr>
          <w:b/>
        </w:rPr>
        <w:t>Lugar:</w:t>
      </w:r>
      <w:r>
        <w:t xml:space="preserve"> Protágoras 322c-d</w:t>
      </w:r>
      <w:r>
        <w:br/>
      </w:r>
      <w:r>
        <w:rPr>
          <w:b/>
        </w:rPr>
        <w:t>Dirección:</w:t>
      </w:r>
      <w:r>
        <w:t xml:space="preserve"> </w:t>
      </w:r>
      <w:r>
        <w:t>https://www.gutenberg.org/cache/epub/1591/pg1591.txt</w:t>
      </w:r>
      <w:r>
        <w:br/>
      </w:r>
      <w:r>
        <w:rPr>
          <w:b/>
        </w:rPr>
        <w:t>Tal como está en la fuente:</w:t>
      </w:r>
      <w:r>
        <w:t xml:space="preserve"> Shall this be the manner in which I am to distribute justice and reverence among men, or shall I give them to all?' 'To all,' said Zeus</w:t>
      </w:r>
      <w:r>
        <w:br/>
      </w:r>
      <w:r>
        <w:rPr>
          <w:b/>
        </w:rPr>
        <w:t>Traducción guardada:</w:t>
      </w:r>
      <w:r>
        <w:t xml:space="preserve"> traducción propia: ¿Será este el modo en que he de repartir la justicia y la reverencia entre los hombres, o se la daré a todos? 'A todos', dijo Zeus</w:t>
      </w:r>
      <w:r>
        <w:t>. En el Político, el mundo, dejado a sí mismo, iba «cumpliendo, en la medida en que las recordaba, las instrucciones de su Padre y Creador, con más exactitud al principio y después con menos»</w:t>
      </w:r>
      <w:r>
        <w:t xml:space="preserve"> [original: «executing, as far as he remembered them, the instructions of his Father and Creator, more precisely at first, but afterwords with less exactness.», en la traducción inglesa de Jowett]</w:t>
      </w:r>
      <w:r>
        <w:t xml:space="preserve"> (Platón, Político, el mito de la edad de Crono, traducción inglesa de Jowett)</w:t>
      </w:r>
      <w:r>
        <w:br/>
      </w:r>
      <w:r>
        <w:rPr>
          <w:b/>
        </w:rPr>
        <w:t>leída en su fuente · Platón, Político, el mito de la edad de Crono, traducción inglesa de Jowett</w:t>
      </w:r>
      <w:r>
        <w:br/>
      </w:r>
      <w:r>
        <w:rPr>
          <w:b/>
        </w:rPr>
        <w:t>Archivo leído:</w:t>
      </w:r>
      <w:r>
        <w:t xml:space="preserve"> pg1738_platon_politico_jowett.txt (reglas_del_juego_12oct\originales\pg1738_platon_politico_jowett.txt) · contraste del archivo de pasajes: ✔</w:t>
      </w:r>
      <w:r>
        <w:br/>
      </w:r>
      <w:r>
        <w:rPr>
          <w:b/>
        </w:rPr>
        <w:t>Lugar:</w:t>
      </w:r>
      <w:r>
        <w:t xml:space="preserve"> Político 273b</w:t>
      </w:r>
      <w:r>
        <w:br/>
      </w:r>
      <w:r>
        <w:rPr>
          <w:b/>
        </w:rPr>
        <w:t>Dirección:</w:t>
      </w:r>
      <w:r>
        <w:t xml:space="preserve"> </w:t>
      </w:r>
      <w:r>
        <w:t>https://www.gutenberg.org/cache/epub/1738/pg1738.txt</w:t>
      </w:r>
      <w:r>
        <w:br/>
      </w:r>
      <w:r>
        <w:rPr>
          <w:b/>
        </w:rPr>
        <w:t>Tal como está en la fuente:</w:t>
      </w:r>
      <w:r>
        <w:t xml:space="preserve"> executing, as far as he remembered them, the instructions of his Father and Creator, more precisely at first, but afterwords with less exactness.</w:t>
      </w:r>
      <w:r>
        <w:br/>
      </w:r>
      <w:r>
        <w:rPr>
          <w:b/>
        </w:rPr>
        <w:t>Traducción guardada:</w:t>
      </w:r>
      <w:r>
        <w:t xml:space="preserve"> traducción propia: cumpliendo, en cuanto las recordaba, las instrucciones de su Padre y Creador, con más precisión al principio, pero después con menos exactitud.</w:t>
      </w:r>
      <w:r>
        <w:t>.</w:t>
      </w:r>
    </w:p>
    <w:p>
      <w:pPr>
        <w:pStyle w:val="ListBullet"/>
      </w:pPr>
      <w:r>
        <w:rPr>
          <w:b/>
        </w:rPr>
        <w:t>Lo que se perdió.</w:t>
      </w:r>
      <w:r>
        <w:t xml:space="preserve"> «Pues los dioses tienen escondido a los hombres el sustento de la vida»</w:t>
      </w:r>
      <w:r>
        <w:t xml:space="preserve"> [original: «For the gods keep hidden from men the means of life.», en la traducción inglesa de Evelyn-White]</w:t>
      </w:r>
      <w:r>
        <w:t xml:space="preserve"> (Hesíodo, Trabajos y días 42)</w:t>
      </w:r>
      <w:r>
        <w:br/>
      </w:r>
      <w:r>
        <w:rPr>
          <w:b/>
        </w:rPr>
        <w:t>leída en su fuente · Hesíodo, Trabajos y días 42</w:t>
      </w:r>
      <w:r>
        <w:br/>
      </w:r>
      <w:r>
        <w:rPr>
          <w:b/>
        </w:rPr>
        <w:t>Archivo leído:</w:t>
      </w:r>
      <w:r>
        <w:t xml:space="preserve"> pg348.txt (cierre_mujer_varon_9oct\hesiodo_evelynwhite\pg348.txt) · contraste del archivo de pasajes: ✔</w:t>
      </w:r>
      <w:r>
        <w:br/>
      </w:r>
      <w:r>
        <w:rPr>
          <w:b/>
        </w:rPr>
        <w:t>Lugar:</w:t>
      </w:r>
      <w:r>
        <w:t xml:space="preserve"> Trabajos y días 42</w:t>
      </w:r>
      <w:r>
        <w:br/>
      </w:r>
      <w:r>
        <w:rPr>
          <w:b/>
        </w:rPr>
        <w:t>Dirección:</w:t>
      </w:r>
      <w:r>
        <w:t xml:space="preserve"> </w:t>
      </w:r>
      <w:r>
        <w:t>https://www.gutenberg.org/cache/epub/348/pg348.txt</w:t>
      </w:r>
      <w:r>
        <w:br/>
      </w:r>
      <w:r>
        <w:rPr>
          <w:b/>
        </w:rPr>
        <w:t>Tal como está en la fuente:</w:t>
      </w:r>
      <w:r>
        <w:t xml:space="preserve"> For the gods keep hidden from men the means of life.</w:t>
      </w:r>
      <w:r>
        <w:br/>
      </w:r>
      <w:r>
        <w:rPr>
          <w:b/>
        </w:rPr>
        <w:t>Traducción guardada:</w:t>
      </w:r>
      <w:r>
        <w:t xml:space="preserve"> traducción propia: Pues los dioses mantienen oculto a los hombres el sustento de la vida.</w:t>
      </w:r>
      <w:r>
        <w:t xml:space="preserve">. Pandora (Trabajos y días 54-105), en </w:t>
      </w:r>
      <w:r>
        <w:t>2.3</w:t>
      </w:r>
      <w:r>
        <w:t>. De la raza de hierro: «La fuerza será el derecho, y la reverencia dejará de existir»</w:t>
      </w:r>
      <w:r>
        <w:t xml:space="preserve"> [original: «Strength will be right and reverence will cease to be», en la traducción inglesa de Evelyn-White]</w:t>
      </w:r>
      <w:r>
        <w:t xml:space="preserve"> (Hesíodo, Trabajos y días 192-193)</w:t>
      </w:r>
      <w:r>
        <w:br/>
      </w:r>
      <w:r>
        <w:rPr>
          <w:b/>
        </w:rPr>
        <w:t>leída en su fuente · Hesíodo, Trabajos y días 192-193</w:t>
      </w:r>
      <w:r>
        <w:br/>
      </w:r>
      <w:r>
        <w:rPr>
          <w:b/>
        </w:rPr>
        <w:t>Archivo leído:</w:t>
      </w:r>
      <w:r>
        <w:t xml:space="preserve"> pg348.txt (cierre_mujer_varon_9oct\hesiodo_evelynwhite\pg348.txt) · contraste del archivo de pasajes: ✔</w:t>
      </w:r>
      <w:r>
        <w:br/>
      </w:r>
      <w:r>
        <w:rPr>
          <w:b/>
        </w:rPr>
        <w:t>Lugar:</w:t>
      </w:r>
      <w:r>
        <w:t xml:space="preserve"> Trabajos y días 192-193</w:t>
      </w:r>
      <w:r>
        <w:br/>
      </w:r>
      <w:r>
        <w:rPr>
          <w:b/>
        </w:rPr>
        <w:t>Dirección:</w:t>
      </w:r>
      <w:r>
        <w:t xml:space="preserve"> </w:t>
      </w:r>
      <w:r>
        <w:t>https://www.gutenberg.org/cache/epub/348/pg348.txt</w:t>
      </w:r>
      <w:r>
        <w:br/>
      </w:r>
      <w:r>
        <w:rPr>
          <w:b/>
        </w:rPr>
        <w:t>Tal como está en la fuente:</w:t>
      </w:r>
      <w:r>
        <w:t xml:space="preserve"> Strength will be right and reverence will cease to be</w:t>
      </w:r>
      <w:r>
        <w:br/>
      </w:r>
      <w:r>
        <w:rPr>
          <w:b/>
        </w:rPr>
        <w:t>Traducción guardada:</w:t>
      </w:r>
      <w:r>
        <w:t xml:space="preserve"> traducción propia: La fuerza será el derecho y la reverencia dejará de existir</w:t>
      </w:r>
      <w:r>
        <w:t>; «Y entonces Aidós y Némesis, con sus dulces formas envueltas en blancas vestiduras, dejarán la tierra de anchos caminos y abandonarán a la humanidad para unirse a la compañía de los dioses inmortales»</w:t>
      </w:r>
      <w:r>
        <w:t xml:space="preserve"> [original: «And then Aidos and Nemesis […] with their sweet forms wrapped in white robes, will go from the wide-pathed earth and forsake mankind to join the company of the deathless gods», en la traducción inglesa de Evelyn-White]</w:t>
      </w:r>
      <w:r>
        <w:t xml:space="preserve"> (Hesíodo, Trabajos y días 197-200)</w:t>
      </w:r>
      <w:r>
        <w:br/>
      </w:r>
      <w:r>
        <w:rPr>
          <w:b/>
        </w:rPr>
        <w:t>leída en su fuente · Hesíodo, Trabajos y días 197-200</w:t>
      </w:r>
      <w:r>
        <w:br/>
      </w:r>
      <w:r>
        <w:rPr>
          <w:b/>
        </w:rPr>
        <w:t>Archivo leído:</w:t>
      </w:r>
      <w:r>
        <w:t xml:space="preserve"> pg348.txt (cierre_mujer_varon_9oct\hesiodo_evelynwhite\pg348.txt) · contraste del archivo de pasajes: ✔</w:t>
      </w:r>
      <w:r>
        <w:br/>
      </w:r>
      <w:r>
        <w:rPr>
          <w:b/>
        </w:rPr>
        <w:t>Lugar:</w:t>
      </w:r>
      <w:r>
        <w:t xml:space="preserve"> Trabajos y días 197-200</w:t>
      </w:r>
      <w:r>
        <w:br/>
      </w:r>
      <w:r>
        <w:rPr>
          <w:b/>
        </w:rPr>
        <w:t>Dirección:</w:t>
      </w:r>
      <w:r>
        <w:t xml:space="preserve"> </w:t>
      </w:r>
      <w:r>
        <w:t>https://www.gutenberg.org/cache/epub/348/pg348.txt</w:t>
      </w:r>
      <w:r>
        <w:br/>
      </w:r>
      <w:r>
        <w:rPr>
          <w:b/>
        </w:rPr>
        <w:t>Tal como está en la fuente:</w:t>
      </w:r>
      <w:r>
        <w:t xml:space="preserve"> And then Aidos and Nemesis 1307, with their sweet forms wrapped in white robes, will go from the wide-pathed earth and forsake mankind to join the company of the deathless gods</w:t>
      </w:r>
      <w:r>
        <w:br/>
      </w:r>
      <w:r>
        <w:rPr>
          <w:b/>
        </w:rPr>
        <w:t>Traducción guardada:</w:t>
      </w:r>
      <w:r>
        <w:t xml:space="preserve"> traducción propia: Y entonces Aidos y Némesis, con sus dulces formas envueltas en blancas vestiduras, dejarán la tierra de anchos caminos y abandonarán a la humanidad para unirse a la compañía de los dioses inmortales</w:t>
      </w:r>
      <w:r>
        <w:t>; y el poeta: «Después, ojalá no estuviera yo entre los hombres de la quinta generación, sino que hubiera muerto antes o nacido después»</w:t>
      </w:r>
      <w:r>
        <w:t xml:space="preserve"> [original: «Thereafter, would that I were not among the men of the fifth generation, but either had died before or been born afterwards.», en la traducción inglesa de Evelyn-White]</w:t>
      </w:r>
      <w:r>
        <w:t xml:space="preserve"> (Hesíodo, Trabajos y días 174-175)</w:t>
      </w:r>
      <w:r>
        <w:br/>
      </w:r>
      <w:r>
        <w:rPr>
          <w:b/>
        </w:rPr>
        <w:t>leída en su fuente · Hesíodo, Trabajos y días 174-175</w:t>
      </w:r>
      <w:r>
        <w:br/>
      </w:r>
      <w:r>
        <w:rPr>
          <w:b/>
        </w:rPr>
        <w:t>Archivo leído:</w:t>
      </w:r>
      <w:r>
        <w:t xml:space="preserve"> pg348.txt (cierre_mujer_varon_9oct\hesiodo_evelynwhite\pg348.txt) · contraste del archivo de pasajes: ✔</w:t>
      </w:r>
      <w:r>
        <w:br/>
      </w:r>
      <w:r>
        <w:rPr>
          <w:b/>
        </w:rPr>
        <w:t>Lugar:</w:t>
      </w:r>
      <w:r>
        <w:t xml:space="preserve"> Trabajos y días 174-175</w:t>
      </w:r>
      <w:r>
        <w:br/>
      </w:r>
      <w:r>
        <w:rPr>
          <w:b/>
        </w:rPr>
        <w:t>Dirección:</w:t>
      </w:r>
      <w:r>
        <w:t xml:space="preserve"> </w:t>
      </w:r>
      <w:r>
        <w:t>https://www.gutenberg.org/cache/epub/348/pg348.txt</w:t>
      </w:r>
      <w:r>
        <w:br/>
      </w:r>
      <w:r>
        <w:rPr>
          <w:b/>
        </w:rPr>
        <w:t>Tal como está en la fuente:</w:t>
      </w:r>
      <w:r>
        <w:t xml:space="preserve"> Thereafter, would that I were not among the men of the fifth generation, but either had died before or been born afterwards.</w:t>
      </w:r>
      <w:r>
        <w:br/>
      </w:r>
      <w:r>
        <w:rPr>
          <w:b/>
        </w:rPr>
        <w:t>Traducción guardada:</w:t>
      </w:r>
      <w:r>
        <w:t xml:space="preserve"> traducción propia: Después, ojalá yo no estuviera entre los hombres de la quinta generación, sino que hubiera muerto antes o hubiera nacido después.</w:t>
      </w:r>
      <w:r>
        <w:t>. En el Político: «pero, con el paso del tiempo, hubo más y más olvido, y la vieja discordia volvió a dominar y estalló en todo su esplendor»</w:t>
      </w:r>
      <w:r>
        <w:t xml:space="preserve"> [original: «but, as time went on, there was more and more forgetting, and the old discord again held sway and burst forth in full glory», en la traducción inglesa de Jowett]</w:t>
      </w:r>
      <w:r>
        <w:t xml:space="preserve"> (Platón, Político, el mito de la edad de Crono, traducción inglesa de Jowett)</w:t>
      </w:r>
      <w:r>
        <w:br/>
      </w:r>
      <w:r>
        <w:rPr>
          <w:b/>
        </w:rPr>
        <w:t>leída en su fuente · Platón, Político, el mito de la edad de Crono, traducción inglesa de Jowett</w:t>
      </w:r>
      <w:r>
        <w:br/>
      </w:r>
      <w:r>
        <w:rPr>
          <w:b/>
        </w:rPr>
        <w:t>Archivo leído:</w:t>
      </w:r>
      <w:r>
        <w:t xml:space="preserve"> pg1738_platon_politico_jowett.txt (reglas_del_juego_12oct\originales\pg1738_platon_politico_jowett.txt) · contraste del archivo de pasajes: ✔</w:t>
      </w:r>
      <w:r>
        <w:br/>
      </w:r>
      <w:r>
        <w:rPr>
          <w:b/>
        </w:rPr>
        <w:t>Lugar:</w:t>
      </w:r>
      <w:r>
        <w:t xml:space="preserve"> Político 273c</w:t>
      </w:r>
      <w:r>
        <w:br/>
      </w:r>
      <w:r>
        <w:rPr>
          <w:b/>
        </w:rPr>
        <w:t>Dirección:</w:t>
      </w:r>
      <w:r>
        <w:t xml:space="preserve"> </w:t>
      </w:r>
      <w:r>
        <w:t>https://www.gutenberg.org/cache/epub/1738/pg1738.txt</w:t>
      </w:r>
      <w:r>
        <w:br/>
      </w:r>
      <w:r>
        <w:rPr>
          <w:b/>
        </w:rPr>
        <w:t>Tal como está en la fuente:</w:t>
      </w:r>
      <w:r>
        <w:t xml:space="preserve"> but, as time went on, there was more and more forgetting, and the old discord again held sway and burst forth in full glory</w:t>
      </w:r>
      <w:r>
        <w:br/>
      </w:r>
      <w:r>
        <w:rPr>
          <w:b/>
        </w:rPr>
        <w:t>Traducción guardada:</w:t>
      </w:r>
      <w:r>
        <w:t xml:space="preserve"> traducción propia: pero, con el tiempo, hubo más y más olvido, y la vieja discordia volvió a dominar y estalló en toda su gloria</w:t>
      </w:r>
      <w:r>
        <w:t>; y los hombres, «privados del cuidado de Dios, que los había tenido a su cargo y los había atendido, quedaron desvalidos e indefensos»</w:t>
      </w:r>
      <w:r>
        <w:t xml:space="preserve"> [original: «Deprived of the care of God, who had possessed and tended them, they were left helpless and defenceless», en la traducción inglesa de Jowett]</w:t>
      </w:r>
      <w:r>
        <w:t xml:space="preserve"> (Platón, Político, el mito de la edad de Crono, traducción inglesa de Jowett)</w:t>
      </w:r>
      <w:r>
        <w:br/>
      </w:r>
      <w:r>
        <w:rPr>
          <w:b/>
        </w:rPr>
        <w:t>leída en su fuente · Platón, Político, el mito de la edad de Crono, traducción inglesa de Jowett</w:t>
      </w:r>
      <w:r>
        <w:br/>
      </w:r>
      <w:r>
        <w:rPr>
          <w:b/>
        </w:rPr>
        <w:t>Archivo leído:</w:t>
      </w:r>
      <w:r>
        <w:t xml:space="preserve"> pg1738_platon_politico_jowett.txt (reglas_del_juego_12oct\originales\pg1738_platon_politico_jowett.txt) · contraste del archivo de pasajes: ✔</w:t>
      </w:r>
      <w:r>
        <w:br/>
      </w:r>
      <w:r>
        <w:rPr>
          <w:b/>
        </w:rPr>
        <w:t>Lugar:</w:t>
      </w:r>
      <w:r>
        <w:t xml:space="preserve"> Político 274b</w:t>
      </w:r>
      <w:r>
        <w:br/>
      </w:r>
      <w:r>
        <w:rPr>
          <w:b/>
        </w:rPr>
        <w:t>Dirección:</w:t>
      </w:r>
      <w:r>
        <w:t xml:space="preserve"> </w:t>
      </w:r>
      <w:r>
        <w:t>https://www.gutenberg.org/cache/epub/1738/pg1738.txt</w:t>
      </w:r>
      <w:r>
        <w:br/>
      </w:r>
      <w:r>
        <w:rPr>
          <w:b/>
        </w:rPr>
        <w:t>Tal como está en la fuente:</w:t>
      </w:r>
      <w:r>
        <w:t xml:space="preserve"> Deprived of the care of God, who had possessed and tended them, they were left helpless and defenceless</w:t>
      </w:r>
      <w:r>
        <w:br/>
      </w:r>
      <w:r>
        <w:rPr>
          <w:b/>
        </w:rPr>
        <w:t>Traducción guardada:</w:t>
      </w:r>
      <w:r>
        <w:t xml:space="preserve"> traducción propia: Privados del cuidado de Dios, que los había poseído y cuidado, quedaron desvalidos e indefensos</w:t>
      </w:r>
      <w:r>
        <w:t>.</w:t>
      </w:r>
    </w:p>
    <w:p>
      <w:pPr>
        <w:pStyle w:val="ListBullet"/>
      </w:pPr>
      <w:r>
        <w:rPr>
          <w:b/>
        </w:rPr>
        <w:t>El camino de vuelta.</w:t>
      </w:r>
      <w:r>
        <w:t xml:space="preserve"> «Por eso Dios, el que lo ordena todo, en su cuidado, viendo que el mundo estaba en grandes apuros y temiendo que todo se deshiciera en la tormenta y desapareciera en el caos sin fin, volvió a sentarse al timón»</w:t>
      </w:r>
      <w:r>
        <w:t xml:space="preserve"> [original: «Wherefore God, the orderer of all, in his tender care, seeing that the world was in great straits, and fearing that all might be dissolved in the storm and disappear in infinite chaos, again seated himself at the helm», en la traducción inglesa de Jowett]</w:t>
      </w:r>
      <w:r>
        <w:t xml:space="preserve"> (Platón, Político, el mito de la edad de Crono, traducción inglesa de Jowett)</w:t>
      </w:r>
      <w:r>
        <w:br/>
      </w:r>
      <w:r>
        <w:rPr>
          <w:b/>
        </w:rPr>
        <w:t>leída en su fuente · Platón, Político, el mito de la edad de Crono, traducción inglesa de Jowett</w:t>
      </w:r>
      <w:r>
        <w:br/>
      </w:r>
      <w:r>
        <w:rPr>
          <w:b/>
        </w:rPr>
        <w:t>Archivo leído:</w:t>
      </w:r>
      <w:r>
        <w:t xml:space="preserve"> pg1738_platon_politico_jowett.txt (reglas_del_juego_12oct\originales\pg1738_platon_politico_jowett.txt) · contraste del archivo de pasajes: ✔</w:t>
      </w:r>
      <w:r>
        <w:br/>
      </w:r>
      <w:r>
        <w:rPr>
          <w:b/>
        </w:rPr>
        <w:t>Lugar:</w:t>
      </w:r>
      <w:r>
        <w:t xml:space="preserve"> Político 273d-e</w:t>
      </w:r>
      <w:r>
        <w:br/>
      </w:r>
      <w:r>
        <w:rPr>
          <w:b/>
        </w:rPr>
        <w:t>Dirección:</w:t>
      </w:r>
      <w:r>
        <w:t xml:space="preserve"> </w:t>
      </w:r>
      <w:r>
        <w:t>https://www.gutenberg.org/cache/epub/1738/pg1738.txt</w:t>
      </w:r>
      <w:r>
        <w:br/>
      </w:r>
      <w:r>
        <w:rPr>
          <w:b/>
        </w:rPr>
        <w:t>Tal como está en la fuente:</w:t>
      </w:r>
      <w:r>
        <w:t xml:space="preserve"> Wherefore God, the orderer of all, in his tender care, seeing that the world was in great straits, and fearing that all might be dissolved in the storm and disappear in infinite chaos, again seated himself at the helm</w:t>
      </w:r>
      <w:r>
        <w:br/>
      </w:r>
      <w:r>
        <w:rPr>
          <w:b/>
        </w:rPr>
        <w:t>Traducción guardada:</w:t>
      </w:r>
      <w:r>
        <w:t xml:space="preserve"> traducción propia: Por lo cual Dios, el ordenador de todo, en su tierno cuidado, viendo que el mundo estaba en grandes apuros y temiendo que todo se disolviera en la tormenta y desapareciera en el caos infinito, volvió a sentarse al timón</w:t>
      </w:r>
      <w:r>
        <w:t>; y a los hombres, «por eso también los dones de que habla la vieja tradición se dieron al hombre por los dioses, junto con la enseñanza y la educación que eran indispensables»</w:t>
      </w:r>
      <w:r>
        <w:t xml:space="preserve"> [original: «wherefore also the gifts spoken of in the old tradition were imparted to man by the gods, together with so much teaching and education as was indispensable», en la traducción inglesa de Jowett]</w:t>
      </w:r>
      <w:r>
        <w:t xml:space="preserve"> (ídem)</w:t>
      </w:r>
      <w:r>
        <w:br/>
      </w:r>
      <w:r>
        <w:rPr>
          <w:b/>
        </w:rPr>
        <w:t>leída en su fuente · ídem</w:t>
      </w:r>
      <w:r>
        <w:br/>
      </w:r>
      <w:r>
        <w:rPr>
          <w:b/>
        </w:rPr>
        <w:t>Archivo leído:</w:t>
      </w:r>
      <w:r>
        <w:t xml:space="preserve"> pg1738_platon_politico_jowett.txt (reglas_del_juego_12oct\originales\pg1738_platon_politico_jowett.txt) · contraste del archivo de pasajes: ✔</w:t>
      </w:r>
      <w:r>
        <w:br/>
      </w:r>
      <w:r>
        <w:rPr>
          <w:b/>
        </w:rPr>
        <w:t>Lugar:</w:t>
      </w:r>
      <w:r>
        <w:t xml:space="preserve"> Político 274c</w:t>
      </w:r>
      <w:r>
        <w:br/>
      </w:r>
      <w:r>
        <w:rPr>
          <w:b/>
        </w:rPr>
        <w:t>Dirección:</w:t>
      </w:r>
      <w:r>
        <w:t xml:space="preserve"> </w:t>
      </w:r>
      <w:r>
        <w:t>https://www.gutenberg.org/cache/epub/1738/pg1738.txt</w:t>
      </w:r>
      <w:r>
        <w:br/>
      </w:r>
      <w:r>
        <w:rPr>
          <w:b/>
        </w:rPr>
        <w:t>Tal como está en la fuente:</w:t>
      </w:r>
      <w:r>
        <w:t xml:space="preserve"> wherefore also the gifts spoken of in the old tradition were imparted to man by the gods, together with so much teaching and education as was indispensable</w:t>
      </w:r>
      <w:r>
        <w:br/>
      </w:r>
      <w:r>
        <w:rPr>
          <w:b/>
        </w:rPr>
        <w:t>Traducción guardada:</w:t>
      </w:r>
      <w:r>
        <w:t xml:space="preserve"> traducción propia: por lo cual también los dones de que habla la vieja tradición fueron dados al hombre por los dioses, junto con tanta enseñanza y educación como era indispensable</w:t>
      </w:r>
      <w:r>
        <w:t>, y «tuvieron que ordenar por sí mismos el curso de su vida, y fueron dueños de sí»</w:t>
      </w:r>
      <w:r>
        <w:t xml:space="preserve"> [original: «they had to order their course of life for themselves, and were their own masters», en la traducción inglesa de Jowett]</w:t>
      </w:r>
      <w:r>
        <w:t xml:space="preserve"> (Platón, Político, el mito de la edad de Crono, traducción inglesa de Jowett)</w:t>
      </w:r>
      <w:r>
        <w:br/>
      </w:r>
      <w:r>
        <w:rPr>
          <w:b/>
        </w:rPr>
        <w:t>leída en su fuente · Platón, Político, el mito de la edad de Crono, traducción inglesa de Jowett</w:t>
      </w:r>
      <w:r>
        <w:br/>
      </w:r>
      <w:r>
        <w:rPr>
          <w:b/>
        </w:rPr>
        <w:t>Archivo leído:</w:t>
      </w:r>
      <w:r>
        <w:t xml:space="preserve"> pg1738_platon_politico_jowett.txt (reglas_del_juego_12oct\originales\pg1738_platon_politico_jowett.txt) · contraste del archivo de pasajes: ✔</w:t>
      </w:r>
      <w:r>
        <w:br/>
      </w:r>
      <w:r>
        <w:rPr>
          <w:b/>
        </w:rPr>
        <w:t>Lugar:</w:t>
      </w:r>
      <w:r>
        <w:t xml:space="preserve"> Político 274d</w:t>
      </w:r>
      <w:r>
        <w:br/>
      </w:r>
      <w:r>
        <w:rPr>
          <w:b/>
        </w:rPr>
        <w:t>Dirección:</w:t>
      </w:r>
      <w:r>
        <w:t xml:space="preserve"> </w:t>
      </w:r>
      <w:r>
        <w:t>https://www.gutenberg.org/cache/epub/1738/pg1738.txt</w:t>
      </w:r>
      <w:r>
        <w:br/>
      </w:r>
      <w:r>
        <w:rPr>
          <w:b/>
        </w:rPr>
        <w:t>Tal como está en la fuente:</w:t>
      </w:r>
      <w:r>
        <w:t xml:space="preserve"> they had to order their course of life for themselves, and were their own masters</w:t>
      </w:r>
      <w:r>
        <w:br/>
      </w:r>
      <w:r>
        <w:rPr>
          <w:b/>
        </w:rPr>
        <w:t>Traducción guardada:</w:t>
      </w:r>
      <w:r>
        <w:t xml:space="preserve"> traducción propia: tuvieron que ordenar por sí mismos el curso de su vida y fueron dueños de sí</w:t>
      </w:r>
      <w:r>
        <w:t>.</w:t>
      </w:r>
    </w:p>
    <w:p>
      <w:pPr>
        <w:pStyle w:val="ListBullet"/>
      </w:pPr>
      <w:r>
        <w:rPr>
          <w:b/>
        </w:rPr>
        <w:t>La orden de Zeus, con su diferencia</w:t>
      </w:r>
      <w:r>
        <w:t xml:space="preserve"> (</w:t>
      </w:r>
      <w:r>
        <w:t>3.7</w:t>
      </w:r>
      <w:r>
        <w:t>). Es un mito, que Protágoras elige contar: «Bien, entonces, dijo, creo que el mito será más interesante»</w:t>
      </w:r>
      <w:r>
        <w:t xml:space="preserve"> [original: «Well, then, he said, I think that the myth will be more interesting», en la traducción inglesa de Jowett; en el griego de Burnet: «δοκεῖ τοίνυν μοι, ἔφη, χαριέστερον εἶναι μῦθον ὑμῖν λέγειν»]</w:t>
      </w:r>
      <w:r>
        <w:t xml:space="preserve"> (Platón, Protágoras 320c)</w:t>
      </w:r>
      <w:r>
        <w:br/>
      </w:r>
      <w:r>
        <w:rPr>
          <w:b/>
        </w:rPr>
        <w:t>leída en su fuente · Platón, Protágoras 320c</w:t>
      </w:r>
      <w:r>
        <w:br/>
      </w:r>
      <w:r>
        <w:rPr>
          <w:b/>
        </w:rPr>
        <w:t>Archivo leído:</w:t>
      </w:r>
      <w:r>
        <w:t xml:space="preserve"> pg1591_platon_protagoras_jowett.txt (reglas_del_juego_12oct\originales\pg1591_platon_protagoras_jowett.txt) · contraste del archivo de pasajes: ✔</w:t>
      </w:r>
      <w:r>
        <w:br/>
      </w:r>
      <w:r>
        <w:rPr>
          <w:b/>
        </w:rPr>
        <w:t>Lugar:</w:t>
      </w:r>
      <w:r>
        <w:t xml:space="preserve"> Platón, Protágoras 320c</w:t>
      </w:r>
      <w:r>
        <w:br/>
      </w:r>
      <w:r>
        <w:rPr>
          <w:b/>
        </w:rPr>
        <w:t>Tal como está en la fuente:</w:t>
      </w:r>
      <w:r>
        <w:t xml:space="preserve"> Well, then, he said, I think that the myth will be more interesting</w:t>
      </w:r>
      <w:r>
        <w:t>. Zeus añade: «Y además, haz una ley por orden mía: que al que no tenga parte en la reverencia y la justicia se le dé muerte, porque es una plaga del Estado»</w:t>
      </w:r>
      <w:r>
        <w:t xml:space="preserve"> [original: «And further, make a law by my order, that he who has no part in reverence and justice shall be put to death, for he is a plague of the state.», en la traducción inglesa de Jowett]</w:t>
      </w:r>
      <w:r>
        <w:t xml:space="preserve"> (Platón, Protágoras, el mito de Prometeo, traducción inglesa de Jowett)</w:t>
      </w:r>
      <w:r>
        <w:br/>
      </w:r>
      <w:r>
        <w:rPr>
          <w:b/>
        </w:rPr>
        <w:t>leída en su fuente · Platón, Protágoras, el mito de Prometeo, traducción inglesa de Jowett</w:t>
      </w:r>
      <w:r>
        <w:br/>
      </w:r>
      <w:r>
        <w:rPr>
          <w:b/>
        </w:rPr>
        <w:t>Archivo leído:</w:t>
      </w:r>
      <w:r>
        <w:t xml:space="preserve"> pg1591_platon_protagoras_jowett.txt (reglas_del_juego_12oct\originales\pg1591_platon_protagoras_jowett.txt) · contraste del archivo de pasajes: ✔</w:t>
      </w:r>
      <w:r>
        <w:br/>
      </w:r>
      <w:r>
        <w:rPr>
          <w:b/>
        </w:rPr>
        <w:t>Lugar:</w:t>
      </w:r>
      <w:r>
        <w:t xml:space="preserve"> Protágoras 322d</w:t>
      </w:r>
      <w:r>
        <w:br/>
      </w:r>
      <w:r>
        <w:rPr>
          <w:b/>
        </w:rPr>
        <w:t>Dirección:</w:t>
      </w:r>
      <w:r>
        <w:t xml:space="preserve"> </w:t>
      </w:r>
      <w:r>
        <w:t>https://www.gutenberg.org/cache/epub/1591/pg1591.txt</w:t>
      </w:r>
      <w:r>
        <w:br/>
      </w:r>
      <w:r>
        <w:rPr>
          <w:b/>
        </w:rPr>
        <w:t>Tal como está en la fuente:</w:t>
      </w:r>
      <w:r>
        <w:t xml:space="preserve"> And further, make a law by my order, that he who has no part in reverence and justice shall be put to death, for he is a plague of the state.</w:t>
      </w:r>
      <w:r>
        <w:br/>
      </w:r>
      <w:r>
        <w:rPr>
          <w:b/>
        </w:rPr>
        <w:t>Traducción guardada:</w:t>
      </w:r>
      <w:r>
        <w:t xml:space="preserve"> traducción propia: Y además, haz una ley por orden mía: que quien no tenga parte en la reverencia y la justicia sea condenado a muerte, pues es una plaga para el Estado.</w:t>
      </w:r>
      <w:r>
        <w:t>. El griego dice: «y pon además una ley de mi parte: que al que no pueda participar de la reverencia y la justicia se le dé muerte, como a una enfermedad de la ciudad»</w:t>
      </w:r>
      <w:r>
        <w:t xml:space="preserve"> [original: «καὶ νόμον γε θὲς παρʼ ἐμοῦ τὸν μὴ δυνάμενον αἰδοῦς καὶ δίκης μετέχειν κτείνειν ὡς νόσον πόλεως»]</w:t>
      </w:r>
      <w:r>
        <w:t xml:space="preserve"> (Platón, Protágoras 322d, griego de Burnet)</w:t>
      </w:r>
      <w:r>
        <w:br/>
      </w:r>
      <w:r>
        <w:rPr>
          <w:b/>
        </w:rPr>
        <w:t>leída en su fuente · Platón, Protágoras 322d, griego de Burnet</w:t>
      </w:r>
      <w:r>
        <w:br/>
      </w:r>
      <w:r>
        <w:rPr>
          <w:b/>
        </w:rPr>
        <w:t>Original donde está:</w:t>
      </w:r>
      <w:r>
        <w:t xml:space="preserve"> perseus_tlg0059.tlg022_platon_protagoras_burnet_grc.xml.txt</w:t>
      </w:r>
      <w:r>
        <w:br/>
      </w:r>
      <w:r>
        <w:t>El pasaje literal no está en el archivo de pasajes con este comienzo; la auditoría lo halló en ese original.</w:t>
      </w:r>
      <w:r>
        <w:t>. Y el mismo diálogo dice para qué castigan los hombres: «nadie castiga al malhechor con la idea, o por la razón, de que ha hecho mal; solo la furia sin razón de una bestia obra así. Pero el que quiere castigar con razón no se venga de un mal pasado que no se puede deshacer; mira al futuro, y quiere que el castigado, y el que lo ve castigado, se aparten de volver a obrar mal. Castiga para prevenir»</w:t>
      </w:r>
      <w:r>
        <w:t xml:space="preserve"> [original: «no one punishes the evil-doer under the notion, or for the reason, that he has done wrong,--only the unreasonable fury of a beast acts in that manner. But he who desires to inflict rational punishment does not retaliate for a past wrong which cannot be undone; he has regard to the future, and is desirous that the man who is punished, and he who sees him punished, may be deterred from doing wrong again. He punishes for the sake of prevention», en la traducción inglesa de Jowett; en el griego de Burnet, el final: «ἀποτροπῆς γοῦν ἕνεκα κολάζει»]</w:t>
      </w:r>
      <w:r>
        <w:t xml:space="preserve"> (Platón, Protágoras 324a-b)</w:t>
      </w:r>
      <w:r>
        <w:br/>
      </w:r>
      <w:r>
        <w:rPr>
          <w:b/>
        </w:rPr>
        <w:t>leída en su fuente · Platón, Protágoras 324a-b</w:t>
      </w:r>
      <w:r>
        <w:br/>
      </w:r>
      <w:r>
        <w:rPr>
          <w:b/>
        </w:rPr>
        <w:t>Archivo leído:</w:t>
      </w:r>
      <w:r>
        <w:t xml:space="preserve"> perseus_tlg0059.tlg022_platon_protagoras_burnet_grc.xml.txt (reglas_del_juego_12oct\originales\pg1591_platon_protagoras_jowett.txt) · contraste del archivo de pasajes: ✔</w:t>
      </w:r>
      <w:r>
        <w:br/>
      </w:r>
      <w:r>
        <w:rPr>
          <w:b/>
        </w:rPr>
        <w:t>Lugar:</w:t>
      </w:r>
      <w:r>
        <w:t xml:space="preserve"> Protágoras 324a-b (Jowett)</w:t>
      </w:r>
      <w:r>
        <w:br/>
      </w:r>
      <w:r>
        <w:rPr>
          <w:b/>
        </w:rPr>
        <w:t>Tal como está en la fuente:</w:t>
      </w:r>
      <w:r>
        <w:t xml:space="preserve"> no one punishes the evil-doer under the notion, or for the reason, that he has done wrong,--only the unreasonable fury of a beast acts in that manner. But he who desires to inflict rational punishment does not retaliate for a past wrong which cannot be undone; he has regard to the future, and is desirous that the man who is punished, and he who sees him punished, may be deterred from doing wrong again. He punishes for the sake of prevention,</w:t>
      </w:r>
      <w:r>
        <w:br/>
      </w:r>
      <w:r>
        <w:rPr>
          <w:b/>
        </w:rPr>
        <w:t>Traducción guardada:</w:t>
      </w:r>
      <w:r>
        <w:t xml:space="preserve"> traducción propia: nadie castiga al malhechor con la idea, o por la razón, de que ha hecho mal; solo la furia sin razón de una bestia obra así. Pero el que quiere castigar con razón no se venga de un mal pasado que no se puede deshacer; mira al futuro, y quiere que el castigado, y el que lo ve castigado, se aparten de volver a obrar mal. Castiga para prevenir,</w:t>
      </w:r>
      <w:r>
        <w:t>; y cómo, antes de la muerte: «y si al que le falta esto, sea solo un niño o un hombre o una mujer ya mayores, hay que enseñarle y castigarle hasta que con el castigo se haga mejor, y el que se rebela contra la enseñanza y el castigo es desterrado o condenado a muerte, por tenerlo por incurable»</w:t>
      </w:r>
      <w:r>
        <w:t xml:space="preserve"> [original: «and if he who is wanting in this, whether he be a child only or a grown-up man or woman, must be taught and punished, until by punishment he becomes better, and he who rebels against instruction and punishment is either exiled or condemned to death under the idea that he is incurable», en la traducción inglesa de Jowett; en el griego de Burnet: «ἢ τὸν μὴ μετέχοντα καὶ διδάσκειν καὶ κολάζειν καὶ παῖδα καὶ ἄνδρα καὶ γυναῖκα, ἕωσπερ ἂν κολαζόμενος βελτίων γένηται, ὃς δʼ ἂν μὴ ὑπακούῃ κολαζόμενος καὶ διδασκόμενος, ὡς ἀνίατον ὄντα τοῦτον ἐκβάλλειν ἐκ τῶν πόλεων ἢ ἀποκτείνειν»]</w:t>
      </w:r>
      <w:r>
        <w:t xml:space="preserve"> (Platón, Protágoras 325a-b)</w:t>
      </w:r>
      <w:r>
        <w:br/>
      </w:r>
      <w:r>
        <w:rPr>
          <w:b/>
        </w:rPr>
        <w:t>leída en su fuente · Platón, Protágoras 325a-b</w:t>
      </w:r>
      <w:r>
        <w:br/>
      </w:r>
      <w:r>
        <w:rPr>
          <w:b/>
        </w:rPr>
        <w:t>Archivo leído:</w:t>
      </w:r>
      <w:r>
        <w:t xml:space="preserve"> perseus_tlg0059.tlg022_platon_protagoras_burnet_grc.xml.txt (reglas_del_juego_12oct\originales\pg1591_platon_protagoras_jowett.txt) · contraste del archivo de pasajes: ✔</w:t>
      </w:r>
      <w:r>
        <w:br/>
      </w:r>
      <w:r>
        <w:rPr>
          <w:b/>
        </w:rPr>
        <w:t>Lugar:</w:t>
      </w:r>
      <w:r>
        <w:t xml:space="preserve"> Protágoras 325a-b (Jowett)</w:t>
      </w:r>
      <w:r>
        <w:br/>
      </w:r>
      <w:r>
        <w:rPr>
          <w:b/>
        </w:rPr>
        <w:t>Tal como está en la fuente:</w:t>
      </w:r>
      <w:r>
        <w:t xml:space="preserve"> and if he who is wanting in this, whether he be a child only or a grown-up man or woman, must be taught and punished, until by punishment he becomes better, and he who rebels against instruction and punishment is either exiled or condemned to death under the idea that he is incurable</w:t>
      </w:r>
      <w:r>
        <w:br/>
      </w:r>
      <w:r>
        <w:rPr>
          <w:b/>
        </w:rPr>
        <w:t>Traducción guardada:</w:t>
      </w:r>
      <w:r>
        <w:t xml:space="preserve"> traducción propia: y si al que le falta esto, sea solo un niño o un hombre o una mujer ya mayores, hay que enseñarle y castigarle hasta que con el castigo se haga mejor, y el que se rebela contra la enseñanza y el castigo es desterrado o condenado a muerte, por tenerlo por incurable</w:t>
      </w:r>
      <w:r>
        <w:t>.</w:t>
      </w:r>
    </w:p>
    <w:p>
      <w:r>
        <w:rPr>
          <w:b/>
        </w:rPr>
        <w:t>12. América: el Popol Vuh</w:t>
      </w:r>
      <w:r>
        <w:t xml:space="preserve"> (castellano de Ximénez, edición de Scherzer, Viena, 1857).</w:t>
      </w:r>
    </w:p>
    <w:p>
      <w:pPr>
        <w:pStyle w:val="ListBullet"/>
      </w:pPr>
      <w:r>
        <w:rPr>
          <w:b/>
        </w:rPr>
        <w:t>Lo que se dio.</w:t>
      </w:r>
      <w:r>
        <w:t xml:space="preserve"> De los cuatro primeros hombres: «y luego lo vieron todo cuanto habia en el mundo»</w:t>
      </w:r>
      <w:r>
        <w:t xml:space="preserve"> (Popol Vuh, versión castellana de Ximénez, ed. Scherzer, 1857, pp. 81-82)</w:t>
      </w:r>
      <w:r>
        <w:br/>
      </w:r>
      <w:r>
        <w:rPr>
          <w:b/>
        </w:rPr>
        <w:t>leída en su fuente · Popol Vuh, versión castellana de Ximénez, ed. Scherzer, 1857, pp. 81-82</w:t>
      </w:r>
      <w:r>
        <w:br/>
      </w:r>
      <w:r>
        <w:rPr>
          <w:b/>
        </w:rPr>
        <w:t>Archivo leído:</w:t>
      </w:r>
      <w:r>
        <w:t xml:space="preserve"> ximenez_1857_scherzer_historias_origen_indios_guatemala_archive.txt (reglas_del_juego_12oct\originales\ximenez_1857_scherzer_historias_origen_indios_guatemala_archive.txt) · contraste del archivo de pasajes: ✔</w:t>
      </w:r>
      <w:r>
        <w:br/>
      </w:r>
      <w:r>
        <w:rPr>
          <w:b/>
        </w:rPr>
        <w:t>Lugar:</w:t>
      </w:r>
      <w:r>
        <w:t xml:space="preserve"> Popol Vuh (Ximénez, 1857)</w:t>
      </w:r>
      <w:r>
        <w:br/>
      </w:r>
      <w:r>
        <w:rPr>
          <w:b/>
        </w:rPr>
        <w:t>Tal como está en la fuente:</w:t>
      </w:r>
      <w:r>
        <w:t xml:space="preserve"> y luego lo vieron todo cuanto habia en el mundo,</w:t>
      </w:r>
      <w:r>
        <w:t>; y «acabaron de saberlo todo y de verlo hasta los cuatro rincones del cielo y de la tierra»</w:t>
      </w:r>
      <w:r>
        <w:t xml:space="preserve"> (ídem, p. 82)</w:t>
      </w:r>
      <w:r>
        <w:br/>
      </w:r>
      <w:r>
        <w:rPr>
          <w:b/>
        </w:rPr>
        <w:t>leída en su fuente · ídem, p. 82</w:t>
      </w:r>
      <w:r>
        <w:br/>
      </w:r>
      <w:r>
        <w:rPr>
          <w:b/>
        </w:rPr>
        <w:t>Archivo leído:</w:t>
      </w:r>
      <w:r>
        <w:t xml:space="preserve"> ximenez_1857_scherzer_historias_origen_indios_guatemala_archive.txt (reglas_del_juego_12oct\originales\ximenez_1857_scherzer_historias_origen_indios_guatemala_archive.txt) · contraste del archivo de pasajes: ✔</w:t>
      </w:r>
      <w:r>
        <w:br/>
      </w:r>
      <w:r>
        <w:rPr>
          <w:b/>
        </w:rPr>
        <w:t>Lugar:</w:t>
      </w:r>
      <w:r>
        <w:t xml:space="preserve"> Ximénez, p. 82</w:t>
      </w:r>
      <w:r>
        <w:br/>
      </w:r>
      <w:r>
        <w:rPr>
          <w:b/>
        </w:rPr>
        <w:t>Dirección:</w:t>
      </w:r>
      <w:r>
        <w:t xml:space="preserve"> </w:t>
      </w:r>
      <w:r>
        <w:t>https://archive.org/download/lashistoriasdelo00xim/lashistoriasdelo00xim_djvu.txt</w:t>
      </w:r>
      <w:r>
        <w:br/>
      </w:r>
      <w:r>
        <w:rPr>
          <w:b/>
        </w:rPr>
        <w:t>Tal como está en la fuente:</w:t>
      </w:r>
      <w:r>
        <w:t xml:space="preserve"> acabaron de saberlo todo y de verlo hasta los cuatro rincones del cielo y de la tierra</w:t>
      </w:r>
      <w:r>
        <w:t>.</w:t>
      </w:r>
    </w:p>
    <w:p>
      <w:pPr>
        <w:pStyle w:val="ListBullet"/>
      </w:pPr>
      <w:r>
        <w:rPr>
          <w:b/>
        </w:rPr>
        <w:t>Lo que se perdió.</w:t>
      </w:r>
      <w:r>
        <w:t xml:space="preserve"> «Y no les pareció bien esto á los formadores y criadores: no está bien esto»</w:t>
      </w:r>
      <w:r>
        <w:t xml:space="preserve"> (ídem, p. 82)</w:t>
      </w:r>
      <w:r>
        <w:br/>
      </w:r>
      <w:r>
        <w:rPr>
          <w:b/>
        </w:rPr>
        <w:t>leída en su fuente · ídem, p. 82</w:t>
      </w:r>
      <w:r>
        <w:br/>
      </w:r>
      <w:r>
        <w:rPr>
          <w:b/>
        </w:rPr>
        <w:t>Archivo leído:</w:t>
      </w:r>
      <w:r>
        <w:t xml:space="preserve"> ximenez_1857_scherzer_historias_origen_indios_guatemala_archive.txt (reglas_del_juego_12oct\originales\ximenez_1857_scherzer_historias_origen_indios_guatemala_archive.txt) · contraste del archivo de pasajes: ✔</w:t>
      </w:r>
      <w:r>
        <w:br/>
      </w:r>
      <w:r>
        <w:rPr>
          <w:b/>
        </w:rPr>
        <w:t>Lugar:</w:t>
      </w:r>
      <w:r>
        <w:t xml:space="preserve"> Ximénez, p. 82</w:t>
      </w:r>
      <w:r>
        <w:br/>
      </w:r>
      <w:r>
        <w:rPr>
          <w:b/>
        </w:rPr>
        <w:t>Dirección:</w:t>
      </w:r>
      <w:r>
        <w:t xml:space="preserve"> </w:t>
      </w:r>
      <w:r>
        <w:t>https://archive.org/download/lashistoriasdelo00xim/lashistoriasdelo00xim_djvu.txt</w:t>
      </w:r>
      <w:r>
        <w:br/>
      </w:r>
      <w:r>
        <w:rPr>
          <w:b/>
        </w:rPr>
        <w:t>Tal como está en la fuente:</w:t>
      </w:r>
      <w:r>
        <w:t xml:space="preserve"> Y no les pareció bien esto á los formadores y criadores: no está bien esto,</w:t>
      </w:r>
      <w:r>
        <w:t>. «Y luego les fué echado vaho en los ojos por aquel que era el corazón del cielo, y se los empañó así como si soplando un espejo que le empaña, así le empañó los ojos, y así solo pudo ver lo que estaba cerca, solo aquello»</w:t>
      </w:r>
      <w:r>
        <w:t xml:space="preserve"> (ídem, p. 82)</w:t>
      </w:r>
      <w:r>
        <w:br/>
      </w:r>
      <w:r>
        <w:rPr>
          <w:b/>
        </w:rPr>
        <w:t>leída en su fuente · ídem, p. 82</w:t>
      </w:r>
      <w:r>
        <w:br/>
      </w:r>
      <w:r>
        <w:rPr>
          <w:b/>
        </w:rPr>
        <w:t>Archivo leído:</w:t>
      </w:r>
      <w:r>
        <w:t xml:space="preserve"> ximenez_1857_scherzer_historias_origen_indios_guatemala_archive.txt (reglas_del_juego_12oct\originales\ximenez_1857_scherzer_historias_origen_indios_guatemala_archive.txt) · contraste del archivo de pasajes: ✔</w:t>
      </w:r>
      <w:r>
        <w:br/>
      </w:r>
      <w:r>
        <w:rPr>
          <w:b/>
        </w:rPr>
        <w:t>Lugar:</w:t>
      </w:r>
      <w:r>
        <w:t xml:space="preserve"> Ximénez, p. 82</w:t>
      </w:r>
      <w:r>
        <w:br/>
      </w:r>
      <w:r>
        <w:rPr>
          <w:b/>
        </w:rPr>
        <w:t>Dirección:</w:t>
      </w:r>
      <w:r>
        <w:t xml:space="preserve"> </w:t>
      </w:r>
      <w:r>
        <w:t>https://archive.org/download/lashistoriasdelo00xim/lashistoriasdelo00xim_djvu.txt</w:t>
      </w:r>
      <w:r>
        <w:br/>
      </w:r>
      <w:r>
        <w:rPr>
          <w:b/>
        </w:rPr>
        <w:t>Tal como está en la fuente:</w:t>
      </w:r>
      <w:r>
        <w:t xml:space="preserve"> Y luego les fué echado vaho en los ojos por aquel que era el corazón del cielo, y se los empañó así como si soplando un espejo que le empaña, así le empañó los ojos, y así solo pudo ver lo que estaba cerca, solo aquello</w:t>
      </w:r>
      <w:r>
        <w:t>; «y así fué perdida la sabiduría»</w:t>
      </w:r>
      <w:r>
        <w:t xml:space="preserve"> (ídem, p. 83)</w:t>
      </w:r>
      <w:r>
        <w:br/>
      </w:r>
      <w:r>
        <w:rPr>
          <w:b/>
        </w:rPr>
        <w:t>leída en su fuente · ídem, p. 83</w:t>
      </w:r>
      <w:r>
        <w:br/>
      </w:r>
      <w:r>
        <w:rPr>
          <w:b/>
        </w:rPr>
        <w:t>Archivo leído:</w:t>
      </w:r>
      <w:r>
        <w:t xml:space="preserve"> ximenez_1857_scherzer_historias_origen_indios_guatemala_archive.txt (reglas_del_juego_12oct\originales\ximenez_1857_scherzer_historias_origen_indios_guatemala_archive.txt) · contraste del archivo de pasajes: ✔</w:t>
      </w:r>
      <w:r>
        <w:br/>
      </w:r>
      <w:r>
        <w:rPr>
          <w:b/>
        </w:rPr>
        <w:t>Lugar:</w:t>
      </w:r>
      <w:r>
        <w:t xml:space="preserve"> Ximénez, p. 83</w:t>
      </w:r>
      <w:r>
        <w:br/>
      </w:r>
      <w:r>
        <w:rPr>
          <w:b/>
        </w:rPr>
        <w:t>Dirección:</w:t>
      </w:r>
      <w:r>
        <w:t xml:space="preserve"> </w:t>
      </w:r>
      <w:r>
        <w:t>https://archive.org/download/lashistoriasdelo00xim/lashistoriasdelo00xim_djvu.txt</w:t>
      </w:r>
      <w:r>
        <w:br/>
      </w:r>
      <w:r>
        <w:rPr>
          <w:b/>
        </w:rPr>
        <w:t>Tal como está en la fuente:</w:t>
      </w:r>
      <w:r>
        <w:t xml:space="preserve"> le estaba claro, y así fué perdida la sabiduría y enten- dimiento de los cuatro hombres primeros</w:t>
      </w:r>
      <w:r>
        <w:t>, y el entendimiento de los cuatro hombres primeros.</w:t>
      </w:r>
    </w:p>
    <w:p>
      <w:pPr>
        <w:pStyle w:val="ListBullet"/>
      </w:pPr>
      <w:r>
        <w:rPr>
          <w:b/>
        </w:rPr>
        <w:t>El camino de vuelta.</w:t>
      </w:r>
      <w:r>
        <w:t xml:space="preserve"> En lo leído, no se nombra.</w:t>
      </w:r>
    </w:p>
    <w:p>
      <w:r>
        <w:rPr>
          <w:b/>
        </w:rPr>
        <w:t>13. Lo que pide el cribado de 3.7: el camino lo anda cada uno, el aviso antes de la consecuencia y quién la ejecuta</w:t>
      </w:r>
      <w:r>
        <w:t xml:space="preserve"> (tres lotes leídos para el cribado, 12-oct-2026).</w:t>
      </w:r>
    </w:p>
    <w:p>
      <w:pPr>
        <w:pStyle w:val="ListBullet"/>
      </w:pPr>
      <w:r>
        <w:rPr>
          <w:b/>
        </w:rPr>
        <w:t>El camino lo anda cada uno.</w:t>
      </w:r>
      <w:r>
        <w:t xml:space="preserve"> </w:t>
      </w:r>
    </w:p>
    <w:p>
      <w:pPr>
        <w:pStyle w:val="ListBullet2"/>
      </w:pPr>
      <w:r>
        <w:rPr>
          <w:b/>
        </w:rPr>
        <w:t>El Nuevo Testamento</w:t>
      </w:r>
      <w:r>
        <w:t xml:space="preserve"> (Reina-Valera Antigua): «Y decía á todos: Si alguno quiere venir en pos de mí, niéguese á sí mismo, y tome su cruz cada día, y sígame»</w:t>
      </w:r>
      <w:r>
        <w:t xml:space="preserve"> (Lc 9:23)</w:t>
      </w:r>
      <w:r>
        <w:br/>
      </w:r>
      <w:r>
        <w:rPr>
          <w:b/>
        </w:rPr>
        <w:t>leída en su fuente · Lc 9:23</w:t>
      </w:r>
      <w:r>
        <w:br/>
      </w:r>
      <w:r>
        <w:rPr>
          <w:b/>
        </w:rPr>
        <w:t>Archivo leído:</w:t>
      </w:r>
      <w:r>
        <w:t xml:space="preserve"> sblgnt_Matt.txt (biblia_rv1909\spaRV1909_texto_corrido.txt) · contraste del archivo de pasajes: ✔</w:t>
      </w:r>
      <w:r>
        <w:br/>
      </w:r>
      <w:r>
        <w:rPr>
          <w:b/>
        </w:rPr>
        <w:t>Lugar:</w:t>
      </w:r>
      <w:r>
        <w:t xml:space="preserve"> Lc 9:23 (RV1909)</w:t>
      </w:r>
      <w:r>
        <w:br/>
      </w:r>
      <w:r>
        <w:rPr>
          <w:b/>
        </w:rPr>
        <w:t>Tal como está en la fuente:</w:t>
      </w:r>
      <w:r>
        <w:t xml:space="preserve"> Y decía á todos: Si alguno quiere venir en pos de mí, niéguese á sí mismo, y tome su cruz cada día, y sígame.</w:t>
      </w:r>
      <w:r>
        <w:t>. «El que dice que está en él, debe andar como él anduvo»</w:t>
      </w:r>
      <w:r>
        <w:t xml:space="preserve"> (1 Jn 2:6)</w:t>
      </w:r>
      <w:r>
        <w:br/>
      </w:r>
      <w:r>
        <w:rPr>
          <w:b/>
        </w:rPr>
        <w:t>leída en su fuente · 1 Jn 2:6</w:t>
      </w:r>
      <w:r>
        <w:br/>
      </w:r>
      <w:r>
        <w:rPr>
          <w:b/>
        </w:rPr>
        <w:t>Archivo leído:</w:t>
      </w:r>
      <w:r>
        <w:t xml:space="preserve"> sblgnt_Matt.txt (biblia_rv1909\spaRV1909_texto_corrido.txt) · contraste del archivo de pasajes: ✔</w:t>
      </w:r>
      <w:r>
        <w:br/>
      </w:r>
      <w:r>
        <w:rPr>
          <w:b/>
        </w:rPr>
        <w:t>Lugar:</w:t>
      </w:r>
      <w:r>
        <w:t xml:space="preserve"> 1 Jn 2:6 (RV1909)</w:t>
      </w:r>
      <w:r>
        <w:br/>
      </w:r>
      <w:r>
        <w:rPr>
          <w:b/>
        </w:rPr>
        <w:t>Tal como está en la fuente:</w:t>
      </w:r>
      <w:r>
        <w:t xml:space="preserve"> El que dice que está en él, debe andar como él anduvo.</w:t>
      </w:r>
      <w:r>
        <w:t>. «Porque cada cual llevará su carga»</w:t>
      </w:r>
      <w:r>
        <w:t xml:space="preserve"> (Gál 6:5)</w:t>
      </w:r>
      <w:r>
        <w:br/>
      </w:r>
      <w:r>
        <w:rPr>
          <w:b/>
        </w:rPr>
        <w:t>leída en su fuente · Gál 6:5</w:t>
      </w:r>
      <w:r>
        <w:br/>
      </w:r>
      <w:r>
        <w:rPr>
          <w:b/>
        </w:rPr>
        <w:t>Archivo leído:</w:t>
      </w:r>
      <w:r>
        <w:t xml:space="preserve"> sblgnt_1Cor.txt (biblia_rv1909\spaRV1909_texto_corrido.txt) · contraste del archivo de pasajes: ✔</w:t>
      </w:r>
      <w:r>
        <w:br/>
      </w:r>
      <w:r>
        <w:rPr>
          <w:b/>
        </w:rPr>
        <w:t>Lugar:</w:t>
      </w:r>
      <w:r>
        <w:t xml:space="preserve"> Gál 6:5 (RV1909)</w:t>
      </w:r>
      <w:r>
        <w:br/>
      </w:r>
      <w:r>
        <w:rPr>
          <w:b/>
        </w:rPr>
        <w:t>Tal como está en la fuente:</w:t>
      </w:r>
      <w:r>
        <w:t xml:space="preserve"> Porque cada cual llevará su carga.</w:t>
      </w:r>
      <w:r>
        <w:t>. «Mas vosotros, no queráis ser llamados Rabbí; porque uno es vuestro Maestro, el Cristo; y todos vosotros sois hermanos»</w:t>
      </w:r>
      <w:r>
        <w:t xml:space="preserve"> (Mt 23:8)</w:t>
      </w:r>
      <w:r>
        <w:br/>
      </w:r>
      <w:r>
        <w:rPr>
          <w:b/>
        </w:rPr>
        <w:t>leída en su fuente · Mt 23:8</w:t>
      </w:r>
      <w:r>
        <w:br/>
      </w:r>
      <w:r>
        <w:rPr>
          <w:b/>
        </w:rPr>
        <w:t>Archivo leído:</w:t>
      </w:r>
      <w:r>
        <w:t xml:space="preserve"> sblgnt_Matt.txt (biblia_rv1909\spaRV1909_texto_corrido.txt) · contraste del archivo de pasajes: ✔</w:t>
      </w:r>
      <w:r>
        <w:br/>
      </w:r>
      <w:r>
        <w:rPr>
          <w:b/>
        </w:rPr>
        <w:t>Lugar:</w:t>
      </w:r>
      <w:r>
        <w:t xml:space="preserve"> Mt 23:8 (RV1909)</w:t>
      </w:r>
      <w:r>
        <w:br/>
      </w:r>
      <w:r>
        <w:rPr>
          <w:b/>
        </w:rPr>
        <w:t>Tal como está en la fuente:</w:t>
      </w:r>
      <w:r>
        <w:t xml:space="preserve"> Mas vosotros, no queráis ser llamados Rabbí; porque uno es vuestro Maestro, el Cristo; y todos vosotros sois hermanos.</w:t>
      </w:r>
      <w:r>
        <w:t>. Y lo que el mismo libro pone en uno solo: «Porque hay un Dios, asimismo un mediador entre Dios y los hombres, Jesucristo hombre»</w:t>
      </w:r>
      <w:r>
        <w:t xml:space="preserve"> (1 Tm 2:5)</w:t>
      </w:r>
      <w:r>
        <w:br/>
      </w:r>
      <w:r>
        <w:rPr>
          <w:b/>
        </w:rPr>
        <w:t>leída en su fuente · 1 Tm 2:5</w:t>
      </w:r>
      <w:r>
        <w:br/>
      </w:r>
      <w:r>
        <w:rPr>
          <w:b/>
        </w:rPr>
        <w:t>Archivo leído:</w:t>
      </w:r>
      <w:r>
        <w:t xml:space="preserve"> spaRV1909_vpl.txt (biblia_rv1909\spaRV1909_vpl.txt) · contraste del archivo de pasajes: ✔</w:t>
      </w:r>
      <w:r>
        <w:br/>
      </w:r>
      <w:r>
        <w:rPr>
          <w:b/>
        </w:rPr>
        <w:t>Lugar:</w:t>
      </w:r>
      <w:r>
        <w:t xml:space="preserve"> 1 Tm 2:5 (RV1909)</w:t>
      </w:r>
      <w:r>
        <w:br/>
      </w:r>
      <w:r>
        <w:rPr>
          <w:b/>
        </w:rPr>
        <w:t>Tal como está en la fuente:</w:t>
      </w:r>
      <w:r>
        <w:t xml:space="preserve"> Porque hay un Dios, asimismo un mediador entre Dios y los hombres, Jesucristo hombre;</w:t>
      </w:r>
      <w:r>
        <w:t>; «No por obras, para que nadie se gloríe»</w:t>
      </w:r>
      <w:r>
        <w:t xml:space="preserve"> (Ef 2:9)</w:t>
      </w:r>
      <w:r>
        <w:br/>
      </w:r>
      <w:r>
        <w:rPr>
          <w:b/>
        </w:rPr>
        <w:t>leída en su fuente · Ef 2:9</w:t>
      </w:r>
      <w:r>
        <w:br/>
      </w:r>
      <w:r>
        <w:rPr>
          <w:b/>
        </w:rPr>
        <w:t>Archivo leído:</w:t>
      </w:r>
      <w:r>
        <w:t xml:space="preserve"> spaRV1909_vpl.txt (biblia_rv1909\spaRV1909_vpl.txt) · contraste del archivo de pasajes: ✔</w:t>
      </w:r>
      <w:r>
        <w:br/>
      </w:r>
      <w:r>
        <w:rPr>
          <w:b/>
        </w:rPr>
        <w:t>Lugar:</w:t>
      </w:r>
      <w:r>
        <w:t xml:space="preserve"> Ef 2:9 (RV1909)</w:t>
      </w:r>
      <w:r>
        <w:br/>
      </w:r>
      <w:r>
        <w:rPr>
          <w:b/>
        </w:rPr>
        <w:t>Tal como está en la fuente:</w:t>
      </w:r>
      <w:r>
        <w:t xml:space="preserve"> No por obras, para que nadie se gloríe.</w:t>
      </w:r>
      <w:r>
        <w:t>; y el mismo versículo en que se llama el camino dice también que nadie viene al Padre sino por él (Jn 14:6, arriba, en el 2).</w:t>
      </w:r>
    </w:p>
    <w:p>
      <w:pPr>
        <w:pStyle w:val="ListBullet2"/>
      </w:pPr>
      <w:r>
        <w:rPr>
          <w:b/>
        </w:rPr>
        <w:t>La tradición rabínica:</w:t>
      </w:r>
      <w:r>
        <w:t xml:space="preserve"> «Él decía: no te toca a ti terminar la obra, ni eres libre de desentenderte de ella»</w:t>
      </w:r>
      <w:r>
        <w:t xml:space="preserve"> [original: «הוּא הָיָה אוֹמֵר, לֹא עָלֶיךָ הַמְּלָאכָה לִגְמֹר, וְלֹא אַתָּה בֶן חוֹרִין לִבָּטֵל מִמֶּנָּה»]</w:t>
      </w:r>
      <w:r>
        <w:t xml:space="preserve"> (Pirkei Avot 2:16)</w:t>
      </w:r>
      <w:r>
        <w:br/>
      </w:r>
      <w:r>
        <w:rPr>
          <w:b/>
        </w:rPr>
        <w:t>leída en su fuente · Pirkei Avot 2:16</w:t>
      </w:r>
      <w:r>
        <w:br/>
      </w:r>
      <w:r>
        <w:rPr>
          <w:b/>
        </w:rPr>
        <w:t>Original donde está:</w:t>
      </w:r>
      <w:r>
        <w:t xml:space="preserve"> sefaria_Pirkei_Avot_2.json</w:t>
      </w:r>
      <w:r>
        <w:br/>
      </w:r>
      <w:r>
        <w:t>El pasaje literal no está en el archivo de pasajes con este comienzo; la auditoría lo halló en ese original.</w:t>
      </w:r>
      <w:r>
        <w:t>.</w:t>
      </w:r>
    </w:p>
    <w:p>
      <w:pPr>
        <w:pStyle w:val="ListBullet2"/>
      </w:pPr>
      <w:r>
        <w:rPr>
          <w:b/>
        </w:rPr>
        <w:t>El islam:</w:t>
      </w:r>
      <w:r>
        <w:t xml:space="preserve"> «Quien sigue la vía recta la sigue, en realidad, en provecho propio, y quien se extravía, se extravía, en realidad, en detrimento propio»</w:t>
      </w:r>
      <w:r>
        <w:t xml:space="preserve"> (Corán 17:15, traducción de Julio Cortés)</w:t>
      </w:r>
      <w:r>
        <w:br/>
      </w:r>
      <w:r>
        <w:rPr>
          <w:b/>
        </w:rPr>
        <w:t>leída en su fuente · Corán 17:15, traducción de Julio Cortés</w:t>
      </w:r>
      <w:r>
        <w:br/>
      </w:r>
      <w:r>
        <w:rPr>
          <w:b/>
        </w:rPr>
        <w:t>Archivo leído:</w:t>
      </w:r>
      <w:r>
        <w:t xml:space="preserve"> coran_arabe_uthmani_alquran_cloud.json.txt (c4\coran_cortes_tanzil_completo.txt) · contraste del archivo de pasajes: ✔</w:t>
      </w:r>
      <w:r>
        <w:br/>
      </w:r>
      <w:r>
        <w:rPr>
          <w:b/>
        </w:rPr>
        <w:t>Lugar:</w:t>
      </w:r>
      <w:r>
        <w:t xml:space="preserve"> Corán 17:15 (Cortés)</w:t>
      </w:r>
      <w:r>
        <w:br/>
      </w:r>
      <w:r>
        <w:rPr>
          <w:b/>
        </w:rPr>
        <w:t>Tal como está en la fuente:</w:t>
      </w:r>
      <w:r>
        <w:t xml:space="preserve"> Quien sigue la vía recta la sigue, en realidad, en provecho propio, y quien se extravía, se extravía, en realidad, en detrimento propio. Nadie cargará con la carga ajena. Nunca hemos castigado sin haber mandado antes a un enviado.</w:t>
      </w:r>
      <w:r>
        <w:t>. Que el hombre solo será sancionado con arreglo a su propio esfuerzo (Corán 53:39), en F.2.</w:t>
      </w:r>
    </w:p>
    <w:p>
      <w:pPr>
        <w:pStyle w:val="ListBullet2"/>
      </w:pPr>
      <w:r>
        <w:rPr>
          <w:b/>
        </w:rPr>
        <w:t>La India:</w:t>
      </w:r>
      <w:r>
        <w:t xml:space="preserve"> «Que uno se levante a sí mismo por sí mismo, y que no se hunda; porque solo uno mismo es amigo de sí mismo, y solo uno mismo es su enemigo»</w:t>
      </w:r>
      <w:r>
        <w:t xml:space="preserve"> [original: «uddhared ātmanātmānaṃ nātmānam avasādayet / ātmaiva hy ātmano bandhur ātmaiva ripur ātmanaḥ»]</w:t>
      </w:r>
      <w:r>
        <w:t xml:space="preserve"> (Bhagavad Gita 6.5)</w:t>
      </w:r>
      <w:r>
        <w:br/>
      </w:r>
      <w:r>
        <w:rPr>
          <w:b/>
        </w:rPr>
        <w:t>leída en su fuente · Bhagavad Gita 6.5</w:t>
      </w:r>
      <w:r>
        <w:br/>
      </w:r>
      <w:r>
        <w:rPr>
          <w:b/>
        </w:rPr>
        <w:t>Archivo leído:</w:t>
      </w:r>
      <w:r>
        <w:t xml:space="preserve"> bg_sanscrito_gretil_comm.txt (c4\bg_sanscrito_gretil_comm.txt) · contraste del archivo de pasajes: ✔</w:t>
      </w:r>
      <w:r>
        <w:br/>
      </w:r>
      <w:r>
        <w:rPr>
          <w:b/>
        </w:rPr>
        <w:t>Lugar:</w:t>
      </w:r>
      <w:r>
        <w:t xml:space="preserve"> Bhagavad Gita 6.5</w:t>
      </w:r>
      <w:r>
        <w:br/>
      </w:r>
      <w:r>
        <w:rPr>
          <w:b/>
        </w:rPr>
        <w:t>Tal como está en la fuente:</w:t>
      </w:r>
      <w:r>
        <w:t xml:space="preserve"> uddhared ātmanātmānaṃ nātmānam avasādayet / ātmaiva hy ātmano bandhur ātmaiva ripur ātmanaḥ</w:t>
      </w:r>
      <w:r>
        <w:t>.</w:t>
      </w:r>
    </w:p>
    <w:p>
      <w:pPr>
        <w:pStyle w:val="ListBullet2"/>
      </w:pPr>
      <w:r>
        <w:rPr>
          <w:b/>
        </w:rPr>
        <w:t>El budismo:</w:t>
      </w:r>
      <w:r>
        <w:t xml:space="preserve"> «Por uno mismo se hace el mal, por uno mismo se sufre; por uno mismo se deja de hacer el mal, por uno mismo se purifica uno. La pureza y la impureza son de uno mismo; nadie puede purificar a otro»</w:t>
      </w:r>
      <w:r>
        <w:t xml:space="preserve"> [original: «By oneself the evil is done, by oneself one suffers; by oneself evil is left undone, by oneself one is purified. Purity and impurity belong to oneself, no one can purify another», en la traducción inglesa de Max Müller]</w:t>
      </w:r>
      <w:r>
        <w:t xml:space="preserve"> (Dhammapada 165)</w:t>
      </w:r>
      <w:r>
        <w:br/>
      </w:r>
      <w:r>
        <w:rPr>
          <w:b/>
        </w:rPr>
        <w:t>leída en su fuente · Dhammapada 165</w:t>
      </w:r>
      <w:r>
        <w:br/>
      </w:r>
      <w:r>
        <w:rPr>
          <w:b/>
        </w:rPr>
        <w:t>Archivo leído:</w:t>
      </w:r>
      <w:r>
        <w:t xml:space="preserve"> dhammapada_muller_gutenberg_2017.txt (c9h\dhammapada_muller_gutenberg_2017.txt) · contraste del archivo de pasajes: ✔</w:t>
      </w:r>
      <w:r>
        <w:br/>
      </w:r>
      <w:r>
        <w:rPr>
          <w:b/>
        </w:rPr>
        <w:t>Lugar:</w:t>
      </w:r>
      <w:r>
        <w:t xml:space="preserve"> Dhammapada 165 (Müller)</w:t>
      </w:r>
      <w:r>
        <w:br/>
      </w:r>
      <w:r>
        <w:rPr>
          <w:b/>
        </w:rPr>
        <w:t>Tal como está en la fuente:</w:t>
      </w:r>
      <w:r>
        <w:t xml:space="preserve"> By oneself the evil is done, by oneself one suffers; by oneself evil is left undone, by oneself one is purified. Purity and impurity belong to oneself, no one can purify another.</w:t>
      </w:r>
      <w:r>
        <w:br/>
      </w:r>
      <w:r>
        <w:rPr>
          <w:b/>
        </w:rPr>
        <w:t>Traducción guardada:</w:t>
      </w:r>
      <w:r>
        <w:t xml:space="preserve"> traducción propia: Por uno mismo se hace el mal, por uno mismo se sufre; por uno mismo se deja de hacer el mal, por uno mismo se purifica uno. La pureza y la impureza son de uno mismo; nadie puede purificar a otro.</w:t>
      </w:r>
      <w:r>
        <w:t>. Y que los Budas solo son predicadores (Dhammapada 276), arriba, en el 7.</w:t>
      </w:r>
    </w:p>
    <w:p>
      <w:pPr>
        <w:pStyle w:val="ListBullet2"/>
      </w:pPr>
      <w:r>
        <w:rPr>
          <w:b/>
        </w:rPr>
        <w:t>China:</w:t>
      </w:r>
      <w:r>
        <w:t xml:space="preserve"> que el hombre puede ensanchar los principios que sigue (Analectas 15.28) y que el fin del aprender es buscar la mente perdida (Mencio 6A11), arriba, en el 8.</w:t>
      </w:r>
    </w:p>
    <w:p>
      <w:pPr>
        <w:pStyle w:val="ListBullet2"/>
      </w:pPr>
      <w:r>
        <w:rPr>
          <w:b/>
        </w:rPr>
        <w:t>Egipto, en parte:</w:t>
      </w:r>
      <w:r>
        <w:t xml:space="preserve"> «En verdad, es el corazón el que hace que su dueño obedezca o desobedezca; porque la vida sana y salva del hombre es su corazón»</w:t>
      </w:r>
      <w:r>
        <w:t xml:space="preserve"> [original: «Verily, it is the heart that maketh its master to obey or to disobey; for the safe and sound life of a man are his heart», en la traducción inglesa de Gunn]</w:t>
      </w:r>
      <w:r>
        <w:t xml:space="preserve"> (Ptahhotep, máxima 38)</w:t>
      </w:r>
      <w:r>
        <w:br/>
      </w:r>
      <w:r>
        <w:rPr>
          <w:b/>
        </w:rPr>
        <w:t>leída en su fuente · Ptahhotep, máxima 38</w:t>
      </w:r>
      <w:r>
        <w:br/>
      </w:r>
      <w:r>
        <w:rPr>
          <w:b/>
        </w:rPr>
        <w:t>Archivo leído:</w:t>
      </w:r>
      <w:r>
        <w:t xml:space="preserve"> pg30508.txt (cierre_B3_B4_9oct\ptahhotep_gunn_gutenberg\pg30508.txt; cierre_mujer_varon_9oct\egipto_ptahhotep\pg30508.txt) · contraste del archivo de pasajes: ✔</w:t>
      </w:r>
      <w:r>
        <w:br/>
      </w:r>
      <w:r>
        <w:rPr>
          <w:b/>
        </w:rPr>
        <w:t>Lugar:</w:t>
      </w:r>
      <w:r>
        <w:t xml:space="preserve"> Ptahhotep 38 (Gunn)</w:t>
      </w:r>
      <w:r>
        <w:br/>
      </w:r>
      <w:r>
        <w:rPr>
          <w:b/>
        </w:rPr>
        <w:t>Tal como está en la fuente:</w:t>
      </w:r>
      <w:r>
        <w:t xml:space="preserve"> Verily, it is the heart that maketh its master to obey or to disobey; for the safe and sound life of a man are his heart.</w:t>
      </w:r>
      <w:r>
        <w:br/>
      </w:r>
      <w:r>
        <w:rPr>
          <w:b/>
        </w:rPr>
        <w:t>Traducción guardada:</w:t>
      </w:r>
      <w:r>
        <w:t xml:space="preserve"> traducción propia: En verdad, es el corazón el que hace que su dueño obedezca o desobedezca; porque la vida sana y salva del hombre es su corazón.</w:t>
      </w:r>
      <w:r>
        <w:t>.</w:t>
      </w:r>
    </w:p>
    <w:p>
      <w:pPr>
        <w:pStyle w:val="ListBullet2"/>
      </w:pPr>
      <w:r>
        <w:rPr>
          <w:b/>
        </w:rPr>
        <w:t>Grecia:</w:t>
      </w:r>
      <w:r>
        <w:t xml:space="preserve"> «El mejor de todos es el que lo considera todo por sí mismo y se fija en lo que será mejor después y al final; y es bueno, a su vez, el que escucha a un buen consejero; pero el que ni piensa por sí mismo ni guarda en la memoria lo que otro le dice, ese es un hombre que no aprovecha»</w:t>
      </w:r>
      <w:r>
        <w:t xml:space="preserve"> [original: «That man is altogether best who considers all things himself and marks what will be better afterwards and at the end; and he, again, is good who listens to a good adviser; but whoever neither thinks for himself nor keeps in mind what another tells him, he is an unprofitable man», en la traducción inglesa de Evelyn-White]</w:t>
      </w:r>
      <w:r>
        <w:t xml:space="preserve"> (Hesíodo, Trabajos y días 293-297)</w:t>
      </w:r>
      <w:r>
        <w:br/>
      </w:r>
      <w:r>
        <w:rPr>
          <w:b/>
        </w:rPr>
        <w:t>leída en su fuente · Hesíodo, Trabajos y días 293-297</w:t>
      </w:r>
      <w:r>
        <w:br/>
      </w:r>
      <w:r>
        <w:rPr>
          <w:b/>
        </w:rPr>
        <w:t>Archivo leído:</w:t>
      </w:r>
      <w:r>
        <w:t xml:space="preserve"> pg1497.txt (ant\hes.txt) · contraste del archivo de pasajes: ✔</w:t>
      </w:r>
      <w:r>
        <w:br/>
      </w:r>
      <w:r>
        <w:rPr>
          <w:b/>
        </w:rPr>
        <w:t>Lugar:</w:t>
      </w:r>
      <w:r>
        <w:t xml:space="preserve"> Trabajos y días 293-297 (Evelyn-White)</w:t>
      </w:r>
      <w:r>
        <w:br/>
      </w:r>
      <w:r>
        <w:rPr>
          <w:b/>
        </w:rPr>
        <w:t>Tal como está en la fuente:</w:t>
      </w:r>
      <w:r>
        <w:t xml:space="preserve"> That man is altogether best who considers all things himself and marks what will be better afterwards and at the end; and he, again, is good who listens to a good adviser; but whoever neither thinks for himself nor keeps in mind what another tells him, he is an unprofitable man.</w:t>
      </w:r>
      <w:r>
        <w:br/>
      </w:r>
      <w:r>
        <w:rPr>
          <w:b/>
        </w:rPr>
        <w:t>Traducción guardada:</w:t>
      </w:r>
      <w:r>
        <w:t xml:space="preserve"> traducción propia: El mejor de todos es el que lo considera todo por sí mismo y se fija en lo que será mejor después y al final; y es bueno, a su vez, el que escucha a un buen consejero; pero el que ni piensa por sí mismo ni guarda en la memoria lo que otro le dice, ese es un hombre que no aprovecha.</w:t>
      </w:r>
      <w:r>
        <w:t>. «La virtud es libre, y según el hombre la honre o la deshonre tendrá más o menos de ella; la responsabilidad es de quien elige: Dios queda sin culpa»</w:t>
      </w:r>
      <w:r>
        <w:t xml:space="preserve"> [original: «Virtue is free, and as a man honours or dishonours her he will have more or less of her; the responsibility is with the chooser—God is justified», en la traducción inglesa de Jowett]</w:t>
      </w:r>
      <w:r>
        <w:t xml:space="preserve"> (Platón, República X, el mito de Er, traducción inglesa de Jowett)</w:t>
      </w:r>
      <w:r>
        <w:br/>
      </w:r>
      <w:r>
        <w:rPr>
          <w:b/>
        </w:rPr>
        <w:t>leída en su fuente · Platón, República X, el mito de Er, traducción inglesa de Jowett</w:t>
      </w:r>
      <w:r>
        <w:br/>
      </w:r>
      <w:r>
        <w:rPr>
          <w:b/>
        </w:rPr>
        <w:t>Archivo leído:</w:t>
      </w:r>
      <w:r>
        <w:t xml:space="preserve"> pg1497.txt (cierre_B5_9oct\platon_republica_gutenberg\pg1497.txt) · contraste del archivo de pasajes: ✔</w:t>
      </w:r>
      <w:r>
        <w:br/>
      </w:r>
      <w:r>
        <w:rPr>
          <w:b/>
        </w:rPr>
        <w:t>Lugar:</w:t>
      </w:r>
      <w:r>
        <w:t xml:space="preserve"> República X, el mito de Er (Jowett)</w:t>
      </w:r>
      <w:r>
        <w:br/>
      </w:r>
      <w:r>
        <w:rPr>
          <w:b/>
        </w:rPr>
        <w:t>Tal como está en la fuente:</w:t>
      </w:r>
      <w:r>
        <w:t xml:space="preserve"> Virtue is free, and as a man honours or dishonours her he will have more or less of her; the responsibility is with the chooser—God is justified.</w:t>
      </w:r>
      <w:r>
        <w:br/>
      </w:r>
      <w:r>
        <w:rPr>
          <w:b/>
        </w:rPr>
        <w:t>Traducción guardada:</w:t>
      </w:r>
      <w:r>
        <w:t xml:space="preserve"> traducción propia: La virtud es libre, y según el hombre la honre o la deshonre tendrá más o menos de ella; la responsabilidad es de quien elige: Dios queda sin culpa.</w:t>
      </w:r>
      <w:r>
        <w:t>.</w:t>
      </w:r>
    </w:p>
    <w:p>
      <w:pPr>
        <w:pStyle w:val="ListBullet2"/>
      </w:pPr>
      <w:r>
        <w:rPr>
          <w:b/>
        </w:rPr>
        <w:t>Persia:</w:t>
      </w:r>
      <w:r>
        <w:t xml:space="preserve"> elegir entre las dos creencias, cada hombre por sí mismo (Yasna 30:2), en </w:t>
      </w:r>
      <w:r>
        <w:t>1.9</w:t>
      </w:r>
      <w:r>
        <w:t>.</w:t>
      </w:r>
    </w:p>
    <w:p>
      <w:pPr>
        <w:pStyle w:val="ListBullet"/>
      </w:pPr>
      <w:r>
        <w:rPr>
          <w:b/>
        </w:rPr>
        <w:t>El aviso antes de la consecuencia.</w:t>
      </w:r>
      <w:r>
        <w:t xml:space="preserve"> </w:t>
      </w:r>
    </w:p>
    <w:p>
      <w:pPr>
        <w:pStyle w:val="ListBullet2"/>
      </w:pPr>
      <w:r>
        <w:rPr>
          <w:b/>
        </w:rPr>
        <w:t>Israel</w:t>
      </w:r>
      <w:r>
        <w:t xml:space="preserve"> (Reina-Valera Antigua): la primera prohibición, con su consecuencia dicha antes (Gn 2:17), en </w:t>
      </w:r>
      <w:r>
        <w:t>4.2</w:t>
      </w:r>
      <w:r>
        <w:t>. «Cuando yo dijere al impío: De cierto morirás: y tú no le amonestares, ni le hablares, para que el impío sea apercibido de su mal camino, á fin de que viva, el impío morirá por su maldad, mas su sangre demandaré de tu mano»</w:t>
      </w:r>
      <w:r>
        <w:t xml:space="preserve"> (Ez 3:18)</w:t>
      </w:r>
      <w:r>
        <w:br/>
      </w:r>
      <w:r>
        <w:rPr>
          <w:b/>
        </w:rPr>
        <w:t>leída en su fuente · Ez 3:18</w:t>
      </w:r>
      <w:r>
        <w:br/>
      </w:r>
      <w:r>
        <w:rPr>
          <w:b/>
        </w:rPr>
        <w:t>Archivo leído:</w:t>
      </w:r>
      <w:r>
        <w:t xml:space="preserve"> Ezek.txt (biblia_rv1909\spaRV1909_vpl.txt) · contraste del archivo de pasajes: ✔</w:t>
      </w:r>
      <w:r>
        <w:br/>
      </w:r>
      <w:r>
        <w:rPr>
          <w:b/>
        </w:rPr>
        <w:t>Lugar:</w:t>
      </w:r>
      <w:r>
        <w:t xml:space="preserve"> Ez 3:17</w:t>
      </w:r>
      <w:r>
        <w:br/>
      </w:r>
      <w:r>
        <w:rPr>
          <w:b/>
        </w:rPr>
        <w:t>Tal como está en la fuente:</w:t>
      </w:r>
      <w:r>
        <w:t xml:space="preserve"> Cuando yo dijere al impío: De cierto morirás: y tú no le amonestares, ni le hablares, para que el impío sea apercibido de su mal camino, á fin de que viva, el impío morirá por su maldad, mas su sangre demandaré de tu mano.</w:t>
      </w:r>
      <w:r>
        <w:t>. «Y si tú amonestares al impío, y él no se convirtiere de su impiedad, y de su mal camino, él morirá por su maldad, y tú habrás librado tu alma»</w:t>
      </w:r>
      <w:r>
        <w:t xml:space="preserve"> (Ez 3:19)</w:t>
      </w:r>
      <w:r>
        <w:br/>
      </w:r>
      <w:r>
        <w:rPr>
          <w:b/>
        </w:rPr>
        <w:t>leída en su fuente · Ez 3:19</w:t>
      </w:r>
      <w:r>
        <w:br/>
      </w:r>
      <w:r>
        <w:rPr>
          <w:b/>
        </w:rPr>
        <w:t>Archivo leído:</w:t>
      </w:r>
      <w:r>
        <w:t xml:space="preserve"> Ezek.txt (biblia_rv1909\spaRV1909_vpl.txt) · contraste del archivo de pasajes: ✔</w:t>
      </w:r>
      <w:r>
        <w:br/>
      </w:r>
      <w:r>
        <w:rPr>
          <w:b/>
        </w:rPr>
        <w:t>Lugar:</w:t>
      </w:r>
      <w:r>
        <w:t xml:space="preserve"> Ez 3:17</w:t>
      </w:r>
      <w:r>
        <w:br/>
      </w:r>
      <w:r>
        <w:rPr>
          <w:b/>
        </w:rPr>
        <w:t>Tal como está en la fuente:</w:t>
      </w:r>
      <w:r>
        <w:t xml:space="preserve"> Y si tú amonestares al impío, y él no se convirtiere de su impiedad, y de su mal camino, él morirá por su maldad, y tú habrás librado tu alma.</w:t>
      </w:r>
      <w:r>
        <w:t>.</w:t>
      </w:r>
    </w:p>
    <w:p>
      <w:pPr>
        <w:pStyle w:val="ListBullet2"/>
      </w:pPr>
      <w:r>
        <w:rPr>
          <w:b/>
        </w:rPr>
        <w:t>El islam:</w:t>
      </w:r>
      <w:r>
        <w:t xml:space="preserve"> «Nunca hemos castigado sin haber mandado antes a un enviado»</w:t>
      </w:r>
      <w:r>
        <w:t xml:space="preserve"> (Corán 17:15, traducción de Julio Cortés)</w:t>
      </w:r>
      <w:r>
        <w:br/>
      </w:r>
      <w:r>
        <w:rPr>
          <w:b/>
        </w:rPr>
        <w:t>leída en su fuente · Corán 17:15, traducción de Julio Cortés</w:t>
      </w:r>
      <w:r>
        <w:br/>
      </w:r>
      <w:r>
        <w:rPr>
          <w:b/>
        </w:rPr>
        <w:t>Archivo leído:</w:t>
      </w:r>
      <w:r>
        <w:t xml:space="preserve"> coran_arabe_uthmani_alquran_cloud.json.txt (c4\coran_cortes_tanzil_completo.txt) · contraste del archivo de pasajes: ✔</w:t>
      </w:r>
      <w:r>
        <w:br/>
      </w:r>
      <w:r>
        <w:rPr>
          <w:b/>
        </w:rPr>
        <w:t>Lugar:</w:t>
      </w:r>
      <w:r>
        <w:t xml:space="preserve"> Corán 17:15 (Cortés)</w:t>
      </w:r>
      <w:r>
        <w:br/>
      </w:r>
      <w:r>
        <w:rPr>
          <w:b/>
        </w:rPr>
        <w:t>Tal como está en la fuente:</w:t>
      </w:r>
      <w:r>
        <w:t xml:space="preserve"> Quien sigue la vía recta la sigue, en realidad, en provecho propio, y quien se extravía, se extravía, en realidad, en detrimento propio. Nadie cargará con la carga ajena. Nunca hemos castigado sin haber mandado antes a un enviado.</w:t>
      </w:r>
      <w:r>
        <w:t>.</w:t>
      </w:r>
    </w:p>
    <w:p>
      <w:pPr>
        <w:pStyle w:val="ListBullet2"/>
      </w:pPr>
      <w:r>
        <w:rPr>
          <w:b/>
        </w:rPr>
        <w:t>La India:</w:t>
      </w:r>
      <w:r>
        <w:t xml:space="preserve"> las tres puertas de la ruina, el deseo, la ira y la codicia, que hay que dejar (Bhagavad Gita 16.21), en </w:t>
      </w:r>
      <w:r>
        <w:t>4.3</w:t>
      </w:r>
      <w:r>
        <w:t>.</w:t>
      </w:r>
    </w:p>
    <w:p>
      <w:pPr>
        <w:pStyle w:val="ListBullet2"/>
      </w:pPr>
      <w:r>
        <w:rPr>
          <w:b/>
        </w:rPr>
        <w:t>América:</w:t>
      </w:r>
      <w:r>
        <w:t xml:space="preserve"> «Si la queja del pueblo por medio del Jefe de Guerra no es atendida la primera vez, se dirá de nuevo, y si no se presta atención se dará una tercera queja y aviso»</w:t>
      </w:r>
      <w:r>
        <w:t xml:space="preserve"> [original: «If the complaint of the people through the War Chief is not heeded the first time it shall be uttered again and then if no attention is given a third complaint and warning shall be given», en la traducción de Parker]</w:t>
      </w:r>
      <w:r>
        <w:t xml:space="preserve"> (Gran Ley de la Paz, art. 19)</w:t>
      </w:r>
      <w:r>
        <w:br/>
      </w:r>
      <w:r>
        <w:rPr>
          <w:b/>
        </w:rPr>
        <w:t>leída en su fuente · Gran Ley de la Paz, art. 19</w:t>
      </w:r>
      <w:r>
        <w:br/>
      </w:r>
      <w:r>
        <w:rPr>
          <w:b/>
        </w:rPr>
        <w:t>Archivo leído:</w:t>
      </w:r>
      <w:r>
        <w:t xml:space="preserve"> constitutionoffi00park.txt (líneas 1796-1806) (ant\constitutionoffi00park.txt) · contraste del archivo de pasajes: ✔</w:t>
      </w:r>
      <w:r>
        <w:br/>
      </w:r>
      <w:r>
        <w:rPr>
          <w:b/>
        </w:rPr>
        <w:t>Lugar:</w:t>
      </w:r>
      <w:r>
        <w:t xml:space="preserve"> A. C. Parker, *The Constitution of the Five Nations* (La Constitución de las Cinco Naciones), New York State Museum Bulletin 184, Albany, 1916, art. 19</w:t>
      </w:r>
      <w:r>
        <w:br/>
      </w:r>
      <w:r>
        <w:rPr>
          <w:b/>
        </w:rPr>
        <w:t>Dirección:</w:t>
      </w:r>
      <w:r>
        <w:t xml:space="preserve"> </w:t>
      </w:r>
      <w:r>
        <w:t>https://archive.org/details/constitutionoffi00park</w:t>
      </w:r>
      <w:r>
        <w:br/>
      </w:r>
      <w:r>
        <w:rPr>
          <w:b/>
        </w:rPr>
        <w:t>Tal como está en la fuente:</w:t>
      </w:r>
      <w:r>
        <w:t xml:space="preserve"> If at any time it shall be manifest that a Confederate Lord has not in mind the welfare of the people or disobeys the rules of this Great Law, the men or the women of the Confederacy, or both jointly, shall come to the Council and upbraid the erring Lord through his War Chief. If the complaint of the people through the War Chief is not heeded the first time it shall be uttered again and then if no attention is given a third complaint and warning shall be given. If the Lord is still contumacious the matter shall go to the council of War Chiefs. […] The War Chiefs shall then divest the erring Lord of his title by order of the women in whom the titleship is vested.</w:t>
      </w:r>
      <w:r>
        <w:t>. «Será avisado tres veces en consejo abierto: primero por las mujeres de su familia, después por los hombres de su familia y finalmente por los Señores de la Confederación de la Nación a la que pertenece»</w:t>
      </w:r>
      <w:r>
        <w:t xml:space="preserve"> [original: «he shall be warned three times in open council, first by the women relatives, second by the men relatives and finally by the Lords of the Confederacy of the Nation to which he belongs», en la traducción de Parker]</w:t>
      </w:r>
      <w:r>
        <w:t xml:space="preserve"> (Gran Ley de la Paz, art. 25)</w:t>
      </w:r>
      <w:r>
        <w:br/>
      </w:r>
      <w:r>
        <w:rPr>
          <w:b/>
        </w:rPr>
        <w:t>leída en su fuente · Gran Ley de la Paz, art. 25</w:t>
      </w:r>
      <w:r>
        <w:br/>
      </w:r>
      <w:r>
        <w:rPr>
          <w:b/>
        </w:rPr>
        <w:t>Archivo leído:</w:t>
      </w:r>
      <w:r>
        <w:t xml:space="preserve"> parker_1916_Constitution_of_the_Five_Nations_djvu.txt (cierre_patas_9oct\parker_1916_copia_del_agente_djvu.txt) · contraste del archivo de pasajes: ✔</w:t>
      </w:r>
      <w:r>
        <w:br/>
      </w:r>
      <w:r>
        <w:rPr>
          <w:b/>
        </w:rPr>
        <w:t>Lugar:</w:t>
      </w:r>
      <w:r>
        <w:t xml:space="preserve"> Parker 1916, art. 25</w:t>
      </w:r>
      <w:r>
        <w:br/>
      </w:r>
      <w:r>
        <w:rPr>
          <w:b/>
        </w:rPr>
        <w:t>Tal como está en la fuente:</w:t>
      </w:r>
      <w:r>
        <w:t xml:space="preserve"> 25 If a Lord of the Confederacy should seek to establish any authority independent of the jurisdiction of the Confederacy of the Great Peace, which is the Five Nations, he shall be warned three times in open council, first by the women relatives, second by the men relatives and finally by the Lords of the Confederacy of the Nation to which he belongs. If the offending Lord is still obdurate he shall be dismissed by the War Chief of his nation for refusing to conform to the laws of the Great Peace.</w:t>
      </w:r>
      <w:r>
        <w:t>.</w:t>
      </w:r>
    </w:p>
    <w:p>
      <w:pPr>
        <w:pStyle w:val="ListBullet2"/>
      </w:pPr>
      <w:r>
        <w:rPr>
          <w:b/>
        </w:rPr>
        <w:t>China y el norte:</w:t>
      </w:r>
      <w:r>
        <w:t xml:space="preserve"> en lo leído no se halló aviso antes de la consecuencia (la cuenta, abajo).</w:t>
      </w:r>
    </w:p>
    <w:p>
      <w:pPr>
        <w:pStyle w:val="ListBullet"/>
      </w:pPr>
      <w:r>
        <w:rPr>
          <w:b/>
        </w:rPr>
        <w:t>El juicio último no es del hombre.</w:t>
      </w:r>
      <w:r>
        <w:t xml:space="preserve"> </w:t>
      </w:r>
    </w:p>
    <w:p>
      <w:pPr>
        <w:pStyle w:val="ListBullet2"/>
      </w:pPr>
      <w:r>
        <w:rPr>
          <w:b/>
        </w:rPr>
        <w:t>El Nuevo Testamento:</w:t>
      </w:r>
      <w:r>
        <w:t xml:space="preserve"> no arrancar la cizaña (Mt 13:29-30) y no vengarse uno mismo (Rm 12:17-21), en </w:t>
      </w:r>
      <w:r>
        <w:t>10.3</w:t>
      </w:r>
      <w:r>
        <w:t>. «Y el enemigo que la sembró, es el diablo; y la siega es el fin del mundo, y los segadores son los ángeles»</w:t>
      </w:r>
      <w:r>
        <w:t xml:space="preserve"> (Mt 13:39)</w:t>
      </w:r>
      <w:r>
        <w:br/>
      </w:r>
      <w:r>
        <w:rPr>
          <w:b/>
        </w:rPr>
        <w:t>leída en su fuente · Mt 13:39</w:t>
      </w:r>
      <w:r>
        <w:br/>
      </w:r>
      <w:r>
        <w:rPr>
          <w:b/>
        </w:rPr>
        <w:t>Archivo leído:</w:t>
      </w:r>
      <w:r>
        <w:t xml:space="preserve"> spaRV1909_vpl.txt (biblia_rv1909\spaRV1909_vpl.txt) · contraste del archivo de pasajes: ✔</w:t>
      </w:r>
      <w:r>
        <w:br/>
      </w:r>
      <w:r>
        <w:rPr>
          <w:b/>
        </w:rPr>
        <w:t>Lugar:</w:t>
      </w:r>
      <w:r>
        <w:t xml:space="preserve"> Mt 13:39 (RV1909)</w:t>
      </w:r>
      <w:r>
        <w:br/>
      </w:r>
      <w:r>
        <w:rPr>
          <w:b/>
        </w:rPr>
        <w:t>Tal como está en la fuente:</w:t>
      </w:r>
      <w:r>
        <w:t xml:space="preserve"> Y el enemigo que la sembró, es el diablo; y la siega es el fin del mundo, y los segadores son los ángeles.</w:t>
      </w:r>
      <w:r>
        <w:t>. «Así será al fin del siglo: saldrán los ángeles, y apartarán á los malos de entre los justos»</w:t>
      </w:r>
      <w:r>
        <w:t xml:space="preserve"> (Mt 13:49)</w:t>
      </w:r>
      <w:r>
        <w:br/>
      </w:r>
      <w:r>
        <w:rPr>
          <w:b/>
        </w:rPr>
        <w:t>leída en su fuente · Mt 13:49</w:t>
      </w:r>
      <w:r>
        <w:br/>
      </w:r>
      <w:r>
        <w:rPr>
          <w:b/>
        </w:rPr>
        <w:t>Archivo leído:</w:t>
      </w:r>
      <w:r>
        <w:t xml:space="preserve"> spaRV1909_vpl.txt (biblia_rv1909\spaRV1909_vpl.txt) · contraste del archivo de pasajes: ✔</w:t>
      </w:r>
      <w:r>
        <w:br/>
      </w:r>
      <w:r>
        <w:rPr>
          <w:b/>
        </w:rPr>
        <w:t>Lugar:</w:t>
      </w:r>
      <w:r>
        <w:t xml:space="preserve"> Mt 13:49 (RV1909)</w:t>
      </w:r>
      <w:r>
        <w:br/>
      </w:r>
      <w:r>
        <w:rPr>
          <w:b/>
        </w:rPr>
        <w:t>Tal como está en la fuente:</w:t>
      </w:r>
      <w:r>
        <w:t xml:space="preserve"> Así será al fin del siglo: saldrán los ángeles, y apartarán á los malos de entre los justos,</w:t>
      </w:r>
      <w:r>
        <w:t>. «El que me desecha, y no recibe mis palabras, tiene quien le juzgue: la palabra que he hablado, ella le juzgará en el día postrero»</w:t>
      </w:r>
      <w:r>
        <w:t xml:space="preserve"> (Jn 12:48)</w:t>
      </w:r>
      <w:r>
        <w:br/>
      </w:r>
      <w:r>
        <w:rPr>
          <w:b/>
        </w:rPr>
        <w:t>leída en su fuente · Jn 12:48</w:t>
      </w:r>
      <w:r>
        <w:br/>
      </w:r>
      <w:r>
        <w:rPr>
          <w:b/>
        </w:rPr>
        <w:t>Archivo leído:</w:t>
      </w:r>
      <w:r>
        <w:t xml:space="preserve"> spaRV1909_vpl.txt (biblia_rv1909\spaRV1909_vpl.txt) · contraste del archivo de pasajes: ✔</w:t>
      </w:r>
      <w:r>
        <w:br/>
      </w:r>
      <w:r>
        <w:rPr>
          <w:b/>
        </w:rPr>
        <w:t>Lugar:</w:t>
      </w:r>
      <w:r>
        <w:t xml:space="preserve"> Jn 12:48 (RV1909)</w:t>
      </w:r>
      <w:r>
        <w:br/>
      </w:r>
      <w:r>
        <w:rPr>
          <w:b/>
        </w:rPr>
        <w:t>Tal como está en la fuente:</w:t>
      </w:r>
      <w:r>
        <w:t xml:space="preserve"> El que me desecha, y no recibe mis palabras, tiene quien le juzgue: la palabra que he hablado, ella le juzgará en el día postrero.</w:t>
      </w:r>
      <w:r>
        <w:t>.</w:t>
      </w:r>
    </w:p>
    <w:p>
      <w:pPr>
        <w:pStyle w:val="ListBullet2"/>
      </w:pPr>
      <w:r>
        <w:rPr>
          <w:b/>
        </w:rPr>
        <w:t>La India:</w:t>
      </w:r>
      <w:r>
        <w:t xml:space="preserve"> «se hace puro con obras puras, malo con obras malas»</w:t>
      </w:r>
      <w:r>
        <w:t xml:space="preserve"> [original: «He becomes pure by pure deeds, bad by bad deeds», en la traducción inglesa de Max Müller]</w:t>
      </w:r>
      <w:r>
        <w:t xml:space="preserve"> (Bṛhadāraṇyaka Upanishad 4.4.5)</w:t>
      </w:r>
      <w:r>
        <w:br/>
      </w:r>
      <w:r>
        <w:rPr>
          <w:b/>
        </w:rPr>
        <w:t>leída en su fuente · Bṛhadāraṇyaka Upanishad 4.4.5</w:t>
      </w:r>
      <w:r>
        <w:br/>
      </w:r>
      <w:r>
        <w:rPr>
          <w:b/>
        </w:rPr>
        <w:t>Archivo leído:</w:t>
      </w:r>
      <w:r>
        <w:t xml:space="preserve"> mundaka_muller_sbe15_1884_archive_djvu.txt (c9h\mundaka_muller_sbe15_1884_archive_djvu.txt) · contraste del archivo de pasajes: ✔</w:t>
      </w:r>
      <w:r>
        <w:br/>
      </w:r>
      <w:r>
        <w:rPr>
          <w:b/>
        </w:rPr>
        <w:t>Lugar:</w:t>
      </w:r>
      <w:r>
        <w:t xml:space="preserve"> Bṛhadāraṇyaka 4.4.5 (Müller, SBE 15, OCR)</w:t>
      </w:r>
      <w:r>
        <w:br/>
      </w:r>
      <w:r>
        <w:rPr>
          <w:b/>
        </w:rPr>
        <w:t>Tal como está en la fuente:</w:t>
      </w:r>
      <w:r>
        <w:t xml:space="preserve"> He becomes pure by pure deeds, bad by bad deeds.</w:t>
      </w:r>
      <w:r>
        <w:br/>
      </w:r>
      <w:r>
        <w:rPr>
          <w:b/>
        </w:rPr>
        <w:t>Traducción guardada:</w:t>
      </w:r>
      <w:r>
        <w:t xml:space="preserve"> se hace puro con obras puras, malo con obras malas</w:t>
      </w:r>
      <w:r>
        <w:t>; «y la obra que haga, esa recogerá»</w:t>
      </w:r>
      <w:r>
        <w:t xml:space="preserve"> [original: «and whatever deed he does, that he will reap», en la traducción inglesa de Max Müller]</w:t>
      </w:r>
      <w:r>
        <w:t xml:space="preserve"> (Bṛhadāraṇyaka Upanishad 4.4.5)</w:t>
      </w:r>
      <w:r>
        <w:br/>
      </w:r>
      <w:r>
        <w:rPr>
          <w:b/>
        </w:rPr>
        <w:t>leída en su fuente · Bṛhadāraṇyaka Upanishad 4.4.5</w:t>
      </w:r>
      <w:r>
        <w:br/>
      </w:r>
      <w:r>
        <w:rPr>
          <w:b/>
        </w:rPr>
        <w:t>Archivo leído:</w:t>
      </w:r>
      <w:r>
        <w:t xml:space="preserve"> mundaka_muller_sbe15_1884_archive_djvu.txt (c9h\mundaka_muller_sbe15_1884_archive_djvu.txt) · contraste del archivo de pasajes: ✔</w:t>
      </w:r>
      <w:r>
        <w:br/>
      </w:r>
      <w:r>
        <w:rPr>
          <w:b/>
        </w:rPr>
        <w:t>Lugar:</w:t>
      </w:r>
      <w:r>
        <w:t xml:space="preserve"> Bṛhadāraṇyaka 4.4.5 (Müller, SBE 15, OCR)</w:t>
      </w:r>
      <w:r>
        <w:br/>
      </w:r>
      <w:r>
        <w:rPr>
          <w:b/>
        </w:rPr>
        <w:t>Tal como está en la fuente:</w:t>
      </w:r>
      <w:r>
        <w:t xml:space="preserve"> and whatever deed he does, that he will reap.</w:t>
      </w:r>
      <w:r>
        <w:br/>
      </w:r>
      <w:r>
        <w:rPr>
          <w:b/>
        </w:rPr>
        <w:t>Traducción guardada:</w:t>
      </w:r>
      <w:r>
        <w:t xml:space="preserve"> y la obra que haga, esa recogerá</w:t>
      </w:r>
      <w:r>
        <w:t>.</w:t>
      </w:r>
    </w:p>
    <w:p>
      <w:pPr>
        <w:pStyle w:val="ListBullet2"/>
      </w:pPr>
      <w:r>
        <w:rPr>
          <w:b/>
        </w:rPr>
        <w:t>China:</w:t>
      </w:r>
      <w:r>
        <w:t xml:space="preserve"> «Siempre está el encargado de matar, que mata. Matar en lugar del encargado de matar es labrar la madera en lugar del gran carpintero. De los que labran en lugar del gran carpintero, pocos no se hieren las manos»</w:t>
      </w:r>
      <w:r>
        <w:t xml:space="preserve"> [original: «常有司殺者殺，夫代司殺者殺，是謂代大匠斲。 夫代大匠斲者，希有不傷其手矣。»; en la traducción inglesa de Legge: «There is always One who presides over the infliction of death. He who would inflict death in the room of him who so presides over it may be described as hewing wood instead of a great carpenter. Seldom is it that he who undertakes the hewing, instead of the great carpenter, does not cut his own hands!»]</w:t>
      </w:r>
      <w:r>
        <w:t xml:space="preserve"> (Daodejing 74)</w:t>
      </w:r>
      <w:r>
        <w:br/>
      </w:r>
      <w:r>
        <w:rPr>
          <w:b/>
        </w:rPr>
        <w:t>leída en su fuente · Daodejing 74</w:t>
      </w:r>
      <w:r>
        <w:br/>
      </w:r>
      <w:r>
        <w:rPr>
          <w:b/>
        </w:rPr>
        <w:t>Archivo leído:</w:t>
      </w:r>
      <w:r>
        <w:t xml:space="preserve"> sbe39081.htm (reglas_del_juego_12oct\taoismo_legge_sacredtexts\sbe39081.htm) · contraste del archivo de pasajes: ✔</w:t>
      </w:r>
      <w:r>
        <w:br/>
      </w:r>
      <w:r>
        <w:rPr>
          <w:b/>
        </w:rPr>
        <w:t>Lugar:</w:t>
      </w:r>
      <w:r>
        <w:t xml:space="preserve"> cap. 73 (Legge)</w:t>
      </w:r>
      <w:r>
        <w:br/>
      </w:r>
      <w:r>
        <w:rPr>
          <w:b/>
        </w:rPr>
        <w:t>Tal como está en la fuente:</w:t>
      </w:r>
      <w:r>
        <w:t xml:space="preserve"> 2. There is always One who presides over the infliction of death. He who would inflict death in the room of him who so presides over it may be described as hewing wood instead of a great carpenter. Seldom is it that he who undertakes the hewing, instead of the great carpenter, does not cut his own hands!</w:t>
      </w:r>
      <w:r>
        <w:br/>
      </w:r>
      <w:r>
        <w:rPr>
          <w:b/>
        </w:rPr>
        <w:t>Traducción guardada:</w:t>
      </w:r>
      <w:r>
        <w:t xml:space="preserve"> siempre hay Uno que preside el dar muerte; el que quiera dar muerte en su lugar es como el que labra la madera en lugar del gran carpintero; rara vez el que labra en lugar del gran carpintero no se corta las manos</w:t>
      </w:r>
      <w:r>
        <w:t>.</w:t>
      </w:r>
    </w:p>
    <w:p>
      <w:pPr>
        <w:pStyle w:val="ListBullet"/>
      </w:pPr>
      <w:r>
        <w:rPr>
          <w:b/>
        </w:rPr>
        <w:t>Donde ejecutan los hombres, antes van el aviso, la investigación y el límite.</w:t>
      </w:r>
      <w:r>
        <w:t xml:space="preserve"> </w:t>
      </w:r>
    </w:p>
    <w:p>
      <w:pPr>
        <w:pStyle w:val="ListBullet2"/>
      </w:pPr>
      <w:r>
        <w:rPr>
          <w:b/>
        </w:rPr>
        <w:t>Israel:</w:t>
      </w:r>
      <w:r>
        <w:t xml:space="preserve"> «Por dicho de dos testigos, ó de tres testigos, morirá el que hubiere de morir; no morirá por el dicho de un solo testigo»</w:t>
      </w:r>
      <w:r>
        <w:t xml:space="preserve"> (Dt 17:6)</w:t>
      </w:r>
      <w:r>
        <w:br/>
      </w:r>
      <w:r>
        <w:rPr>
          <w:b/>
        </w:rPr>
        <w:t>leída en su fuente · Dt 17:6</w:t>
      </w:r>
      <w:r>
        <w:br/>
      </w:r>
      <w:r>
        <w:rPr>
          <w:b/>
        </w:rPr>
        <w:t>Archivo leído:</w:t>
      </w:r>
      <w:r>
        <w:t xml:space="preserve"> Deut.txt (biblia_rv1909\spaRV1909_vpl.txt) · contraste del archivo de pasajes: ✔</w:t>
      </w:r>
      <w:r>
        <w:br/>
      </w:r>
      <w:r>
        <w:rPr>
          <w:b/>
        </w:rPr>
        <w:t>Lugar:</w:t>
      </w:r>
      <w:r>
        <w:t xml:space="preserve"> Dt 17:6</w:t>
      </w:r>
      <w:r>
        <w:br/>
      </w:r>
      <w:r>
        <w:rPr>
          <w:b/>
        </w:rPr>
        <w:t>Tal como está en la fuente:</w:t>
      </w:r>
      <w:r>
        <w:t xml:space="preserve"> Por dicho de dos testigos, ó de tres testigos, morirá el que hubiere de morir; no morirá por el dicho de un solo testigo.</w:t>
      </w:r>
      <w:r>
        <w:t>. «La mano de los testigos será primero sobre él para matarlo, y después la mano de todo el pueblo: así quitarás el mal de en medio de ti»</w:t>
      </w:r>
      <w:r>
        <w:t xml:space="preserve"> (Dt 17:7)</w:t>
      </w:r>
      <w:r>
        <w:br/>
      </w:r>
      <w:r>
        <w:rPr>
          <w:b/>
        </w:rPr>
        <w:t>leída en su fuente · Dt 17:7</w:t>
      </w:r>
      <w:r>
        <w:br/>
      </w:r>
      <w:r>
        <w:rPr>
          <w:b/>
        </w:rPr>
        <w:t>Archivo leído:</w:t>
      </w:r>
      <w:r>
        <w:t xml:space="preserve"> Deut.txt (biblia_rv1909\spaRV1909_vpl.txt) · contraste del archivo de pasajes: ✔</w:t>
      </w:r>
      <w:r>
        <w:br/>
      </w:r>
      <w:r>
        <w:rPr>
          <w:b/>
        </w:rPr>
        <w:t>Lugar:</w:t>
      </w:r>
      <w:r>
        <w:t xml:space="preserve"> Dt 17:6</w:t>
      </w:r>
      <w:r>
        <w:br/>
      </w:r>
      <w:r>
        <w:rPr>
          <w:b/>
        </w:rPr>
        <w:t>Tal como está en la fuente:</w:t>
      </w:r>
      <w:r>
        <w:t xml:space="preserve"> La mano de los testigos será primero sobre él para matarlo, y después la mano de todo el pueblo: así quitarás el mal de en medio de ti.</w:t>
      </w:r>
      <w:r>
        <w:t>. A los testigos se les pregunta: «¿Lo reconocéis? ¿Le avisasteis?»</w:t>
      </w:r>
      <w:r>
        <w:t xml:space="preserve"> [original: «מַכִּירִין אַתֶּם אוֹתוֹ. הִתְרֵיתֶם בּוֹ»]</w:t>
      </w:r>
      <w:r>
        <w:t xml:space="preserve"> (Misná, Sanhedrín 5:1)</w:t>
      </w:r>
      <w:r>
        <w:br/>
      </w:r>
      <w:r>
        <w:rPr>
          <w:b/>
        </w:rPr>
        <w:t>leída en su fuente · Misná, Sanhedrín 5:1</w:t>
      </w:r>
      <w:r>
        <w:br/>
      </w:r>
      <w:r>
        <w:rPr>
          <w:b/>
        </w:rPr>
        <w:t>Original donde está:</w:t>
      </w:r>
      <w:r>
        <w:t xml:space="preserve"> sefaria_Mishnah_Sanhedrin_entera.json</w:t>
      </w:r>
      <w:r>
        <w:br/>
      </w:r>
      <w:r>
        <w:t>El pasaje literal no está en el archivo de pasajes con este comienzo; la auditoría lo halló en ese original.</w:t>
      </w:r>
      <w:r>
        <w:t>. «Un Sanedrín que ejecuta a uno en un septenio se llama destructor»</w:t>
      </w:r>
      <w:r>
        <w:t xml:space="preserve"> [original: «סַנְהֶדְרִין הַהוֹרֶגֶת אֶחָד בְּשָׁבוּעַ נִקְרֵאת חָבְלָנִית»]</w:t>
      </w:r>
      <w:r>
        <w:t xml:space="preserve"> (Misná, Makkot 1:10)</w:t>
      </w:r>
      <w:r>
        <w:br/>
      </w:r>
      <w:r>
        <w:rPr>
          <w:b/>
        </w:rPr>
        <w:t>leída en su fuente · Misná, Makkot 1:10</w:t>
      </w:r>
      <w:r>
        <w:br/>
      </w:r>
      <w:r>
        <w:rPr>
          <w:b/>
        </w:rPr>
        <w:t>Original donde está:</w:t>
      </w:r>
      <w:r>
        <w:t xml:space="preserve"> b_sefaria_Mishnah_Makkot.1.json.txt</w:t>
      </w:r>
      <w:r>
        <w:br/>
      </w:r>
      <w:r>
        <w:t>El pasaje literal no está en el archivo de pasajes con este comienzo; la auditoría lo halló en ese original.</w:t>
      </w:r>
      <w:r>
        <w:t>; «Rabí Eleazar ben Azarías dice: uno en setenta años»</w:t>
      </w:r>
      <w:r>
        <w:t xml:space="preserve"> [original: «רַבִּי אֶלְעָזָר בֶּן עֲזַרְיָה אוֹמֵר, אֶחָד לְשִׁבְעִים שָׁנָה»]</w:t>
      </w:r>
      <w:r>
        <w:t xml:space="preserve"> (Misná, Makkot 1:10)</w:t>
      </w:r>
      <w:r>
        <w:br/>
      </w:r>
      <w:r>
        <w:rPr>
          <w:b/>
        </w:rPr>
        <w:t>leída en su fuente · Misná, Makkot 1:10</w:t>
      </w:r>
      <w:r>
        <w:br/>
      </w:r>
      <w:r>
        <w:rPr>
          <w:b/>
        </w:rPr>
        <w:t>Original donde está:</w:t>
      </w:r>
      <w:r>
        <w:t xml:space="preserve"> b_sefaria_Mishnah_Makkot.1.json.txt</w:t>
      </w:r>
      <w:r>
        <w:br/>
      </w:r>
      <w:r>
        <w:t>El pasaje literal no está en el archivo de pasajes con este comienzo; la auditoría lo halló en ese original.</w:t>
      </w:r>
      <w:r>
        <w:t>; «Rabí Tarfón y Rabí Akiva dicen: si hubiéramos estado en el Sanedrín, nunca se habría ejecutado a nadie»</w:t>
      </w:r>
      <w:r>
        <w:t xml:space="preserve"> [original: «רַבִּי טַרְפוֹן וְרַבִּי עֲקִיבָא אוֹמְרִים, אִלּוּ הָיִינוּ בַסַּנְהֶדְרִין לֹא נֶהֱרַג אָדָם מֵעוֹלָם»]</w:t>
      </w:r>
      <w:r>
        <w:t xml:space="preserve"> (Misná, Makkot 1:10)</w:t>
      </w:r>
      <w:r>
        <w:br/>
      </w:r>
      <w:r>
        <w:rPr>
          <w:b/>
        </w:rPr>
        <w:t>leída en su fuente · Misná, Makkot 1:10</w:t>
      </w:r>
      <w:r>
        <w:br/>
      </w:r>
      <w:r>
        <w:rPr>
          <w:b/>
        </w:rPr>
        <w:t>Original donde está:</w:t>
      </w:r>
      <w:r>
        <w:t xml:space="preserve"> b_sefaria_Mishnah_Makkot.1.json.txt</w:t>
      </w:r>
      <w:r>
        <w:br/>
      </w:r>
      <w:r>
        <w:t>El pasaje literal no está en el archivo de pasajes con este comienzo; la auditoría lo halló en ese original.</w:t>
      </w:r>
      <w:r>
        <w:t>; y en contra, en la misma mishná: «Rabán Simeón ben Gamaliel dice: también ellos habrían multiplicado a los que derraman sangre en Israel»</w:t>
      </w:r>
      <w:r>
        <w:t xml:space="preserve"> [original: «רַבָּן שִׁמְעוֹן בֶּן גַּמְלִיאֵל אוֹמֵר, אַף הֵן מַרְבִּין שׁוֹפְכֵי דָמִים בְּיִשְׂרָאֵל»]</w:t>
      </w:r>
      <w:r>
        <w:t xml:space="preserve"> (Misná, Makkot 1:10)</w:t>
      </w:r>
      <w:r>
        <w:br/>
      </w:r>
      <w:r>
        <w:rPr>
          <w:b/>
        </w:rPr>
        <w:t>leída en su fuente · Misná, Makkot 1:10</w:t>
      </w:r>
      <w:r>
        <w:br/>
      </w:r>
      <w:r>
        <w:rPr>
          <w:b/>
        </w:rPr>
        <w:t>Original donde está:</w:t>
      </w:r>
      <w:r>
        <w:t xml:space="preserve"> b_sefaria_Mishnah_Makkot.1.json.txt</w:t>
      </w:r>
      <w:r>
        <w:br/>
      </w:r>
      <w:r>
        <w:t>El pasaje literal no está en el archivo de pasajes con este comienzo; la auditoría lo halló en ese original.</w:t>
      </w:r>
      <w:r>
        <w:t>.</w:t>
      </w:r>
    </w:p>
    <w:p>
      <w:pPr>
        <w:pStyle w:val="ListBullet2"/>
      </w:pPr>
      <w:r>
        <w:rPr>
          <w:b/>
        </w:rPr>
        <w:t>El islam:</w:t>
      </w:r>
      <w:r>
        <w:t xml:space="preserve"> «Retribución de quienes hacen la guerra a Alá y a Su Enviado y se dan a corromper en la tierra: serán muertos sin piedad, o crucificados, o amputados de manos y pies opuestos, o desterrados del país. Sufrirán ignominia en la vida de acá y terrible castigo en la otra»</w:t>
      </w:r>
      <w:r>
        <w:t xml:space="preserve"> (Corán 5:33, traducción de Julio Cortés)</w:t>
      </w:r>
      <w:r>
        <w:br/>
      </w:r>
      <w:r>
        <w:rPr>
          <w:b/>
        </w:rPr>
        <w:t>leída en su fuente · Corán 5:33, traducción de Julio Cortés</w:t>
      </w:r>
      <w:r>
        <w:br/>
      </w:r>
      <w:r>
        <w:rPr>
          <w:b/>
        </w:rPr>
        <w:t>Archivo leído:</w:t>
      </w:r>
      <w:r>
        <w:t xml:space="preserve"> coran_arabe_uthmani_alquran_cloud.json.txt (c4\coran_cortes_tanzil_completo.txt) · contraste del archivo de pasajes: ✔</w:t>
      </w:r>
      <w:r>
        <w:br/>
      </w:r>
      <w:r>
        <w:rPr>
          <w:b/>
        </w:rPr>
        <w:t>Lugar:</w:t>
      </w:r>
      <w:r>
        <w:t xml:space="preserve"> Corán 5:33 (Cortés)</w:t>
      </w:r>
      <w:r>
        <w:br/>
      </w:r>
      <w:r>
        <w:rPr>
          <w:b/>
        </w:rPr>
        <w:t>Tal como está en la fuente:</w:t>
      </w:r>
      <w:r>
        <w:t xml:space="preserve"> Retribución de quienes hacen la guerra a Alá y a Su Enviado y se dan a corromper en la tierra: serán muertos sin piedad, o crucificados, o amputados de manos y pies opuestos, o desterrados del país. Sufrirán ignominia en la vida de acá y terrible castigo en la otra.</w:t>
      </w:r>
      <w:r>
        <w:t>. «Quedan exceptuados quienes se arrepientan antes de caer en vuestras manos. Sabed, en efecto, que Alá es indulgente, misericordioso»</w:t>
      </w:r>
      <w:r>
        <w:t xml:space="preserve"> (Corán 5:34, traducción de Julio Cortés)</w:t>
      </w:r>
      <w:r>
        <w:br/>
      </w:r>
      <w:r>
        <w:rPr>
          <w:b/>
        </w:rPr>
        <w:t>leída en su fuente · Corán 5:34, traducción de Julio Cortés</w:t>
      </w:r>
      <w:r>
        <w:br/>
      </w:r>
      <w:r>
        <w:rPr>
          <w:b/>
        </w:rPr>
        <w:t>Archivo leído:</w:t>
      </w:r>
      <w:r>
        <w:t xml:space="preserve"> coran_arabe_uthmani_alquran_cloud.json.txt (c4\coran_cortes_tanzil_completo.txt) · contraste del archivo de pasajes: ✔</w:t>
      </w:r>
      <w:r>
        <w:br/>
      </w:r>
      <w:r>
        <w:rPr>
          <w:b/>
        </w:rPr>
        <w:t>Lugar:</w:t>
      </w:r>
      <w:r>
        <w:t xml:space="preserve"> Corán 5:34 (Cortés)</w:t>
      </w:r>
      <w:r>
        <w:br/>
      </w:r>
      <w:r>
        <w:rPr>
          <w:b/>
        </w:rPr>
        <w:t>Tal como está en la fuente:</w:t>
      </w:r>
      <w:r>
        <w:t xml:space="preserve"> Quedan exceptuados quienes se arrepientan antes de caer en vuestras manos. Sabed, en efecto, que Alá es indulgente, misericordioso.</w:t>
      </w:r>
      <w:r>
        <w:t>.</w:t>
      </w:r>
    </w:p>
    <w:p>
      <w:pPr>
        <w:pStyle w:val="ListBullet2"/>
      </w:pPr>
      <w:r>
        <w:rPr>
          <w:b/>
        </w:rPr>
        <w:t>La India:</w:t>
      </w:r>
      <w:r>
        <w:t xml:space="preserve"> «Si el castigo se aplica como es debido, después de pensarlo, hace felices a todos; pero aplicado sin pensarlo, lo destruye todo»</w:t>
      </w:r>
      <w:r>
        <w:t xml:space="preserve"> [original: «If (punishment) is properly inflicted after (due) consideration, it makes all people happy; but inflicted without consideration, it destroys everything», en la traducción inglesa de Bühler]</w:t>
      </w:r>
      <w:r>
        <w:t xml:space="preserve"> (Leyes de Manu 7.19)</w:t>
      </w:r>
      <w:r>
        <w:br/>
      </w:r>
      <w:r>
        <w:rPr>
          <w:b/>
        </w:rPr>
        <w:t>leída en su fuente · Leyes de Manu 7.19</w:t>
      </w:r>
      <w:r>
        <w:br/>
      </w:r>
      <w:r>
        <w:rPr>
          <w:b/>
        </w:rPr>
        <w:t>Archivo leído:</w:t>
      </w:r>
      <w:r>
        <w:t xml:space="preserve"> 07.00-20.3_Manusmrti_GRETIL.txt (c8a\8.3_25_Manu_Buhler_SBE25_cap07_sacred-texts.txt) · contraste del archivo de pasajes: ✔</w:t>
      </w:r>
      <w:r>
        <w:br/>
      </w:r>
      <w:r>
        <w:rPr>
          <w:b/>
        </w:rPr>
        <w:t>Lugar:</w:t>
      </w:r>
      <w:r>
        <w:t xml:space="preserve"> 7.14 (Bühler)</w:t>
      </w:r>
      <w:r>
        <w:br/>
      </w:r>
      <w:r>
        <w:rPr>
          <w:b/>
        </w:rPr>
        <w:t>Tal como está en la fuente:</w:t>
      </w:r>
      <w:r>
        <w:t xml:space="preserve"> 19. If (punishment) is properly inflicted after (due) consideration, it makes all people happy; but inflicted without consideration, it destroys everything.</w:t>
      </w:r>
      <w:r>
        <w:br/>
      </w:r>
      <w:r>
        <w:rPr>
          <w:b/>
        </w:rPr>
        <w:t>Traducción guardada:</w:t>
      </w:r>
      <w:r>
        <w:t xml:space="preserve"> si el castigo se aplica bien, tras pensarlo, hace felices a todos; aplicado sin pensarlo, lo destruye todo</w:t>
      </w:r>
      <w:r>
        <w:t>.</w:t>
      </w:r>
    </w:p>
    <w:p>
      <w:pPr>
        <w:pStyle w:val="ListBullet2"/>
      </w:pPr>
      <w:r>
        <w:rPr>
          <w:b/>
        </w:rPr>
        <w:t>China:</w:t>
      </w:r>
      <w:r>
        <w:t xml:space="preserve"> «Cuando todo el pueblo dice: este hombre merece la muerte, entonces investiga el caso, y cuando veas que el hombre merece la muerte, dale muerte. Por eso se dice: lo mató el pueblo»</w:t>
      </w:r>
      <w:r>
        <w:t xml:space="preserve"> [original: «國人皆曰可殺，然後察之；見可殺焉，然後殺之。故曰，國人殺之也。»; en la traducción inglesa de Legge: «When the people all say, "This man deserves death," then inquire into the case, and when you see that the man deserves death, put him to death. In accordance with this we have the saying, "The people killed him."»]</w:t>
      </w:r>
      <w:r>
        <w:t xml:space="preserve"> (Mencio 1B7)</w:t>
      </w:r>
      <w:r>
        <w:br/>
      </w:r>
      <w:r>
        <w:rPr>
          <w:b/>
        </w:rPr>
        <w:t>leída en su fuente · Mencio 1B7</w:t>
      </w:r>
      <w:r>
        <w:br/>
      </w:r>
      <w:r>
        <w:rPr>
          <w:b/>
        </w:rPr>
        <w:t>Archivo leído:</w:t>
      </w:r>
      <w:r>
        <w:t xml:space="preserve"> chapter02.txt (cierre_B3_B4_9oct\mencio_legge_wikisource\chapter02.txt) · contraste del archivo de pasajes: ✔</w:t>
      </w:r>
      <w:r>
        <w:br/>
      </w:r>
      <w:r>
        <w:rPr>
          <w:b/>
        </w:rPr>
        <w:t>Lugar:</w:t>
      </w:r>
      <w:r>
        <w:t xml:space="preserve"> 1B7 (Legge)</w:t>
      </w:r>
      <w:r>
        <w:br/>
      </w:r>
      <w:r>
        <w:rPr>
          <w:b/>
        </w:rPr>
        <w:t>Tal como está en la fuente:</w:t>
      </w:r>
      <w:r>
        <w:t xml:space="preserve"> "When the people all say, ""This man deserves death,"" then inquire into the case, and when you see that the man deserves death, put him to death. In accordance with this we have the saying, ""The people killed him."""</w:t>
      </w:r>
      <w:r>
        <w:br/>
      </w:r>
      <w:r>
        <w:rPr>
          <w:b/>
        </w:rPr>
        <w:t>Traducción guardada:</w:t>
      </w:r>
      <w:r>
        <w:t xml:space="preserve"> cuando todo el pueblo dice “este hombre merece la muerte”, investiga el caso y, si ves que la merece, dale muerte; por eso se dice “lo mató el pueblo”</w:t>
      </w:r>
      <w:r>
        <w:t>.</w:t>
      </w:r>
    </w:p>
    <w:p>
      <w:pPr>
        <w:pStyle w:val="ListBullet2"/>
      </w:pPr>
      <w:r>
        <w:rPr>
          <w:b/>
        </w:rPr>
        <w:t>Grecia:</w:t>
      </w:r>
      <w:r>
        <w:t xml:space="preserve"> «Tras el preámbulo seguirá un discurso, que será el intérprete de la ley; este proclamará a todos los impíos que deben apartarse de sus caminos y pasarse a los piadosos. Y para los que desobedezcan, sea la ley sobre la impiedad la siguiente»</w:t>
      </w:r>
      <w:r>
        <w:t xml:space="preserve"> [original: «After the prelude shall follow a discourse, which will be the interpreter of the law; this shall proclaim to all impious persons:-that they must depart from their ways and go over to the pious. And to those who disobey, let the law about impiety be as follows:-», en la traducción inglesa de Jowett]</w:t>
      </w:r>
      <w:r>
        <w:t xml:space="preserve"> (Platón, Leyes X)</w:t>
      </w:r>
      <w:r>
        <w:br/>
      </w:r>
      <w:r>
        <w:rPr>
          <w:b/>
        </w:rPr>
        <w:t>leída en su fuente · Platón, Leyes X</w:t>
      </w:r>
      <w:r>
        <w:br/>
      </w:r>
      <w:r>
        <w:rPr>
          <w:b/>
        </w:rPr>
        <w:t>Archivo leído:</w:t>
      </w:r>
      <w:r>
        <w:t xml:space="preserve"> platon_leyes_jowett_mit.txt (reglas_del_juego_12oct\e08_grecia\platon_leyes_jowett_mit.txt) · contraste del archivo de pasajes: ✔</w:t>
      </w:r>
      <w:r>
        <w:br/>
      </w:r>
      <w:r>
        <w:rPr>
          <w:b/>
        </w:rPr>
        <w:t>Lugar:</w:t>
      </w:r>
      <w:r>
        <w:t xml:space="preserve"> Leyes X, tras el preámbulo de la ley de impiedad (Jowett)</w:t>
      </w:r>
      <w:r>
        <w:br/>
      </w:r>
      <w:r>
        <w:rPr>
          <w:b/>
        </w:rPr>
        <w:t>Tal como está en la fuente:</w:t>
      </w:r>
      <w:r>
        <w:t xml:space="preserve"> After the prelude shall follow a discourse, which will be the interpreter of the law; this shall proclaim to all impious persons:-that they must depart from their ways and go over to the pious. And to those who disobey, let the law about impiety be as follows:-</w:t>
      </w:r>
      <w:r>
        <w:br/>
      </w:r>
      <w:r>
        <w:rPr>
          <w:b/>
        </w:rPr>
        <w:t>Traducción guardada:</w:t>
      </w:r>
      <w:r>
        <w:t xml:space="preserve"> traducción propia: Tras el preámbulo seguirá un discurso, que será el intérprete de la ley; este proclamará a todos los impíos que deben apartarse de sus caminos y pasarse a los piadosos. Y para los que desobedezcan, sea la ley sobre la impiedad la siguiente</w:t>
      </w:r>
      <w:r>
        <w:t>. «los que han llegado a ser lo que son solo por falta de entendimiento, y no por malicia ni por mala naturaleza, sean puestos por el juez en la Casa de la Reforma y condenados a prisión por un tiempo no menor de cinco años. Y entretanto no tengan trato con los demás ciudadanos, salvo con los miembros del consejo nocturno, y con estos conversen para la mejora de la salud de su alma. Y cuando haya expirado el tiempo de su prisión, si alguno de ellos está en su sano juicio, sea devuelto a la compañía de los sanos; pero si no, y si es condenado por segunda vez, sea castigado con la muerte»</w:t>
      </w:r>
      <w:r>
        <w:t xml:space="preserve"> [original: «those who have been made what they are only from want of understanding, and not from malice or an evil nature, be placed by the judge in the House of Reformation, and ordered to suffer imprisonment during a period of not less than five years. And in the meantime let them have no intercourse with the other citizens, except with members of the nocturnal council, and with them let them converse with a view to the improvement of their soul's health. And when the time of their imprisonment has expired, if any of them be of sound mind let him be restored to sane company, but if not, and if he be condemned a second time, let him be punished with death», en la traducción inglesa de Jowett]</w:t>
      </w:r>
      <w:r>
        <w:t xml:space="preserve"> (Platón, Leyes X)</w:t>
      </w:r>
      <w:r>
        <w:br/>
      </w:r>
      <w:r>
        <w:rPr>
          <w:b/>
        </w:rPr>
        <w:t>leída en su fuente · Platón, Leyes X</w:t>
      </w:r>
      <w:r>
        <w:br/>
      </w:r>
      <w:r>
        <w:rPr>
          <w:b/>
        </w:rPr>
        <w:t>Archivo leído:</w:t>
      </w:r>
      <w:r>
        <w:t xml:space="preserve"> platon_leyes_jowett_mit.txt (reglas_del_juego_12oct\e08_grecia\platon_leyes_jowett_mit.txt) · contraste del archivo de pasajes: ✔</w:t>
      </w:r>
      <w:r>
        <w:br/>
      </w:r>
      <w:r>
        <w:rPr>
          <w:b/>
        </w:rPr>
        <w:t>Lugar:</w:t>
      </w:r>
      <w:r>
        <w:t xml:space="preserve"> Leyes X, la pena del impío por falta de entendimiento</w:t>
      </w:r>
      <w:r>
        <w:br/>
      </w:r>
      <w:r>
        <w:rPr>
          <w:b/>
        </w:rPr>
        <w:t>Tal como está en la fuente:</w:t>
      </w:r>
      <w:r>
        <w:t xml:space="preserve"> those who have been made what they are only from want of understanding, and not from malice or an evil nature, be placed by the judge in the House of Reformation, and ordered to suffer imprisonment during a period of not less than five years. And in the meantime let them have no intercourse with the other citizens, except with members of the nocturnal council, and with them let them converse with a view to the improvement of their soul's health. And when the time of their imprisonment has expired, if any of them be of sound mind let him be restored to sane company, but if not, and if he be condemned a second time, let him be punished with death.</w:t>
      </w:r>
      <w:r>
        <w:t>. Y el Protágoras, arriba, en el 11.</w:t>
      </w:r>
    </w:p>
    <w:p>
      <w:pPr>
        <w:pStyle w:val="ListBullet2"/>
      </w:pPr>
      <w:r>
        <w:rPr>
          <w:b/>
        </w:rPr>
        <w:t>América:</w:t>
      </w:r>
      <w:r>
        <w:t xml:space="preserve"> los tres avisos de la Gran Ley de la Paz antes de deponer al jefe, arriba.</w:t>
      </w:r>
    </w:p>
    <w:p>
      <w:pPr>
        <w:pStyle w:val="ListBullet"/>
      </w:pPr>
      <w:r>
        <w:rPr>
          <w:b/>
        </w:rPr>
        <w:t>Lo que el autor llama «energía crística»</w:t>
      </w:r>
      <w:r>
        <w:t xml:space="preserve"> (</w:t>
      </w:r>
      <w:r>
        <w:t>3.7</w:t>
      </w:r>
      <w:r>
        <w:t>). Con ese nombre no está en el Nuevo Testamento, ni en la Reina-Valera, ni en Blavatsky ni en Besant. Lo que sí dice el texto: «Porque Dios es el que en vosotros obra así el querer como el hacer, por su buena voluntad»</w:t>
      </w:r>
      <w:r>
        <w:t xml:space="preserve"> (Flp 2:13)</w:t>
      </w:r>
      <w:r>
        <w:br/>
      </w:r>
      <w:r>
        <w:rPr>
          <w:b/>
        </w:rPr>
        <w:t>leída en su fuente · Flp 2:13</w:t>
      </w:r>
      <w:r>
        <w:br/>
      </w:r>
      <w:r>
        <w:rPr>
          <w:b/>
        </w:rPr>
        <w:t>Archivo leído:</w:t>
      </w:r>
      <w:r>
        <w:t xml:space="preserve"> sblgnt_Phil.txt (biblia_rv1909\spaRV1909_texto_corrido.txt) · contraste del archivo de pasajes: ✔</w:t>
      </w:r>
      <w:r>
        <w:br/>
      </w:r>
      <w:r>
        <w:rPr>
          <w:b/>
        </w:rPr>
        <w:t>Lugar:</w:t>
      </w:r>
      <w:r>
        <w:t xml:space="preserve"> Flp 2:13 (RV1909)</w:t>
      </w:r>
      <w:r>
        <w:br/>
      </w:r>
      <w:r>
        <w:rPr>
          <w:b/>
        </w:rPr>
        <w:t>Tal como está en la fuente:</w:t>
      </w:r>
      <w:r>
        <w:t xml:space="preserve"> Porque Dios es el que en vosotros obra así el querer como el hacer, por su buena voluntad.</w:t>
      </w:r>
      <w:r>
        <w:t xml:space="preserve">; en griego, «el que obra» es ὁ ἐνεργῶν, de la familia de </w:t>
      </w:r>
      <w:r>
        <w:rPr>
          <w:i/>
        </w:rPr>
        <w:t>energeia</w:t>
      </w:r>
      <w:r>
        <w:t xml:space="preserve">. Y lo más cercano a la lectura del autor es la teosofía: «El “principio de Cristo”, el Espíritu de Verdad despierto y glorificado, siendo universal y eterno, el verdadero </w:t>
      </w:r>
      <w:r>
        <w:rPr>
          <w:i/>
        </w:rPr>
        <w:t>Christos</w:t>
      </w:r>
      <w:r>
        <w:t xml:space="preserve"> no puede ser monopolizado por ninguna persona»</w:t>
      </w:r>
      <w:r>
        <w:t xml:space="preserve"> [original: «The “Christ principle,” the awakened and glorified Spirit of Truth, being universal and eternal, the true </w:t>
      </w:r>
      <w:r>
        <w:rPr>
          <w:i/>
        </w:rPr>
        <w:t>Christos</w:t>
      </w:r>
      <w:r>
        <w:t xml:space="preserve"> cannot be monopolized by any one person»]</w:t>
      </w:r>
      <w:r>
        <w:t xml:space="preserve"> (H. P. Blavatsky, «The Esoteric Character of the Gospels» (El carácter esotérico de los Evangelios), Lucifer, n.º 3, Londres, 15 de noviembre de 1887)</w:t>
      </w:r>
      <w:r>
        <w:br/>
      </w:r>
      <w:r>
        <w:rPr>
          <w:b/>
        </w:rPr>
        <w:t>leída en su fuente · H. P. Blavatsky, «The Esoteric Character of the Gospels» (El carácter esotérico de los Eva</w:t>
      </w:r>
      <w:r>
        <w:br/>
      </w:r>
      <w:r>
        <w:rPr>
          <w:b/>
        </w:rPr>
        <w:t>Archivo leído:</w:t>
      </w:r>
      <w:r>
        <w:t xml:space="preserve"> pg60852_lucifer_vol1_1887_1888.txt (reglas_del_juego_12oct\originales\pg60852_lucifer_vol1_1887_1888.txt) · contraste del archivo de pasajes: ✔</w:t>
      </w:r>
      <w:r>
        <w:br/>
      </w:r>
      <w:r>
        <w:rPr>
          <w:b/>
        </w:rPr>
        <w:t>Lugar:</w:t>
      </w:r>
      <w:r>
        <w:t xml:space="preserve"> Lucifer n.º 3, “The Esoteric Character of the Gospels”, I</w:t>
      </w:r>
      <w:r>
        <w:br/>
      </w:r>
      <w:r>
        <w:rPr>
          <w:b/>
        </w:rPr>
        <w:t>Tal como está en la fuente:</w:t>
      </w:r>
      <w:r>
        <w:t xml:space="preserve"> The “Christ principle,” the awakened and glorified Spirit of Truth, being universal and eternal, the true _Christos_ cannot be monopolized by any one person,</w:t>
      </w:r>
      <w:r>
        <w:br/>
      </w:r>
      <w:r>
        <w:rPr>
          <w:b/>
        </w:rPr>
        <w:t>Traducción guardada:</w:t>
      </w:r>
      <w:r>
        <w:t xml:space="preserve"> traducción propia: El «principio de Cristo», el Espíritu de Verdad despierto y glorificado, siendo universal y eterno, el verdadero Christos no puede monopolizarlo ninguna persona,</w:t>
      </w:r>
      <w:r>
        <w:t>.</w:t>
      </w:r>
    </w:p>
    <w:p>
      <w:r>
        <w:rPr>
          <w:b/>
        </w:rPr>
        <w:t>La cuenta, tradición por tradición</w:t>
      </w:r>
      <w:r>
        <w:t xml:space="preserve"> (cuántos de los 71 textos llevan cada etiqueta; un texto puede llevar más de una, y alguno no encaja en ninguna casilla):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918"/>
        <w:gridCol w:w="918"/>
        <w:gridCol w:w="918"/>
        <w:gridCol w:w="918"/>
        <w:gridCol w:w="918"/>
        <w:gridCol w:w="918"/>
        <w:gridCol w:w="918"/>
        <w:gridCol w:w="918"/>
        <w:gridCol w:w="918"/>
        <w:gridCol w:w="918"/>
      </w:tblGrid>
      <w:tr>
        <w:tc>
          <w:tcPr>
            <w:tcW w:type="dxa" w:w="918"/>
            <w:shd w:val="clear" w:color="auto" w:fill="F1EEE8"/>
          </w:tcPr>
          <w:p>
            <w:pPr>
              <w:spacing w:after="20" w:line="264" w:lineRule="auto"/>
            </w:pPr>
            <w:r>
              <w:rPr>
                <w:b/>
              </w:rPr>
            </w:r>
            <w:r>
              <w:rPr>
                <w:rFonts w:ascii="Segoe UI" w:hAnsi="Segoe UI" w:eastAsia="Segoe UI" w:cs="Segoe UI"/>
                <w:b/>
                <w:color w:val="1F1D1A"/>
                <w:sz w:val="18"/>
              </w:rPr>
              <w:t>Tradición</w:t>
            </w:r>
          </w:p>
        </w:tc>
        <w:tc>
          <w:tcPr>
            <w:tcW w:type="dxa" w:w="918"/>
            <w:shd w:val="clear" w:color="auto" w:fill="F1EEE8"/>
          </w:tcPr>
          <w:p>
            <w:pPr>
              <w:spacing w:after="20" w:line="264" w:lineRule="auto"/>
            </w:pPr>
            <w:r>
              <w:rPr>
                <w:b/>
              </w:rPr>
            </w:r>
            <w:r>
              <w:rPr>
                <w:rFonts w:ascii="Segoe UI" w:hAnsi="Segoe UI" w:eastAsia="Segoe UI" w:cs="Segoe UI"/>
                <w:b/>
                <w:color w:val="1F1D1A"/>
                <w:sz w:val="18"/>
              </w:rPr>
              <w:t>Textos</w:t>
            </w:r>
          </w:p>
        </w:tc>
        <w:tc>
          <w:tcPr>
            <w:tcW w:type="dxa" w:w="918"/>
            <w:shd w:val="clear" w:color="auto" w:fill="F1EEE8"/>
          </w:tcPr>
          <w:p>
            <w:pPr>
              <w:spacing w:after="20" w:line="264" w:lineRule="auto"/>
            </w:pPr>
            <w:r>
              <w:rPr>
                <w:b/>
              </w:rPr>
            </w:r>
            <w:r>
              <w:rPr>
                <w:rFonts w:ascii="Segoe UI" w:hAnsi="Segoe UI" w:eastAsia="Segoe UI" w:cs="Segoe UI"/>
                <w:b/>
                <w:color w:val="1F1D1A"/>
                <w:sz w:val="18"/>
              </w:rPr>
              <w:t>Aviso antes: sí</w:t>
            </w:r>
          </w:p>
        </w:tc>
        <w:tc>
          <w:tcPr>
            <w:tcW w:type="dxa" w:w="918"/>
            <w:shd w:val="clear" w:color="auto" w:fill="F1EEE8"/>
          </w:tcPr>
          <w:p>
            <w:pPr>
              <w:spacing w:after="20" w:line="264" w:lineRule="auto"/>
            </w:pPr>
            <w:r>
              <w:rPr>
                <w:b/>
              </w:rPr>
            </w:r>
            <w:r>
              <w:rPr>
                <w:rFonts w:ascii="Segoe UI" w:hAnsi="Segoe UI" w:eastAsia="Segoe UI" w:cs="Segoe UI"/>
                <w:b/>
                <w:color w:val="1F1D1A"/>
                <w:sz w:val="18"/>
              </w:rPr>
              <w:t>no</w:t>
            </w:r>
          </w:p>
        </w:tc>
        <w:tc>
          <w:tcPr>
            <w:tcW w:type="dxa" w:w="918"/>
            <w:shd w:val="clear" w:color="auto" w:fill="F1EEE8"/>
          </w:tcPr>
          <w:p>
            <w:pPr>
              <w:spacing w:after="20" w:line="264" w:lineRule="auto"/>
            </w:pPr>
            <w:r>
              <w:rPr>
                <w:b/>
              </w:rPr>
            </w:r>
            <w:r>
              <w:rPr>
                <w:rFonts w:ascii="Segoe UI" w:hAnsi="Segoe UI" w:eastAsia="Segoe UI" w:cs="Segoe UI"/>
                <w:b/>
                <w:color w:val="1F1D1A"/>
                <w:sz w:val="18"/>
              </w:rPr>
              <w:t>no lo dice</w:t>
            </w:r>
          </w:p>
        </w:tc>
        <w:tc>
          <w:tcPr>
            <w:tcW w:type="dxa" w:w="918"/>
            <w:shd w:val="clear" w:color="auto" w:fill="F1EEE8"/>
          </w:tcPr>
          <w:p>
            <w:pPr>
              <w:spacing w:after="20" w:line="264" w:lineRule="auto"/>
            </w:pPr>
            <w:r>
              <w:rPr>
                <w:b/>
              </w:rPr>
            </w:r>
            <w:r>
              <w:rPr>
                <w:rFonts w:ascii="Segoe UI" w:hAnsi="Segoe UI" w:eastAsia="Segoe UI" w:cs="Segoe UI"/>
                <w:b/>
                <w:color w:val="1F1D1A"/>
                <w:sz w:val="18"/>
              </w:rPr>
              <w:t>Ejecuta: Dios o los dioses</w:t>
            </w:r>
          </w:p>
        </w:tc>
        <w:tc>
          <w:tcPr>
            <w:tcW w:type="dxa" w:w="918"/>
            <w:shd w:val="clear" w:color="auto" w:fill="F1EEE8"/>
          </w:tcPr>
          <w:p>
            <w:pPr>
              <w:spacing w:after="20" w:line="264" w:lineRule="auto"/>
            </w:pPr>
            <w:r>
              <w:rPr>
                <w:b/>
              </w:rPr>
            </w:r>
            <w:r>
              <w:rPr>
                <w:rFonts w:ascii="Segoe UI" w:hAnsi="Segoe UI" w:eastAsia="Segoe UI" w:cs="Segoe UI"/>
                <w:b/>
                <w:color w:val="1F1D1A"/>
                <w:sz w:val="18"/>
              </w:rPr>
              <w:t>la propia acción</w:t>
            </w:r>
          </w:p>
        </w:tc>
        <w:tc>
          <w:tcPr>
            <w:tcW w:type="dxa" w:w="918"/>
            <w:shd w:val="clear" w:color="auto" w:fill="F1EEE8"/>
          </w:tcPr>
          <w:p>
            <w:pPr>
              <w:spacing w:after="20" w:line="264" w:lineRule="auto"/>
            </w:pPr>
            <w:r>
              <w:rPr>
                <w:b/>
              </w:rPr>
            </w:r>
            <w:r>
              <w:rPr>
                <w:rFonts w:ascii="Segoe UI" w:hAnsi="Segoe UI" w:eastAsia="Segoe UI" w:cs="Segoe UI"/>
                <w:b/>
                <w:color w:val="1F1D1A"/>
                <w:sz w:val="18"/>
              </w:rPr>
              <w:t>los hombres por mandato</w:t>
            </w:r>
          </w:p>
        </w:tc>
        <w:tc>
          <w:tcPr>
            <w:tcW w:type="dxa" w:w="918"/>
            <w:shd w:val="clear" w:color="auto" w:fill="F1EEE8"/>
          </w:tcPr>
          <w:p>
            <w:pPr>
              <w:spacing w:after="20" w:line="264" w:lineRule="auto"/>
            </w:pPr>
            <w:r>
              <w:rPr>
                <w:b/>
              </w:rPr>
            </w:r>
            <w:r>
              <w:rPr>
                <w:rFonts w:ascii="Segoe UI" w:hAnsi="Segoe UI" w:eastAsia="Segoe UI" w:cs="Segoe UI"/>
                <w:b/>
                <w:color w:val="1F1D1A"/>
                <w:sz w:val="18"/>
              </w:rPr>
              <w:t>los hombres</w:t>
            </w:r>
          </w:p>
        </w:tc>
        <w:tc>
          <w:tcPr>
            <w:tcW w:type="dxa" w:w="918"/>
            <w:shd w:val="clear" w:color="auto" w:fill="F1EEE8"/>
          </w:tcPr>
          <w:p>
            <w:pPr>
              <w:spacing w:after="20" w:line="264" w:lineRule="auto"/>
            </w:pPr>
            <w:r>
              <w:rPr>
                <w:b/>
              </w:rPr>
            </w:r>
            <w:r>
              <w:rPr>
                <w:rFonts w:ascii="Segoe UI" w:hAnsi="Segoe UI" w:eastAsia="Segoe UI" w:cs="Segoe UI"/>
                <w:b/>
                <w:color w:val="1F1D1A"/>
                <w:sz w:val="18"/>
              </w:rPr>
              <w:t>no lo dice</w:t>
            </w:r>
          </w:p>
        </w:tc>
      </w:tr>
      <w:tr>
        <w:tc>
          <w:tcPr>
            <w:tcW w:type="dxa" w:w="918"/>
          </w:tcPr>
          <w:p>
            <w:pPr>
              <w:spacing w:after="20" w:line="264" w:lineRule="auto"/>
            </w:pPr>
            <w:r/>
            <w:r>
              <w:rPr>
                <w:rFonts w:ascii="Segoe UI" w:hAnsi="Segoe UI" w:eastAsia="Segoe UI" w:cs="Segoe UI"/>
                <w:color w:val="1F1D1A"/>
                <w:sz w:val="18"/>
              </w:rPr>
              <w:t>Israel (la Biblia hebrea y la Misná)</w:t>
            </w:r>
          </w:p>
        </w:tc>
        <w:tc>
          <w:tcPr>
            <w:tcW w:type="dxa" w:w="918"/>
          </w:tcPr>
          <w:p>
            <w:pPr>
              <w:spacing w:after="20" w:line="264" w:lineRule="auto"/>
            </w:pPr>
            <w:r/>
            <w:r>
              <w:rPr>
                <w:rFonts w:ascii="Segoe UI" w:hAnsi="Segoe UI" w:eastAsia="Segoe UI" w:cs="Segoe UI"/>
                <w:color w:val="1F1D1A"/>
                <w:sz w:val="18"/>
              </w:rPr>
              <w:t>16</w:t>
            </w:r>
          </w:p>
        </w:tc>
        <w:tc>
          <w:tcPr>
            <w:tcW w:type="dxa" w:w="918"/>
          </w:tcPr>
          <w:p>
            <w:pPr>
              <w:spacing w:after="20" w:line="264" w:lineRule="auto"/>
            </w:pPr>
            <w:r/>
            <w:r>
              <w:rPr>
                <w:rFonts w:ascii="Segoe UI" w:hAnsi="Segoe UI" w:eastAsia="Segoe UI" w:cs="Segoe UI"/>
                <w:color w:val="1F1D1A"/>
                <w:sz w:val="18"/>
              </w:rPr>
              <w:t>14</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9</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6</w:t>
            </w:r>
          </w:p>
        </w:tc>
      </w:tr>
      <w:tr>
        <w:tc>
          <w:tcPr>
            <w:tcW w:type="dxa" w:w="918"/>
          </w:tcPr>
          <w:p>
            <w:pPr>
              <w:spacing w:after="20" w:line="264" w:lineRule="auto"/>
            </w:pPr>
            <w:r/>
            <w:r>
              <w:rPr>
                <w:rFonts w:ascii="Segoe UI" w:hAnsi="Segoe UI" w:eastAsia="Segoe UI" w:cs="Segoe UI"/>
                <w:color w:val="1F1D1A"/>
                <w:sz w:val="18"/>
              </w:rPr>
              <w:t>El Nuevo Testamento</w:t>
            </w:r>
          </w:p>
        </w:tc>
        <w:tc>
          <w:tcPr>
            <w:tcW w:type="dxa" w:w="918"/>
          </w:tcPr>
          <w:p>
            <w:pPr>
              <w:spacing w:after="20" w:line="264" w:lineRule="auto"/>
            </w:pPr>
            <w:r/>
            <w:r>
              <w:rPr>
                <w:rFonts w:ascii="Segoe UI" w:hAnsi="Segoe UI" w:eastAsia="Segoe UI" w:cs="Segoe UI"/>
                <w:color w:val="1F1D1A"/>
                <w:sz w:val="18"/>
              </w:rPr>
              <w:t>13</w:t>
            </w:r>
          </w:p>
        </w:tc>
        <w:tc>
          <w:tcPr>
            <w:tcW w:type="dxa" w:w="918"/>
          </w:tcPr>
          <w:p>
            <w:pPr>
              <w:spacing w:after="20" w:line="264" w:lineRule="auto"/>
            </w:pPr>
            <w:r/>
            <w:r>
              <w:rPr>
                <w:rFonts w:ascii="Segoe UI" w:hAnsi="Segoe UI" w:eastAsia="Segoe UI" w:cs="Segoe UI"/>
                <w:color w:val="1F1D1A"/>
                <w:sz w:val="18"/>
              </w:rPr>
              <w:t>8</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5</w:t>
            </w:r>
          </w:p>
        </w:tc>
        <w:tc>
          <w:tcPr>
            <w:tcW w:type="dxa" w:w="918"/>
          </w:tcPr>
          <w:p>
            <w:pPr>
              <w:spacing w:after="20" w:line="264" w:lineRule="auto"/>
            </w:pPr>
            <w:r/>
            <w:r>
              <w:rPr>
                <w:rFonts w:ascii="Segoe UI" w:hAnsi="Segoe UI" w:eastAsia="Segoe UI" w:cs="Segoe UI"/>
                <w:color w:val="1F1D1A"/>
                <w:sz w:val="18"/>
              </w:rPr>
              <w:t>6</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1</w:t>
            </w:r>
          </w:p>
        </w:tc>
      </w:tr>
      <w:tr>
        <w:tc>
          <w:tcPr>
            <w:tcW w:type="dxa" w:w="918"/>
          </w:tcPr>
          <w:p>
            <w:pPr>
              <w:spacing w:after="20" w:line="264" w:lineRule="auto"/>
            </w:pPr>
            <w:r/>
            <w:r>
              <w:rPr>
                <w:rFonts w:ascii="Segoe UI" w:hAnsi="Segoe UI" w:eastAsia="Segoe UI" w:cs="Segoe UI"/>
                <w:color w:val="1F1D1A"/>
                <w:sz w:val="18"/>
              </w:rPr>
              <w:t>El islam</w:t>
            </w:r>
          </w:p>
        </w:tc>
        <w:tc>
          <w:tcPr>
            <w:tcW w:type="dxa" w:w="918"/>
          </w:tcPr>
          <w:p>
            <w:pPr>
              <w:spacing w:after="20" w:line="264" w:lineRule="auto"/>
            </w:pPr>
            <w:r/>
            <w:r>
              <w:rPr>
                <w:rFonts w:ascii="Segoe UI" w:hAnsi="Segoe UI" w:eastAsia="Segoe UI" w:cs="Segoe UI"/>
                <w:color w:val="1F1D1A"/>
                <w:sz w:val="18"/>
              </w:rPr>
              <w:t>5</w:t>
            </w:r>
          </w:p>
        </w:tc>
        <w:tc>
          <w:tcPr>
            <w:tcW w:type="dxa" w:w="918"/>
          </w:tcPr>
          <w:p>
            <w:pPr>
              <w:spacing w:after="20" w:line="264" w:lineRule="auto"/>
            </w:pPr>
            <w:r/>
            <w:r>
              <w:rPr>
                <w:rFonts w:ascii="Segoe UI" w:hAnsi="Segoe UI" w:eastAsia="Segoe UI" w:cs="Segoe UI"/>
                <w:color w:val="1F1D1A"/>
                <w:sz w:val="18"/>
              </w:rPr>
              <w:t>5</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4</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1</w:t>
            </w:r>
          </w:p>
        </w:tc>
      </w:tr>
      <w:tr>
        <w:tc>
          <w:tcPr>
            <w:tcW w:type="dxa" w:w="918"/>
          </w:tcPr>
          <w:p>
            <w:pPr>
              <w:spacing w:after="20" w:line="264" w:lineRule="auto"/>
            </w:pPr>
            <w:r/>
            <w:r>
              <w:rPr>
                <w:rFonts w:ascii="Segoe UI" w:hAnsi="Segoe UI" w:eastAsia="Segoe UI" w:cs="Segoe UI"/>
                <w:color w:val="1F1D1A"/>
                <w:sz w:val="18"/>
              </w:rPr>
              <w:t>Persia</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r>
      <w:tr>
        <w:tc>
          <w:tcPr>
            <w:tcW w:type="dxa" w:w="918"/>
          </w:tcPr>
          <w:p>
            <w:pPr>
              <w:spacing w:after="20" w:line="264" w:lineRule="auto"/>
            </w:pPr>
            <w:r/>
            <w:r>
              <w:rPr>
                <w:rFonts w:ascii="Segoe UI" w:hAnsi="Segoe UI" w:eastAsia="Segoe UI" w:cs="Segoe UI"/>
                <w:color w:val="1F1D1A"/>
                <w:sz w:val="18"/>
              </w:rPr>
              <w:t>La India (con el budismo)</w:t>
            </w:r>
          </w:p>
        </w:tc>
        <w:tc>
          <w:tcPr>
            <w:tcW w:type="dxa" w:w="918"/>
          </w:tcPr>
          <w:p>
            <w:pPr>
              <w:spacing w:after="20" w:line="264" w:lineRule="auto"/>
            </w:pPr>
            <w:r/>
            <w:r>
              <w:rPr>
                <w:rFonts w:ascii="Segoe UI" w:hAnsi="Segoe UI" w:eastAsia="Segoe UI" w:cs="Segoe UI"/>
                <w:color w:val="1F1D1A"/>
                <w:sz w:val="18"/>
              </w:rPr>
              <w:t>8</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5</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4</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1</w:t>
            </w:r>
          </w:p>
        </w:tc>
      </w:tr>
      <w:tr>
        <w:tc>
          <w:tcPr>
            <w:tcW w:type="dxa" w:w="918"/>
          </w:tcPr>
          <w:p>
            <w:pPr>
              <w:spacing w:after="20" w:line="264" w:lineRule="auto"/>
            </w:pPr>
            <w:r/>
            <w:r>
              <w:rPr>
                <w:rFonts w:ascii="Segoe UI" w:hAnsi="Segoe UI" w:eastAsia="Segoe UI" w:cs="Segoe UI"/>
                <w:color w:val="1F1D1A"/>
                <w:sz w:val="18"/>
              </w:rPr>
              <w:t>Egipto</w:t>
            </w:r>
          </w:p>
        </w:tc>
        <w:tc>
          <w:tcPr>
            <w:tcW w:type="dxa" w:w="918"/>
          </w:tcPr>
          <w:p>
            <w:pPr>
              <w:spacing w:after="20" w:line="264" w:lineRule="auto"/>
            </w:pPr>
            <w:r/>
            <w:r>
              <w:rPr>
                <w:rFonts w:ascii="Segoe UI" w:hAnsi="Segoe UI" w:eastAsia="Segoe UI" w:cs="Segoe UI"/>
                <w:color w:val="1F1D1A"/>
                <w:sz w:val="18"/>
              </w:rPr>
              <w:t>3</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3</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0</w:t>
            </w:r>
          </w:p>
        </w:tc>
      </w:tr>
      <w:tr>
        <w:tc>
          <w:tcPr>
            <w:tcW w:type="dxa" w:w="918"/>
          </w:tcPr>
          <w:p>
            <w:pPr>
              <w:spacing w:after="20" w:line="264" w:lineRule="auto"/>
            </w:pPr>
            <w:r/>
            <w:r>
              <w:rPr>
                <w:rFonts w:ascii="Segoe UI" w:hAnsi="Segoe UI" w:eastAsia="Segoe UI" w:cs="Segoe UI"/>
                <w:color w:val="1F1D1A"/>
                <w:sz w:val="18"/>
              </w:rPr>
              <w:t>Grecia y Roma</w:t>
            </w:r>
          </w:p>
        </w:tc>
        <w:tc>
          <w:tcPr>
            <w:tcW w:type="dxa" w:w="918"/>
          </w:tcPr>
          <w:p>
            <w:pPr>
              <w:spacing w:after="20" w:line="264" w:lineRule="auto"/>
            </w:pPr>
            <w:r/>
            <w:r>
              <w:rPr>
                <w:rFonts w:ascii="Segoe UI" w:hAnsi="Segoe UI" w:eastAsia="Segoe UI" w:cs="Segoe UI"/>
                <w:color w:val="1F1D1A"/>
                <w:sz w:val="18"/>
              </w:rPr>
              <w:t>9</w:t>
            </w:r>
          </w:p>
        </w:tc>
        <w:tc>
          <w:tcPr>
            <w:tcW w:type="dxa" w:w="918"/>
          </w:tcPr>
          <w:p>
            <w:pPr>
              <w:spacing w:after="20" w:line="264" w:lineRule="auto"/>
            </w:pPr>
            <w:r/>
            <w:r>
              <w:rPr>
                <w:rFonts w:ascii="Segoe UI" w:hAnsi="Segoe UI" w:eastAsia="Segoe UI" w:cs="Segoe UI"/>
                <w:color w:val="1F1D1A"/>
                <w:sz w:val="18"/>
              </w:rPr>
              <w:t>8</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6</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1</w:t>
            </w:r>
          </w:p>
        </w:tc>
      </w:tr>
      <w:tr>
        <w:tc>
          <w:tcPr>
            <w:tcW w:type="dxa" w:w="918"/>
          </w:tcPr>
          <w:p>
            <w:pPr>
              <w:spacing w:after="20" w:line="264" w:lineRule="auto"/>
            </w:pPr>
            <w:r/>
            <w:r>
              <w:rPr>
                <w:rFonts w:ascii="Segoe UI" w:hAnsi="Segoe UI" w:eastAsia="Segoe UI" w:cs="Segoe UI"/>
                <w:color w:val="1F1D1A"/>
                <w:sz w:val="18"/>
              </w:rPr>
              <w:t>América (la Gran Ley de la Paz y el Popol Vuh)</w:t>
            </w:r>
          </w:p>
        </w:tc>
        <w:tc>
          <w:tcPr>
            <w:tcW w:type="dxa" w:w="918"/>
          </w:tcPr>
          <w:p>
            <w:pPr>
              <w:spacing w:after="20" w:line="264" w:lineRule="auto"/>
            </w:pPr>
            <w:r/>
            <w:r>
              <w:rPr>
                <w:rFonts w:ascii="Segoe UI" w:hAnsi="Segoe UI" w:eastAsia="Segoe UI" w:cs="Segoe UI"/>
                <w:color w:val="1F1D1A"/>
                <w:sz w:val="18"/>
              </w:rPr>
              <w:t>4</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0</w:t>
            </w:r>
          </w:p>
        </w:tc>
      </w:tr>
      <w:tr>
        <w:tc>
          <w:tcPr>
            <w:tcW w:type="dxa" w:w="918"/>
          </w:tcPr>
          <w:p>
            <w:pPr>
              <w:spacing w:after="20" w:line="264" w:lineRule="auto"/>
            </w:pPr>
            <w:r/>
            <w:r>
              <w:rPr>
                <w:rFonts w:ascii="Segoe UI" w:hAnsi="Segoe UI" w:eastAsia="Segoe UI" w:cs="Segoe UI"/>
                <w:color w:val="1F1D1A"/>
                <w:sz w:val="18"/>
              </w:rPr>
              <w:t>Mesopotamia</w:t>
            </w:r>
          </w:p>
        </w:tc>
        <w:tc>
          <w:tcPr>
            <w:tcW w:type="dxa" w:w="918"/>
          </w:tcPr>
          <w:p>
            <w:pPr>
              <w:spacing w:after="20" w:line="264" w:lineRule="auto"/>
            </w:pPr>
            <w:r/>
            <w:r>
              <w:rPr>
                <w:rFonts w:ascii="Segoe UI" w:hAnsi="Segoe UI" w:eastAsia="Segoe UI" w:cs="Segoe UI"/>
                <w:color w:val="1F1D1A"/>
                <w:sz w:val="18"/>
              </w:rPr>
              <w:t>5</w:t>
            </w:r>
          </w:p>
        </w:tc>
        <w:tc>
          <w:tcPr>
            <w:tcW w:type="dxa" w:w="918"/>
          </w:tcPr>
          <w:p>
            <w:pPr>
              <w:spacing w:after="20" w:line="264" w:lineRule="auto"/>
            </w:pPr>
            <w:r/>
            <w:r>
              <w:rPr>
                <w:rFonts w:ascii="Segoe UI" w:hAnsi="Segoe UI" w:eastAsia="Segoe UI" w:cs="Segoe UI"/>
                <w:color w:val="1F1D1A"/>
                <w:sz w:val="18"/>
              </w:rPr>
              <w:t>4</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5</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2</w:t>
            </w:r>
          </w:p>
        </w:tc>
      </w:tr>
      <w:tr>
        <w:tc>
          <w:tcPr>
            <w:tcW w:type="dxa" w:w="918"/>
          </w:tcPr>
          <w:p>
            <w:pPr>
              <w:spacing w:after="20" w:line="264" w:lineRule="auto"/>
            </w:pPr>
            <w:r/>
            <w:r>
              <w:rPr>
                <w:rFonts w:ascii="Segoe UI" w:hAnsi="Segoe UI" w:eastAsia="Segoe UI" w:cs="Segoe UI"/>
                <w:color w:val="1F1D1A"/>
                <w:sz w:val="18"/>
              </w:rPr>
              <w:t>China</w:t>
            </w:r>
          </w:p>
        </w:tc>
        <w:tc>
          <w:tcPr>
            <w:tcW w:type="dxa" w:w="918"/>
          </w:tcPr>
          <w:p>
            <w:pPr>
              <w:spacing w:after="20" w:line="264" w:lineRule="auto"/>
            </w:pPr>
            <w:r/>
            <w:r>
              <w:rPr>
                <w:rFonts w:ascii="Segoe UI" w:hAnsi="Segoe UI" w:eastAsia="Segoe UI" w:cs="Segoe UI"/>
                <w:color w:val="1F1D1A"/>
                <w:sz w:val="18"/>
              </w:rPr>
              <w:t>4</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0</w:t>
            </w:r>
          </w:p>
        </w:tc>
      </w:tr>
      <w:tr>
        <w:tc>
          <w:tcPr>
            <w:tcW w:type="dxa" w:w="918"/>
          </w:tcPr>
          <w:p>
            <w:pPr>
              <w:spacing w:after="20" w:line="264" w:lineRule="auto"/>
            </w:pPr>
            <w:r/>
            <w:r>
              <w:rPr>
                <w:rFonts w:ascii="Segoe UI" w:hAnsi="Segoe UI" w:eastAsia="Segoe UI" w:cs="Segoe UI"/>
                <w:color w:val="1F1D1A"/>
                <w:sz w:val="18"/>
              </w:rPr>
              <w:t>El norte (las Eddas)</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2</w:t>
            </w:r>
          </w:p>
        </w:tc>
      </w:tr>
    </w:tbl>
    <w:p>
      <w:pPr>
        <w:spacing w:after="80"/>
      </w:pPr>
    </w:p>
    <w:p>
      <w:r>
        <w:rPr>
          <w:b/>
        </w:rPr>
        <w:t>14. Lo que pide el remate de 3.7: todo se ve y todo queda escrito</w:t>
      </w:r>
      <w:r>
        <w:t xml:space="preserve"> (un lote más, leído el 12-oct-2026, en trece tradiciones: las doce y el norte).</w:t>
      </w:r>
    </w:p>
    <w:p>
      <w:pPr>
        <w:pStyle w:val="ListBullet"/>
      </w:pPr>
      <w:r>
        <w:rPr>
          <w:b/>
        </w:rPr>
        <w:t>Todo se ve.</w:t>
      </w:r>
      <w:r>
        <w:t xml:space="preserve"> </w:t>
      </w:r>
    </w:p>
    <w:p>
      <w:pPr>
        <w:pStyle w:val="ListBullet2"/>
      </w:pPr>
      <w:r>
        <w:rPr>
          <w:b/>
        </w:rPr>
        <w:t>Israel</w:t>
      </w:r>
      <w:r>
        <w:t xml:space="preserve"> (Reina-Valera Antigua): «Tú has conocido mi sentarme y mi levantarme, has entendido desde lejos mis pensamientos»</w:t>
      </w:r>
      <w:r>
        <w:t xml:space="preserve"> (Sal 139:2)</w:t>
      </w:r>
      <w:r>
        <w:br/>
      </w:r>
      <w:r>
        <w:rPr>
          <w:b/>
        </w:rPr>
        <w:t>leída en su fuente · Sal 139:2</w:t>
      </w:r>
      <w:r>
        <w:br/>
      </w:r>
      <w:r>
        <w:rPr>
          <w:b/>
        </w:rPr>
        <w:t>Archivo leído:</w:t>
      </w:r>
      <w:r>
        <w:t xml:space="preserve"> Ps.txt (biblia_rv1909\spaRV1909_texto_corrido.txt) · contraste del archivo de pasajes: ✔</w:t>
      </w:r>
      <w:r>
        <w:br/>
      </w:r>
      <w:r>
        <w:rPr>
          <w:b/>
        </w:rPr>
        <w:t>Lugar:</w:t>
      </w:r>
      <w:r>
        <w:t xml:space="preserve"> Sal 139:1</w:t>
      </w:r>
      <w:r>
        <w:br/>
      </w:r>
      <w:r>
        <w:rPr>
          <w:b/>
        </w:rPr>
        <w:t>Tal como está en la fuente:</w:t>
      </w:r>
      <w:r>
        <w:t xml:space="preserve"> Tú has conocido mi sentarme y mi levantarme, has entendido desde lejos mis pensamientos.</w:t>
      </w:r>
      <w:r>
        <w:t>. «Pues aun no está la palabra en mi lengua, [y] he aquí, oh Jehová, tú la sabes toda»</w:t>
      </w:r>
      <w:r>
        <w:t xml:space="preserve"> (Sal 139:4)</w:t>
      </w:r>
      <w:r>
        <w:br/>
      </w:r>
      <w:r>
        <w:rPr>
          <w:b/>
        </w:rPr>
        <w:t>leída en su fuente · Sal 139:4</w:t>
      </w:r>
      <w:r>
        <w:br/>
      </w:r>
      <w:r>
        <w:rPr>
          <w:b/>
        </w:rPr>
        <w:t>Archivo leído:</w:t>
      </w:r>
      <w:r>
        <w:t xml:space="preserve"> Ps.txt (biblia_rv1909\spaRV1909_texto_corrido.txt) · contraste del archivo de pasajes: ✔</w:t>
      </w:r>
      <w:r>
        <w:br/>
      </w:r>
      <w:r>
        <w:rPr>
          <w:b/>
        </w:rPr>
        <w:t>Lugar:</w:t>
      </w:r>
      <w:r>
        <w:t xml:space="preserve"> Sal 139:1</w:t>
      </w:r>
      <w:r>
        <w:br/>
      </w:r>
      <w:r>
        <w:rPr>
          <w:b/>
        </w:rPr>
        <w:t>Tal como está en la fuente:</w:t>
      </w:r>
      <w:r>
        <w:t xml:space="preserve"> Pues aun no está la palabra en mi lengua, [y] he aquí, oh Jehová, tú la sabes toda.</w:t>
      </w:r>
      <w:r>
        <w:t>. «Aun las tinieblas no encubren de ti, y la noche resplandece como el día: lo mismo [te son] las tinieblas que la luz»</w:t>
      </w:r>
      <w:r>
        <w:t xml:space="preserve"> (Sal 139:12)</w:t>
      </w:r>
      <w:r>
        <w:br/>
      </w:r>
      <w:r>
        <w:rPr>
          <w:b/>
        </w:rPr>
        <w:t>leída en su fuente · Sal 139:12</w:t>
      </w:r>
      <w:r>
        <w:br/>
      </w:r>
      <w:r>
        <w:rPr>
          <w:b/>
        </w:rPr>
        <w:t>Archivo leído:</w:t>
      </w:r>
      <w:r>
        <w:t xml:space="preserve"> Ps.txt (biblia_rv1909\spaRV1909_texto_corrido.txt) · contraste del archivo de pasajes: ✔</w:t>
      </w:r>
      <w:r>
        <w:br/>
      </w:r>
      <w:r>
        <w:rPr>
          <w:b/>
        </w:rPr>
        <w:t>Lugar:</w:t>
      </w:r>
      <w:r>
        <w:t xml:space="preserve"> Sal 139:1</w:t>
      </w:r>
      <w:r>
        <w:br/>
      </w:r>
      <w:r>
        <w:rPr>
          <w:b/>
        </w:rPr>
        <w:t>Tal como está en la fuente:</w:t>
      </w:r>
      <w:r>
        <w:t xml:space="preserve"> Aun las tinieblas no encubren de ti, y la noche resplandece como el día: lo mismo [te son] las tinieblas que la luz.</w:t>
      </w:r>
      <w:r>
        <w:t>. «Los ojos de Jehová están en todo lugar, mirando á los malos y á los buenos»</w:t>
      </w:r>
      <w:r>
        <w:t xml:space="preserve"> (Pr 15:3)</w:t>
      </w:r>
      <w:r>
        <w:br/>
      </w:r>
      <w:r>
        <w:rPr>
          <w:b/>
        </w:rPr>
        <w:t>leída en su fuente · Pr 15:3</w:t>
      </w:r>
      <w:r>
        <w:br/>
      </w:r>
      <w:r>
        <w:rPr>
          <w:b/>
        </w:rPr>
        <w:t>Archivo leído:</w:t>
      </w:r>
      <w:r>
        <w:t xml:space="preserve"> Job.txt (biblia_rv1909\spaRV1909_texto_corrido.txt) · contraste del archivo de pasajes: ✔</w:t>
      </w:r>
      <w:r>
        <w:br/>
      </w:r>
      <w:r>
        <w:rPr>
          <w:b/>
        </w:rPr>
        <w:t>Lugar:</w:t>
      </w:r>
      <w:r>
        <w:t xml:space="preserve"> Pr 15:3</w:t>
      </w:r>
      <w:r>
        <w:br/>
      </w:r>
      <w:r>
        <w:rPr>
          <w:b/>
        </w:rPr>
        <w:t>Tal como está en la fuente:</w:t>
      </w:r>
      <w:r>
        <w:t xml:space="preserve"> Los ojos de Jehová están en todo lugar, mirando á los malos y á los buenos.</w:t>
      </w:r>
      <w:r>
        <w:t>.</w:t>
      </w:r>
    </w:p>
    <w:p>
      <w:pPr>
        <w:pStyle w:val="ListBullet2"/>
      </w:pPr>
      <w:r>
        <w:rPr>
          <w:b/>
        </w:rPr>
        <w:t>El Nuevo Testamento:</w:t>
      </w:r>
      <w:r>
        <w:t xml:space="preserve"> «Y no hay cosa criada que no sea manifiesta en su presencia; antes todas las cosas están desnudas y abiertas á los ojos de aquel á quien tenemos que dar cuenta»</w:t>
      </w:r>
      <w:r>
        <w:t xml:space="preserve"> (Heb 4:13)</w:t>
      </w:r>
      <w:r>
        <w:br/>
      </w:r>
      <w:r>
        <w:rPr>
          <w:b/>
        </w:rPr>
        <w:t>leída en su fuente · Heb 4:13</w:t>
      </w:r>
      <w:r>
        <w:br/>
      </w:r>
      <w:r>
        <w:rPr>
          <w:b/>
        </w:rPr>
        <w:t>Archivo leído:</w:t>
      </w:r>
      <w:r>
        <w:t xml:space="preserve"> sblgnt_1Cor.txt (biblia_rv1909\spaRV1909_texto_corrido.txt) · contraste del archivo de pasajes: ✔</w:t>
      </w:r>
      <w:r>
        <w:br/>
      </w:r>
      <w:r>
        <w:rPr>
          <w:b/>
        </w:rPr>
        <w:t>Lugar:</w:t>
      </w:r>
      <w:r>
        <w:t xml:space="preserve"> Heb 4:13</w:t>
      </w:r>
      <w:r>
        <w:br/>
      </w:r>
      <w:r>
        <w:rPr>
          <w:b/>
        </w:rPr>
        <w:t>Tal como está en la fuente:</w:t>
      </w:r>
      <w:r>
        <w:t xml:space="preserve"> Y no hay cosa criada que no sea manifiesta en su presencia; antes todas las cosas están desnudas y abiertas á los ojos de aquel á quien tenemos que dar cuenta.</w:t>
      </w:r>
      <w:r>
        <w:t>.</w:t>
      </w:r>
    </w:p>
    <w:p>
      <w:pPr>
        <w:pStyle w:val="ListBullet2"/>
      </w:pPr>
      <w:r>
        <w:rPr>
          <w:b/>
        </w:rPr>
        <w:t>La tradición rabínica:</w:t>
      </w:r>
      <w:r>
        <w:t xml:space="preserve"> el ojo que ve y el libro donde se escriben las obras (Pirkei Avot 2:1), abajo.</w:t>
      </w:r>
    </w:p>
    <w:p>
      <w:pPr>
        <w:pStyle w:val="ListBullet2"/>
      </w:pPr>
      <w:r>
        <w:rPr>
          <w:b/>
        </w:rPr>
        <w:t>El islam:</w:t>
      </w:r>
      <w:r>
        <w:t xml:space="preserve"> «No cae ni una hoja sin que Él lo sepa»</w:t>
      </w:r>
      <w:r>
        <w:t xml:space="preserve"> (Corán 6:59, traducción de Julio Cortés)</w:t>
      </w:r>
      <w:r>
        <w:br/>
      </w:r>
      <w:r>
        <w:rPr>
          <w:b/>
        </w:rPr>
        <w:t>leída en su fuente · Corán 6:59, traducción de Julio Cortés</w:t>
      </w:r>
      <w:r>
        <w:br/>
      </w:r>
      <w:r>
        <w:rPr>
          <w:b/>
        </w:rPr>
        <w:t>Archivo leído:</w:t>
      </w:r>
      <w:r>
        <w:t xml:space="preserve"> coran_arabe_uthmani_alquran_cloud.json.txt (c4\coran_cortes_tanzil_completo.txt) · contraste del archivo de pasajes: ✔</w:t>
      </w:r>
      <w:r>
        <w:br/>
      </w:r>
      <w:r>
        <w:rPr>
          <w:b/>
        </w:rPr>
        <w:t>Lugar:</w:t>
      </w:r>
      <w:r>
        <w:t xml:space="preserve"> Corán 6:59 (Cortés)</w:t>
      </w:r>
      <w:r>
        <w:br/>
      </w:r>
      <w:r>
        <w:rPr>
          <w:b/>
        </w:rPr>
        <w:t>Tal como está en la fuente:</w:t>
      </w:r>
      <w:r>
        <w:t xml:space="preserve"> Él posee las llaves de lo oculto, sólo Él las conoce. Él sabe lo que hay en la tierra y en el mar. No cae ni una hoja sin que Él lo sepa, no hay grano en las tinieblas de la tierra, no hay nada verde, nada seco, que no esté en una Escritura clara.</w:t>
      </w:r>
      <w:r>
        <w:t>. «Sabemos lo que su mente le sugiere. Estamos más cerca de él que su misma vena yugular»</w:t>
      </w:r>
      <w:r>
        <w:t xml:space="preserve"> (Corán 50:16, traducción de Julio Cortés)</w:t>
      </w:r>
      <w:r>
        <w:br/>
      </w:r>
      <w:r>
        <w:rPr>
          <w:b/>
        </w:rPr>
        <w:t>leída en su fuente · Corán 50:16, traducción de Julio Cortés</w:t>
      </w:r>
      <w:r>
        <w:br/>
      </w:r>
      <w:r>
        <w:rPr>
          <w:b/>
        </w:rPr>
        <w:t>Archivo leído:</w:t>
      </w:r>
      <w:r>
        <w:t xml:space="preserve"> coran_arabe_uthmani_alquran_cloud.json.txt (c4\coran_cortes_tanzil_completo.txt) · contraste del archivo de pasajes: ✔</w:t>
      </w:r>
      <w:r>
        <w:br/>
      </w:r>
      <w:r>
        <w:rPr>
          <w:b/>
        </w:rPr>
        <w:t>Lugar:</w:t>
      </w:r>
      <w:r>
        <w:t xml:space="preserve"> Corán 6:59 (Cortés)</w:t>
      </w:r>
      <w:r>
        <w:br/>
      </w:r>
      <w:r>
        <w:rPr>
          <w:b/>
        </w:rPr>
        <w:t>Tal como está en la fuente:</w:t>
      </w:r>
      <w:r>
        <w:t xml:space="preserve"> Sí, hemos creado al hombre. Sabemos lo que su mente le sugiere. Estamos más cerca de él que su misma vena yugular.</w:t>
      </w:r>
      <w:r>
        <w:t>.</w:t>
      </w:r>
    </w:p>
    <w:p>
      <w:pPr>
        <w:pStyle w:val="ListBullet2"/>
      </w:pPr>
      <w:r>
        <w:rPr>
          <w:b/>
        </w:rPr>
        <w:t>Persia:</w:t>
      </w:r>
      <w:r>
        <w:t xml:space="preserve"> «lo que sea abierto o secreto y se castigue, o si alguien pide el mayor castigo por un pecado pequeño: de todo eso, por Asha, Tú estás enterado, observándolo con tu ojo centelleante»</w:t>
      </w:r>
      <w:r>
        <w:t xml:space="preserve"> [original: «Whatever open or whatever secret (acts) may be visited with punishment, or whether a person for a little sin demands the highest punishment, — of all this through Asha Thou art aware, observing it with Thy flashing eye», en la traducción inglesa de avesta.org]</w:t>
      </w:r>
      <w:r>
        <w:t xml:space="preserve"> (Yasna 31:13)</w:t>
      </w:r>
      <w:r>
        <w:br/>
      </w:r>
      <w:r>
        <w:rPr>
          <w:b/>
        </w:rPr>
        <w:t>leída en su fuente · Yasna 31:13</w:t>
      </w:r>
      <w:r>
        <w:br/>
      </w:r>
      <w:r>
        <w:rPr>
          <w:b/>
        </w:rPr>
        <w:t>Archivo leído:</w:t>
      </w:r>
      <w:r>
        <w:t xml:space="preserve"> avesta_org_mihr_yasht_SBE.htm (c4\yasna_ingles_avesta_org.html) · contraste del archivo de pasajes: ✔</w:t>
      </w:r>
      <w:r>
        <w:br/>
      </w:r>
      <w:r>
        <w:rPr>
          <w:b/>
        </w:rPr>
        <w:t>Lugar:</w:t>
      </w:r>
      <w:r>
        <w:t xml:space="preserve"> Yasna 31:13 (avesta.org)</w:t>
      </w:r>
      <w:r>
        <w:br/>
      </w:r>
      <w:r>
        <w:rPr>
          <w:b/>
        </w:rPr>
        <w:t>Tal como está en la fuente:</w:t>
      </w:r>
      <w:r>
        <w:t xml:space="preserve"> 13. Whatever open or whatever secret (acts) may be visited with punishment, or whether a person for a little sin demands the highest punishment, — of all this through Asha Thou art aware, observing it with Thy flashing eye.</w:t>
      </w:r>
      <w:r>
        <w:br/>
      </w:r>
      <w:r>
        <w:rPr>
          <w:b/>
        </w:rPr>
        <w:t>Traducción guardada:</w:t>
      </w:r>
      <w:r>
        <w:t xml:space="preserve"> lo que sea abierto o secreto y se castigue, o si alguien pide el mayor castigo por un pecado pequeño: de todo eso, por Asha, Tú estás enterado, observándolo con tu ojo centelleante</w:t>
      </w:r>
      <w:r>
        <w:t>. «a Mithra, señor de los anchos pastos, que tiene mil oídos y diez mil ojos»</w:t>
      </w:r>
      <w:r>
        <w:t xml:space="preserve"> [original: «Unto Mithra, the lord of wide pastures, who has a thousand ears, ten thousand eyes», en la traducción inglesa de Darmesteter]</w:t>
      </w:r>
      <w:r>
        <w:t xml:space="preserve"> (Mihr Yasht (Yasht 10), 1)</w:t>
      </w:r>
      <w:r>
        <w:br/>
      </w:r>
      <w:r>
        <w:rPr>
          <w:b/>
        </w:rPr>
        <w:t>leída en su fuente · Mihr Yasht (Yasht 10), 1</w:t>
      </w:r>
      <w:r>
        <w:br/>
      </w:r>
      <w:r>
        <w:rPr>
          <w:b/>
        </w:rPr>
        <w:t>Archivo leído:</w:t>
      </w:r>
      <w:r>
        <w:t xml:space="preserve"> avesta_org_mihr_yasht_SBE.htm (reparacion_citas\avesta_org_mihr_yasht_SBE.htm) · contraste del archivo de pasajes: ✔</w:t>
      </w:r>
      <w:r>
        <w:br/>
      </w:r>
      <w:r>
        <w:rPr>
          <w:b/>
        </w:rPr>
        <w:t>Lugar:</w:t>
      </w:r>
      <w:r>
        <w:t xml:space="preserve"> Yasna 31:13 (avesta.org)</w:t>
      </w:r>
      <w:r>
        <w:br/>
      </w:r>
      <w:r>
        <w:rPr>
          <w:b/>
        </w:rPr>
        <w:t>Tal como está en la fuente:</w:t>
      </w:r>
      <w:r>
        <w:t xml:space="preserve"> Unto Mithra, the lord of wide pastures, who has a thousand ears, ten thousand eyes,</w:t>
      </w:r>
      <w:r>
        <w:br/>
      </w:r>
      <w:r>
        <w:rPr>
          <w:b/>
        </w:rPr>
        <w:t>Traducción guardada:</w:t>
      </w:r>
      <w:r>
        <w:t xml:space="preserve"> a Mithra, señor de los anchos pastos, que tiene mil oídos y diez mil ojos</w:t>
      </w:r>
      <w:r>
        <w:t>.</w:t>
      </w:r>
    </w:p>
    <w:p>
      <w:pPr>
        <w:pStyle w:val="ListBullet2"/>
      </w:pPr>
      <w:r>
        <w:rPr>
          <w:b/>
        </w:rPr>
        <w:t>La India</w:t>
      </w:r>
      <w:r>
        <w:t xml:space="preserve"> (Griffith, en OCR de archive.org: el inglés va tal cual, con sus erratas; los dos versos del Atharva Veda empiezan donde el OCR deja de traer signos sueltos): «el hombre que cree que obra a escondidas: todo esto lo perciben y lo saben los dioses. Si un hombre está de pie, o anda, o se mueve en secreto, si va a acostarse o se levanta, lo que dos hombres cuchichean sentados juntos, el rey Varuna lo sabe: él está presente como tercero»</w:t>
      </w:r>
      <w:r>
        <w:t xml:space="preserve"> [original: «The man who thinks he acts by stealth : all this the ^ Gods perceive and know. • 2 If a mao stands or walks or moves in secret, goes to his lying-down or his uprising. What two men whisper as they sit together. King Varuua knows : he as the third is present», en la traducción inglesa de Griffith, OCR]</w:t>
      </w:r>
      <w:r>
        <w:t xml:space="preserve"> (Atharva Veda 4.16, 1-2)</w:t>
      </w:r>
      <w:r>
        <w:br/>
      </w:r>
      <w:r>
        <w:rPr>
          <w:b/>
        </w:rPr>
        <w:t>leída en su fuente · Atharva Veda 4.16, 1-2</w:t>
      </w:r>
      <w:r>
        <w:br/>
      </w:r>
      <w:r>
        <w:rPr>
          <w:b/>
        </w:rPr>
        <w:t>Archivo leído:</w:t>
      </w:r>
      <w:r>
        <w:t xml:space="preserve"> r_archive_in.ernet.dli.2015.30913_djvu.txt (el_registro_de_todo_12oct\originales\r_archive_in.ernet.dli.2015.30913_djvu.txt) · contraste del archivo de pasajes: ✔</w:t>
      </w:r>
      <w:r>
        <w:br/>
      </w:r>
      <w:r>
        <w:rPr>
          <w:b/>
        </w:rPr>
        <w:t>Lugar:</w:t>
      </w:r>
      <w:r>
        <w:t xml:space="preserve"> Gita 13.22 (sánscrito, GRETIL)</w:t>
      </w:r>
      <w:r>
        <w:br/>
      </w:r>
      <w:r>
        <w:rPr>
          <w:b/>
        </w:rPr>
        <w:t>Tal como está en la fuente:</w:t>
      </w:r>
      <w:r>
        <w:t xml:space="preserve"> The mighty Ruler of these worlds beholds as though from close af*band • The man who thinks he acts by stealth : all this the ^ Gods perceive and know. • 2 If a mao stands or walks or moves in secret, goes to his lying-down or his uprising. What two men whisper as they sit together. King Varuua knows : he as the third is present.</w:t>
      </w:r>
      <w:r>
        <w:br/>
      </w:r>
      <w:r>
        <w:rPr>
          <w:b/>
        </w:rPr>
        <w:t>Traducción guardada:</w:t>
      </w:r>
      <w:r>
        <w:t xml:space="preserve"> el gran Soberano de estos mundos mira como si estuviera muy cerca; el hombre que cree que obra a escondidas: todo esto lo perciben y lo saben los dioses. Si un hombre está de pie, o anda, o se mueve en secreto, si va a acostarse o se levanta, lo que dos hombres cuchichean sentados juntos, el rey Varuna lo sabe: él está presente como tercero</w:t>
      </w:r>
      <w:r>
        <w:t>. Y aunque uno huyera más allá del cielo: «el rey Varuna seguiría a su alrededor. Viniendo hacia aquí desde el cielo, sus enviados miran, con mil ojos, la tierra que tienen debajo. Todo esto lo contempla el rey Varuna, todo lo que hay entre el cielo y la tierra y todo lo que hay más allá. Ha contado los parpadeos de los ojos de los hombres. Como el que juega y tira los dados, él lo dispone todo»</w:t>
      </w:r>
      <w:r>
        <w:t xml:space="preserve"> [original: «King Varuna would still be round about him. Proceeding hither from the sky his envoys lookj thousand-eyed, over the earth beneath them. 5 All this^ the royal Varuna beholdeth, all between heaven and earth and all beyond them. The twinklings of men’s eyelids hath he counted. As one who plays throws dice he settles all things», en la traducción inglesa de Griffith, OCR]</w:t>
      </w:r>
      <w:r>
        <w:t xml:space="preserve"> (Atharva Veda 4.16, 4-5)</w:t>
      </w:r>
      <w:r>
        <w:br/>
      </w:r>
      <w:r>
        <w:rPr>
          <w:b/>
        </w:rPr>
        <w:t>leída en su fuente · Atharva Veda 4.16, 4-5</w:t>
      </w:r>
      <w:r>
        <w:br/>
      </w:r>
      <w:r>
        <w:rPr>
          <w:b/>
        </w:rPr>
        <w:t>Archivo leído:</w:t>
      </w:r>
      <w:r>
        <w:t xml:space="preserve"> r_archive_in.ernet.dli.2015.30913_djvu.txt (el_registro_de_todo_12oct\originales\r_archive_in.ernet.dli.2015.30913_djvu.txt) · contraste del archivo de pasajes: ✔</w:t>
      </w:r>
      <w:r>
        <w:br/>
      </w:r>
      <w:r>
        <w:rPr>
          <w:b/>
        </w:rPr>
        <w:t>Lugar:</w:t>
      </w:r>
      <w:r>
        <w:t xml:space="preserve"> Gita 13.22 (sánscrito, GRETIL)</w:t>
      </w:r>
      <w:r>
        <w:br/>
      </w:r>
      <w:r>
        <w:rPr>
          <w:b/>
        </w:rPr>
        <w:t>Tal como está en la fuente:</w:t>
      </w:r>
      <w:r>
        <w:t xml:space="preserve"> If oi}Q should flee afar beyond the heaven^ King Varuna would still be round about him. Proceeding hither from the sky his envoys lookj thousand-eyed, over the earth beneath them. 5 All this^ the royal Varuna beholdeth, all between heaven and earth and all beyond them. The twinklings of men’s eyelids hath he counted. As one who plays throws dice he settles all things,</w:t>
      </w:r>
      <w:r>
        <w:t>. «los espías de Varuna, enviados a su tarea, recorren con la vista las dos mitades del mundo, bien formadas y bien hechas; son sabios, santos, diestros en los sacrificios, los que hacen avanzar los cantos de alabanza de los prudentes»</w:t>
      </w:r>
      <w:r>
        <w:t xml:space="preserve"> [original: «Varuna’s spies, sent forth upon their errand, survey the two world-halves well formed and fashioned. Wise are they, holy, skilled in sacrifices, the furtherers of the praise-songs of the prudent», en la traducción inglesa de Griffith, OCR]</w:t>
      </w:r>
      <w:r>
        <w:t xml:space="preserve"> (Rig Veda 7.87.3)</w:t>
      </w:r>
      <w:r>
        <w:br/>
      </w:r>
      <w:r>
        <w:rPr>
          <w:b/>
        </w:rPr>
        <w:t>leída en su fuente · Rig Veda 7.87.3</w:t>
      </w:r>
      <w:r>
        <w:br/>
      </w:r>
      <w:r>
        <w:rPr>
          <w:b/>
        </w:rPr>
        <w:t>Archivo leído:</w:t>
      </w:r>
      <w:r>
        <w:t xml:space="preserve"> r_archive_in.ernet.dli.2015.30913_djvu.txt (el_registro_de_todo_12oct\originales\r_archive_in.ernet.dli.2015.47262_djvu.txt) · contraste del archivo de pasajes: ✔</w:t>
      </w:r>
      <w:r>
        <w:br/>
      </w:r>
      <w:r>
        <w:rPr>
          <w:b/>
        </w:rPr>
        <w:t>Lugar:</w:t>
      </w:r>
      <w:r>
        <w:t xml:space="preserve"> Gita 13.22 (sánscrito, GRETIL)</w:t>
      </w:r>
      <w:r>
        <w:br/>
      </w:r>
      <w:r>
        <w:rPr>
          <w:b/>
        </w:rPr>
        <w:t>Tal como está en la fuente:</w:t>
      </w:r>
      <w:r>
        <w:t xml:space="preserve"> Varuna’s spies, sent forth upon their errand, survey the two world-halves well formed and fashioned. Wise are they, holy, skilled in sacrifices, the furtherers of the praise-songs of the prudent.</w:t>
      </w:r>
      <w:r>
        <w:br/>
      </w:r>
      <w:r>
        <w:rPr>
          <w:b/>
        </w:rPr>
        <w:t>Traducción guardada:</w:t>
      </w:r>
      <w:r>
        <w:t xml:space="preserve"> los espías de Varuna, enviados a su tarea, recorren con la vista las dos mitades del mundo, bien formadas y bien hechas; son sabios, santos, diestros en los sacrificios, los que hacen avanzar los cantos de alabanza de los prudentes</w:t>
      </w:r>
      <w:r>
        <w:t>.</w:t>
      </w:r>
    </w:p>
    <w:p>
      <w:pPr>
        <w:pStyle w:val="ListBullet2"/>
      </w:pPr>
      <w:r>
        <w:rPr>
          <w:b/>
        </w:rPr>
        <w:t>China:</w:t>
      </w:r>
      <w:r>
        <w:t xml:space="preserve"> «el Cielo ve como ve mi pueblo; el Cielo oye como oye mi pueblo»</w:t>
      </w:r>
      <w:r>
        <w:t xml:space="preserve"> [original: «Heaven sees as my people see; Heaven hears as my people hear», en la traducción inglesa de Legge]</w:t>
      </w:r>
      <w:r>
        <w:t xml:space="preserve"> (Shujing, la Gran Declaración, parte 2)</w:t>
      </w:r>
      <w:r>
        <w:br/>
      </w:r>
      <w:r>
        <w:rPr>
          <w:b/>
        </w:rPr>
        <w:t>leída en su fuente · Mencio 5A5</w:t>
      </w:r>
      <w:r>
        <w:br/>
      </w:r>
      <w:r>
        <w:rPr>
          <w:b/>
        </w:rPr>
        <w:t>Archivo leído:</w:t>
      </w:r>
      <w:r>
        <w:t xml:space="preserve"> 8.3_24_Legge_1895_Chinese_Classics_vol2_Mencius_OCR_archive.txt (cierre_B3_B4_9oct\mencio_legge_wikisource\chapter09.txt; c8a\8.3_24_Legge_1895_Chinese_Classics_vol2_Mencius_OCR_archive.txt) · contraste del archivo de pasajes: ✔</w:t>
      </w:r>
      <w:r>
        <w:br/>
      </w:r>
      <w:r>
        <w:rPr>
          <w:b/>
        </w:rPr>
        <w:t>Lugar:</w:t>
      </w:r>
      <w:r>
        <w:t xml:space="preserve"> Mencio 5A5</w:t>
      </w:r>
      <w:r>
        <w:br/>
      </w:r>
      <w:r>
        <w:rPr>
          <w:b/>
        </w:rPr>
        <w:t>Tal como está en la fuente:</w:t>
      </w:r>
      <w:r>
        <w:t xml:space="preserve"> Heaven sees according as my people see; Heaven hears according as my people hear</w:t>
      </w:r>
      <w:r>
        <w:t>. Y esa frase ya la cita Mencio: «Este sentir lo expresan las palabras de la Gran Declaración: “El Cielo ve según ve mi pueblo; el Cielo oye según oye mi pueblo”»</w:t>
      </w:r>
      <w:r>
        <w:t xml:space="preserve"> [original: «《太誓》曰：『天視自我民視，天聽自我民聽』»; en la traducción inglesa de Legge: «This sentiment is expressed in the words of The Great Declaration: "Heaven sees according as my people see; Heaven hears according as my people hear."»]</w:t>
      </w:r>
      <w:r>
        <w:t xml:space="preserve"> (Mencio 5A5)</w:t>
      </w:r>
      <w:r>
        <w:br/>
      </w:r>
      <w:r>
        <w:rPr>
          <w:b/>
        </w:rPr>
        <w:t>leída en su fuente · Mencio 5A5</w:t>
      </w:r>
      <w:r>
        <w:br/>
      </w:r>
      <w:r>
        <w:rPr>
          <w:b/>
        </w:rPr>
        <w:t>Original donde está:</w:t>
      </w:r>
      <w:r>
        <w:t xml:space="preserve"> chapter09.txt</w:t>
      </w:r>
      <w:r>
        <w:br/>
      </w:r>
      <w:r>
        <w:t>El pasaje literal no está en el archivo de pasajes con este comienzo; la auditoría lo halló en ese original.</w:t>
      </w:r>
      <w:r>
        <w:t>. «las mallas de la red del Cielo son grandes, muy separadas, pero no dejan escapar nada»</w:t>
      </w:r>
      <w:r>
        <w:t xml:space="preserve"> [original: «The meshes of the net of Heaven are large; far apart, but letting nothing escape», en la traducción inglesa de Legge]</w:t>
      </w:r>
      <w:r>
        <w:t xml:space="preserve"> (Daodejing 73)</w:t>
      </w:r>
      <w:r>
        <w:br/>
      </w:r>
      <w:r>
        <w:rPr>
          <w:b/>
        </w:rPr>
        <w:t>leída en su fuente · Daodejing 73</w:t>
      </w:r>
      <w:r>
        <w:br/>
      </w:r>
      <w:r>
        <w:rPr>
          <w:b/>
        </w:rPr>
        <w:t>Archivo leído:</w:t>
      </w:r>
      <w:r>
        <w:t xml:space="preserve"> sbe39080.htm (reglas_del_juego_12oct\taoismo_legge_sacredtexts\sbe39080.htm) · contraste del archivo de pasajes: ✔</w:t>
      </w:r>
      <w:r>
        <w:br/>
      </w:r>
      <w:r>
        <w:rPr>
          <w:b/>
        </w:rPr>
        <w:t>Lugar:</w:t>
      </w:r>
      <w:r>
        <w:t xml:space="preserve"> Gran Declaración, parte 2 (Legge)</w:t>
      </w:r>
      <w:r>
        <w:br/>
      </w:r>
      <w:r>
        <w:rPr>
          <w:b/>
        </w:rPr>
        <w:t>Tal como está en la fuente:</w:t>
      </w:r>
      <w:r>
        <w:t xml:space="preserve"> The meshes of the net of Heaven are large; far apart, but letting nothing escape.</w:t>
      </w:r>
      <w:r>
        <w:br/>
      </w:r>
      <w:r>
        <w:rPr>
          <w:b/>
        </w:rPr>
        <w:t>Traducción guardada:</w:t>
      </w:r>
      <w:r>
        <w:t xml:space="preserve"> las mallas de la red del Cielo son grandes, muy separadas, pero no dejan escapar nada</w:t>
      </w:r>
      <w:r>
        <w:t>.</w:t>
      </w:r>
    </w:p>
    <w:p>
      <w:pPr>
        <w:pStyle w:val="ListBullet2"/>
      </w:pPr>
      <w:r>
        <w:rPr>
          <w:b/>
        </w:rPr>
        <w:t>Egipto</w:t>
      </w:r>
      <w:r>
        <w:t>, el mono de Thot: «su ojo recorre las Dos Tierras [el Alto y el Bajo Egipto]; como observa al hombre que tropieza con el dedo [o se equivoca]…»</w:t>
      </w:r>
      <w:r>
        <w:t xml:space="preserve"> [original: «324. His eye travels round about through the Two Lands (i.e., Upper and Lower Egypt). 325. Since he observes the man who makes a slip (or, mistake) with his finger», en la traducción inglesa de Budge, 1924, OCR]</w:t>
      </w:r>
      <w:r>
        <w:t xml:space="preserve"> (Enseñanza de Amenemope, 324-325)</w:t>
      </w:r>
      <w:r>
        <w:br/>
      </w:r>
      <w:r>
        <w:rPr>
          <w:b/>
        </w:rPr>
        <w:t>leída en su fuente · Enseñanza de Amenemope, 324-325</w:t>
      </w:r>
      <w:r>
        <w:br/>
      </w:r>
      <w:r>
        <w:rPr>
          <w:b/>
        </w:rPr>
        <w:t>Archivo leído:</w:t>
      </w:r>
      <w:r>
        <w:t xml:space="preserve"> budge_1924_teaching_of_amen_em_apt_archive.txt (reglas_del_juego_12oct\originales\budge_1924_teaching_of_amen_em_apt_archive.txt) · contraste del archivo de pasajes: ✔</w:t>
      </w:r>
      <w:r>
        <w:br/>
      </w:r>
      <w:r>
        <w:rPr>
          <w:b/>
        </w:rPr>
        <w:t>Lugar:</w:t>
      </w:r>
      <w:r>
        <w:t xml:space="preserve"> Amenemope, 324 y 325 (Budge 1924)</w:t>
      </w:r>
      <w:r>
        <w:br/>
      </w:r>
      <w:r>
        <w:rPr>
          <w:b/>
        </w:rPr>
        <w:t>Tal como está en la fuente:</w:t>
      </w:r>
      <w:r>
        <w:t xml:space="preserve"> 324. His eye travels round about through the Two Lands (i.e., Upper and Lower Egypt). 325. Since he observes the man who makes a slip (or, mistake) with his finger,</w:t>
      </w:r>
      <w:r>
        <w:br/>
      </w:r>
      <w:r>
        <w:rPr>
          <w:b/>
        </w:rPr>
        <w:t>Traducción guardada:</w:t>
      </w:r>
      <w:r>
        <w:t xml:space="preserve"> su ojo recorre las Dos Tierras [el Alto y el Bajo Egipto]; como observa al hombre que tropieza con el dedo [o se equivoca]…</w:t>
      </w:r>
      <w:r>
        <w:t>.</w:t>
      </w:r>
    </w:p>
    <w:p>
      <w:pPr>
        <w:pStyle w:val="ListBullet2"/>
      </w:pPr>
      <w:r>
        <w:rPr>
          <w:b/>
        </w:rPr>
        <w:t>Grecia:</w:t>
      </w:r>
      <w:r>
        <w:t xml:space="preserve"> «el ojo de Zeus, que todo lo ve y todo lo entiende, también mira esto, si quiere, y no deja de notar qué clase de justicia guarda la ciudad»</w:t>
      </w:r>
      <w:r>
        <w:t xml:space="preserve"> [original: «The eye of Zeus, seeing all and understanding all, beholds these things too, if so he will, and fails not to mark what sort of justice is this that the city keeps within it», en la traducción inglesa de Evelyn-White]</w:t>
      </w:r>
      <w:r>
        <w:t xml:space="preserve"> (Hesíodo, Trabajos y días 267-273)</w:t>
      </w:r>
      <w:r>
        <w:br/>
      </w:r>
      <w:r>
        <w:rPr>
          <w:b/>
        </w:rPr>
        <w:t>leída en su fuente · Hesíodo, Trabajos y días 267-273</w:t>
      </w:r>
      <w:r>
        <w:br/>
      </w:r>
      <w:r>
        <w:rPr>
          <w:b/>
        </w:rPr>
        <w:t>Archivo leído:</w:t>
      </w:r>
      <w:r>
        <w:t xml:space="preserve"> platon_leyes_jowett_mit.txt (ant\hes.txt) · contraste del archivo de pasajes: ✔</w:t>
      </w:r>
      <w:r>
        <w:br/>
      </w:r>
      <w:r>
        <w:rPr>
          <w:b/>
        </w:rPr>
        <w:t>Lugar:</w:t>
      </w:r>
      <w:r>
        <w:t xml:space="preserve"> Trabajos y días 267-273 (Evelyn-White)</w:t>
      </w:r>
      <w:r>
        <w:br/>
      </w:r>
      <w:r>
        <w:rPr>
          <w:b/>
        </w:rPr>
        <w:t>Tal como está en la fuente:</w:t>
      </w:r>
      <w:r>
        <w:t xml:space="preserve"> The eye of Zeus, seeing all and understanding all, beholds these things too, if so he will, and fails not to mark what sort of justice is this that the city keeps within it.</w:t>
      </w:r>
      <w:r>
        <w:br/>
      </w:r>
      <w:r>
        <w:rPr>
          <w:b/>
        </w:rPr>
        <w:t>Traducción guardada:</w:t>
      </w:r>
      <w:r>
        <w:t xml:space="preserve"> el ojo de Zeus, que todo lo ve y todo lo entiende, también mira esto, si quiere, y no deja de notar qué clase de justicia guarda la ciudad</w:t>
      </w:r>
      <w:r>
        <w:t>. «los dos admitís que los dioses oyen, ven y saben todas las cosas, y que nada se les puede escapar»</w:t>
      </w:r>
      <w:r>
        <w:t xml:space="preserve"> [original: «you both acknowledge that the Gods hear and see and know all things, and that nothing can escape them», en la traducción inglesa de Jowett]</w:t>
      </w:r>
      <w:r>
        <w:t xml:space="preserve"> (Platón, Leyes X)</w:t>
      </w:r>
      <w:r>
        <w:br/>
      </w:r>
      <w:r>
        <w:rPr>
          <w:b/>
        </w:rPr>
        <w:t>leída en su fuente · Platón, Leyes X</w:t>
      </w:r>
      <w:r>
        <w:br/>
      </w:r>
      <w:r>
        <w:rPr>
          <w:b/>
        </w:rPr>
        <w:t>Archivo leído:</w:t>
      </w:r>
      <w:r>
        <w:t xml:space="preserve"> platon_leyes_jowett_mit.txt (reglas_del_juego_12oct\e08_grecia\platon_leyes_jowett_mit.txt) · contraste del archivo de pasajes: ✔</w:t>
      </w:r>
      <w:r>
        <w:br/>
      </w:r>
      <w:r>
        <w:rPr>
          <w:b/>
        </w:rPr>
        <w:t>Lugar:</w:t>
      </w:r>
      <w:r>
        <w:t xml:space="preserve"> Trabajos y días 267-273 (Evelyn-White)</w:t>
      </w:r>
      <w:r>
        <w:br/>
      </w:r>
      <w:r>
        <w:rPr>
          <w:b/>
        </w:rPr>
        <w:t>Tal como está en la fuente:</w:t>
      </w:r>
      <w:r>
        <w:t xml:space="preserve"> you both acknowledge that the Gods hear and see and know all things, and that nothing can escape them</w:t>
      </w:r>
      <w:r>
        <w:br/>
      </w:r>
      <w:r>
        <w:rPr>
          <w:b/>
        </w:rPr>
        <w:t>Traducción guardada:</w:t>
      </w:r>
      <w:r>
        <w:t xml:space="preserve"> los dos admitís que los dioses oyen, ven y saben todas las cosas, y que nada se les puede escapar</w:t>
      </w:r>
      <w:r>
        <w:t>.</w:t>
      </w:r>
    </w:p>
    <w:p>
      <w:pPr>
        <w:pStyle w:val="ListBullet2"/>
      </w:pPr>
      <w:r>
        <w:rPr>
          <w:b/>
        </w:rPr>
        <w:t>América</w:t>
      </w:r>
      <w:r>
        <w:t>, al revés: los primeros hombres lo veían todo, y los dioses se preguntan: «¿por ventura hemos de igualar- nos todos que sabemos todo cuanto hay, y lo vemos todo ?»</w:t>
      </w:r>
      <w:r>
        <w:t xml:space="preserve"> (Popol Vuh, castellano de Ximénez, edición de Scherzer, 1857, OCR)</w:t>
      </w:r>
      <w:r>
        <w:br/>
      </w:r>
      <w:r>
        <w:rPr>
          <w:b/>
        </w:rPr>
        <w:t>leída en su fuente · Popol Vuh, castellano de Ximénez, edición de Scherzer, 1857, OCR</w:t>
      </w:r>
      <w:r>
        <w:br/>
      </w:r>
      <w:r>
        <w:rPr>
          <w:b/>
        </w:rPr>
        <w:t>Archivo leído:</w:t>
      </w:r>
      <w:r>
        <w:t xml:space="preserve"> ximenez_1857_scherzer_historias_origen_indios_guatemala_archive.txt (reglas_del_juego_12oct\originales\ximenez_1857_scherzer_historias_origen_indios_guatemala_archive.txt) · contraste del archivo de pasajes: ✔</w:t>
      </w:r>
      <w:r>
        <w:br/>
      </w:r>
      <w:r>
        <w:rPr>
          <w:b/>
        </w:rPr>
        <w:t>Lugar:</w:t>
      </w:r>
      <w:r>
        <w:t xml:space="preserve"> Popol Vuh (Ximénez, 1857)</w:t>
      </w:r>
      <w:r>
        <w:br/>
      </w:r>
      <w:r>
        <w:rPr>
          <w:b/>
        </w:rPr>
        <w:t>Tal como está en la fuente:</w:t>
      </w:r>
      <w:r>
        <w:t xml:space="preserve"> ¿por ventura hemos de igualar- nos todos que sabemos todo cuanto hay, y lo vemos todo ?</w:t>
      </w:r>
      <w:r>
        <w:t>. Y les empañan los ojos para que solo vean lo cercano (la imagen del espejo, arriba, en el 12).</w:t>
      </w:r>
    </w:p>
    <w:p>
      <w:pPr>
        <w:pStyle w:val="ListBullet2"/>
      </w:pPr>
      <w:r>
        <w:rPr>
          <w:b/>
        </w:rPr>
        <w:t>El norte, en parte:</w:t>
      </w:r>
      <w:r>
        <w:t xml:space="preserve"> «sobre Midgard, Hugin y Munin salen a volar cada día»</w:t>
      </w:r>
      <w:r>
        <w:t xml:space="preserve"> [original: «O'er Mithgarth Hugin and Munin both Each day set forth to fly», en la traducción inglesa de Bellows, OCR]</w:t>
      </w:r>
      <w:r>
        <w:t xml:space="preserve"> (Grímnismál 20)</w:t>
      </w:r>
      <w:r>
        <w:br/>
      </w:r>
      <w:r>
        <w:rPr>
          <w:b/>
        </w:rPr>
        <w:t>leída en su fuente · Grímnismál 20</w:t>
      </w:r>
      <w:r>
        <w:br/>
      </w:r>
      <w:r>
        <w:rPr>
          <w:b/>
        </w:rPr>
        <w:t>Archivo leído:</w:t>
      </w:r>
      <w:r>
        <w:t xml:space="preserve"> 05.00_Ragnarok_Brodeur_1916_Prose_Edda_djvu.txt (flecos2\05.00_Ragnarok_Bellows_1923_Poetic_Edda_archive.pdf) · contraste del archivo de pasajes: ✔</w:t>
      </w:r>
      <w:r>
        <w:br/>
      </w:r>
      <w:r>
        <w:rPr>
          <w:b/>
        </w:rPr>
        <w:t>Lugar:</w:t>
      </w:r>
      <w:r>
        <w:t xml:space="preserve"> Grímnismál 20 (Bellows)</w:t>
      </w:r>
      <w:r>
        <w:br/>
      </w:r>
      <w:r>
        <w:rPr>
          <w:b/>
        </w:rPr>
        <w:t>Tal como está en la fuente:</w:t>
      </w:r>
      <w:r>
        <w:t xml:space="preserve"> 20. O'er Mithgarth Hugin and Munin both Each day set forth to fly ;</w:t>
      </w:r>
      <w:r>
        <w:br/>
      </w:r>
      <w:r>
        <w:rPr>
          <w:b/>
        </w:rPr>
        <w:t>Traducción guardada:</w:t>
      </w:r>
      <w:r>
        <w:t xml:space="preserve"> sobre Midgard, Hugin y Munin salen a volar cada día</w:t>
      </w:r>
      <w:r>
        <w:t>. Para qué vuelan no lo dice el poema, sino la nota de Bellows.</w:t>
      </w:r>
    </w:p>
    <w:p>
      <w:pPr>
        <w:pStyle w:val="ListBullet2"/>
      </w:pPr>
      <w:r>
        <w:rPr>
          <w:b/>
        </w:rPr>
        <w:t>Mesopotamia:</w:t>
      </w:r>
      <w:r>
        <w:t xml:space="preserve"> en lo leído (Gilgamesh, tablilla XI, en la traducción de Thompson; el Enuma Elish, en la de King) no se halló. </w:t>
      </w:r>
      <w:r>
        <w:rPr>
          <w:b/>
        </w:rPr>
        <w:t>El budismo:</w:t>
      </w:r>
      <w:r>
        <w:t xml:space="preserve"> nadie mira; la consecuencia sigue a la obra (abajo).</w:t>
      </w:r>
    </w:p>
    <w:p>
      <w:pPr>
        <w:pStyle w:val="ListBullet"/>
      </w:pPr>
      <w:r>
        <w:rPr>
          <w:b/>
        </w:rPr>
        <w:t>Queda escrito.</w:t>
      </w:r>
      <w:r>
        <w:t xml:space="preserve"> </w:t>
      </w:r>
    </w:p>
    <w:p>
      <w:pPr>
        <w:pStyle w:val="ListBullet2"/>
      </w:pPr>
      <w:r>
        <w:rPr>
          <w:b/>
        </w:rPr>
        <w:t>Israel</w:t>
      </w:r>
      <w:r>
        <w:t xml:space="preserve"> (Reina-Valera Antigua): «Entonces los que temen á Jehová hablaron cada uno á su compañero; y Jehová escuchó y oyó, y fué escrito libro de memoria delante de él para los que temen á Jehová, y para los que piensan en su nombre»</w:t>
      </w:r>
      <w:r>
        <w:t xml:space="preserve"> (Mal 3:16)</w:t>
      </w:r>
      <w:r>
        <w:br/>
      </w:r>
      <w:r>
        <w:rPr>
          <w:b/>
        </w:rPr>
        <w:t>leída en su fuente · Mal 3:16</w:t>
      </w:r>
      <w:r>
        <w:br/>
      </w:r>
      <w:r>
        <w:rPr>
          <w:b/>
        </w:rPr>
        <w:t>Archivo leído:</w:t>
      </w:r>
      <w:r>
        <w:t xml:space="preserve"> Mal.txt (biblia_rv1909\spaRV1909_texto_corrido.txt) · contraste del archivo de pasajes: ✔</w:t>
      </w:r>
      <w:r>
        <w:br/>
      </w:r>
      <w:r>
        <w:rPr>
          <w:b/>
        </w:rPr>
        <w:t>Lugar:</w:t>
      </w:r>
      <w:r>
        <w:t xml:space="preserve"> Ex 32:32</w:t>
      </w:r>
      <w:r>
        <w:br/>
      </w:r>
      <w:r>
        <w:rPr>
          <w:b/>
        </w:rPr>
        <w:t>Tal como está en la fuente:</w:t>
      </w:r>
      <w:r>
        <w:t xml:space="preserve"> Entonces los que temen á Jehová hablaron cada uno á su compañero; y Jehová escuchó y oyó, y fué escrito libro de memoria delante de él para los que temen á Jehová, y para los que piensan en su nombre.</w:t>
      </w:r>
      <w:r>
        <w:t>. «Un río de fuego procedía y salía de delante de él: millares de millares le servían, y millones de millones asistían delante de él: el Juez se sentó, y los libros se abrieron»</w:t>
      </w:r>
      <w:r>
        <w:t xml:space="preserve"> (Dn 7:10)</w:t>
      </w:r>
      <w:r>
        <w:br/>
      </w:r>
      <w:r>
        <w:rPr>
          <w:b/>
        </w:rPr>
        <w:t>leída en su fuente · Dn 7:10</w:t>
      </w:r>
      <w:r>
        <w:br/>
      </w:r>
      <w:r>
        <w:rPr>
          <w:b/>
        </w:rPr>
        <w:t>Archivo leído:</w:t>
      </w:r>
      <w:r>
        <w:t xml:space="preserve"> Jer.txt (biblia_rv1909\spaRV1909_texto_corrido.txt) · contraste del archivo de pasajes: ✔</w:t>
      </w:r>
      <w:r>
        <w:br/>
      </w:r>
      <w:r>
        <w:rPr>
          <w:b/>
        </w:rPr>
        <w:t>Lugar:</w:t>
      </w:r>
      <w:r>
        <w:t xml:space="preserve"> Dn 7:10</w:t>
      </w:r>
      <w:r>
        <w:br/>
      </w:r>
      <w:r>
        <w:rPr>
          <w:b/>
        </w:rPr>
        <w:t>Tal como está en la fuente:</w:t>
      </w:r>
      <w:r>
        <w:t xml:space="preserve"> Un río de fuego procedía y salía de delante de él: millares de millares le servían, y millones de millones asistían delante de él: el Juez se sentó, y los libros se abrieron.</w:t>
      </w:r>
      <w:r>
        <w:t>. Y, para el cuidado, «Mis huídas has tú contado: pon mis lágrimas en tu redoma: ¿no están ellas en tu libro?»</w:t>
      </w:r>
      <w:r>
        <w:t xml:space="preserve"> (Sal 56:8)</w:t>
      </w:r>
      <w:r>
        <w:br/>
      </w:r>
      <w:r>
        <w:rPr>
          <w:b/>
        </w:rPr>
        <w:t>leída en su fuente · Sal 56:8</w:t>
      </w:r>
      <w:r>
        <w:br/>
      </w:r>
      <w:r>
        <w:rPr>
          <w:b/>
        </w:rPr>
        <w:t>Archivo leído:</w:t>
      </w:r>
      <w:r>
        <w:t xml:space="preserve"> Mal.txt (biblia_rv1909\spaRV1909_texto_corrido.txt) · contraste del archivo de pasajes: ✔</w:t>
      </w:r>
      <w:r>
        <w:br/>
      </w:r>
      <w:r>
        <w:rPr>
          <w:b/>
        </w:rPr>
        <w:t>Lugar:</w:t>
      </w:r>
      <w:r>
        <w:t xml:space="preserve"> Ex 32:32</w:t>
      </w:r>
      <w:r>
        <w:br/>
      </w:r>
      <w:r>
        <w:rPr>
          <w:b/>
        </w:rPr>
        <w:t>Tal como está en la fuente:</w:t>
      </w:r>
      <w:r>
        <w:t xml:space="preserve"> Mis huídas has tú contado: pon mis lágrimas en tu redoma: ¿no están ellas en tu libro?</w:t>
      </w:r>
      <w:r>
        <w:t>.</w:t>
      </w:r>
    </w:p>
    <w:p>
      <w:pPr>
        <w:pStyle w:val="ListBullet2"/>
      </w:pPr>
      <w:r>
        <w:rPr>
          <w:b/>
        </w:rPr>
        <w:t>La tradición rabínica:</w:t>
      </w:r>
      <w:r>
        <w:t xml:space="preserve"> «sabe lo que hay por encima de ti: un ojo que ve, un oído que oye, y todas tus obras se escriben en un libro»</w:t>
      </w:r>
      <w:r>
        <w:t xml:space="preserve"> [original: «דַּע מַה לְּמַעְלָה מִמְּךָ, עַיִן רוֹאָה וְאֹזֶן שׁוֹמַעַת, וְכָל מַעֲשֶׂיךָ בַסֵּפֶר נִכְתָּבִין»]</w:t>
      </w:r>
      <w:r>
        <w:t xml:space="preserve"> (Pirkei Avot 2:1)</w:t>
      </w:r>
      <w:r>
        <w:br/>
      </w:r>
      <w:r>
        <w:rPr>
          <w:b/>
        </w:rPr>
        <w:t>leída en su fuente · Pirkei Avot 2:1</w:t>
      </w:r>
      <w:r>
        <w:br/>
      </w:r>
      <w:r>
        <w:rPr>
          <w:b/>
        </w:rPr>
        <w:t>Original donde está:</w:t>
      </w:r>
      <w:r>
        <w:t xml:space="preserve"> sefaria_Pirkei_Avot_2.json</w:t>
      </w:r>
      <w:r>
        <w:br/>
      </w:r>
      <w:r>
        <w:t>El pasaje literal no está en el archivo de pasajes con este comienzo; la auditoría lo halló en ese original.</w:t>
      </w:r>
      <w:r>
        <w:t>. «la tienda está abierta, el tendero fía, el libro está abierto y la mano escribe»</w:t>
      </w:r>
      <w:r>
        <w:t xml:space="preserve"> [original: «הַחֲנוּת פְּתוּחָה, וְהַחֶנְוָנִי מֵקִיף, וְהַפִּנְקָס פָּתוּחַ, וְהַיָּד כּוֹתֶבֶת»]</w:t>
      </w:r>
      <w:r>
        <w:t xml:space="preserve"> (Pirkei Avot 3:16)</w:t>
      </w:r>
      <w:r>
        <w:br/>
      </w:r>
      <w:r>
        <w:rPr>
          <w:b/>
        </w:rPr>
        <w:t>leída en su fuente · Pirkei Avot 3:16</w:t>
      </w:r>
      <w:r>
        <w:br/>
      </w:r>
      <w:r>
        <w:rPr>
          <w:b/>
        </w:rPr>
        <w:t>Original donde está:</w:t>
      </w:r>
      <w:r>
        <w:t xml:space="preserve"> sefaria_Pirkei_Avot_3.json</w:t>
      </w:r>
      <w:r>
        <w:br/>
      </w:r>
      <w:r>
        <w:t>El pasaje literal no está en el archivo de pasajes con este comienzo; la auditoría lo halló en ese original.</w:t>
      </w:r>
      <w:r>
        <w:t>.</w:t>
      </w:r>
    </w:p>
    <w:p>
      <w:pPr>
        <w:pStyle w:val="ListBullet2"/>
      </w:pPr>
      <w:r>
        <w:rPr>
          <w:b/>
        </w:rPr>
        <w:t>El Nuevo Testamento:</w:t>
      </w:r>
      <w:r>
        <w:t xml:space="preserve"> «Y vi los muertos, grandes y pequeños, que estaban delante de Dios; y los libros fueron abiertos: y otro libro fué abierto, el cual es de la vida: y fueron juzgados los muertos por las cosas que estaban escritas en los libros, según sus obras»</w:t>
      </w:r>
      <w:r>
        <w:t xml:space="preserve"> (Ap 20:12)</w:t>
      </w:r>
      <w:r>
        <w:br/>
      </w:r>
      <w:r>
        <w:rPr>
          <w:b/>
        </w:rPr>
        <w:t>leída en su fuente · Ap 20:12</w:t>
      </w:r>
      <w:r>
        <w:br/>
      </w:r>
      <w:r>
        <w:rPr>
          <w:b/>
        </w:rPr>
        <w:t>Archivo leído:</w:t>
      </w:r>
      <w:r>
        <w:t xml:space="preserve"> sblgnt_Heb.txt (biblia_rv1909\spaRV1909_texto_corrido.txt) · contraste del archivo de pasajes: ✔</w:t>
      </w:r>
      <w:r>
        <w:br/>
      </w:r>
      <w:r>
        <w:rPr>
          <w:b/>
        </w:rPr>
        <w:t>Lugar:</w:t>
      </w:r>
      <w:r>
        <w:t xml:space="preserve"> Ap 20:12</w:t>
      </w:r>
      <w:r>
        <w:br/>
      </w:r>
      <w:r>
        <w:rPr>
          <w:b/>
        </w:rPr>
        <w:t>Tal como está en la fuente:</w:t>
      </w:r>
      <w:r>
        <w:t xml:space="preserve"> Y vi los muertos, grandes y pequeños, que estaban delante de Dios; y los libros fueron abiertos: y otro libro fué abierto, el cual es de la vida: y fueron juzgados los muertos por las cosas que estaban escritas en los libros, según sus obras.</w:t>
      </w:r>
      <w:r>
        <w:t>.</w:t>
      </w:r>
    </w:p>
    <w:p>
      <w:pPr>
        <w:pStyle w:val="ListBullet2"/>
      </w:pPr>
      <w:r>
        <w:rPr>
          <w:b/>
        </w:rPr>
        <w:t>El islam:</w:t>
      </w:r>
      <w:r>
        <w:t xml:space="preserve"> «pero hay quienes os guardan: nobles, escribas, que saben lo que hacéis»</w:t>
      </w:r>
      <w:r>
        <w:t xml:space="preserve"> (Corán 82:10-12, traducción de Julio Cortés)</w:t>
      </w:r>
      <w:r>
        <w:br/>
      </w:r>
      <w:r>
        <w:rPr>
          <w:b/>
        </w:rPr>
        <w:t>leída en su fuente · Corán 82:10-12, traducción de Julio Cortés</w:t>
      </w:r>
      <w:r>
        <w:br/>
      </w:r>
      <w:r>
        <w:rPr>
          <w:b/>
        </w:rPr>
        <w:t>Archivo leído:</w:t>
      </w:r>
      <w:r>
        <w:t xml:space="preserve"> coran_cortes_texto_corrido.txt (c4\coran_cortes_texto_corrido.txt) · contraste del archivo de pasajes: ✔</w:t>
      </w:r>
      <w:r>
        <w:br/>
      </w:r>
      <w:r>
        <w:rPr>
          <w:b/>
        </w:rPr>
        <w:t>Lugar:</w:t>
      </w:r>
      <w:r>
        <w:t xml:space="preserve"> Corán 82:10-12, traducción de Julio Cortés</w:t>
      </w:r>
      <w:r>
        <w:br/>
      </w:r>
      <w:r>
        <w:rPr>
          <w:b/>
        </w:rPr>
        <w:t>Tal como está en la fuente:</w:t>
      </w:r>
      <w:r>
        <w:t xml:space="preserve"> pero hay quienes os guardan: nobles, escribas, que saben lo que hacéis</w:t>
      </w:r>
      <w:r>
        <w:t>. Y lo que dicen los pecadores ante la Escritura: «¡Ay de nosotros! ¿Qué clase de Escritura es ésta, que no deja de enumerar nada, ni grande ni pequeño?»</w:t>
      </w:r>
      <w:r>
        <w:t xml:space="preserve"> (Corán 18:49, traducción de Julio Cortés)</w:t>
      </w:r>
      <w:r>
        <w:br/>
      </w:r>
      <w:r>
        <w:rPr>
          <w:b/>
        </w:rPr>
        <w:t>leída en su fuente · Corán 18:49, traducción de Julio Cortés</w:t>
      </w:r>
      <w:r>
        <w:br/>
      </w:r>
      <w:r>
        <w:rPr>
          <w:b/>
        </w:rPr>
        <w:t>Archivo leído:</w:t>
      </w:r>
      <w:r>
        <w:t xml:space="preserve"> coran_arabe_uthmani_alquran_cloud.json.txt (c4\coran_cortes_tanzil_completo.txt) · contraste del archivo de pasajes: ✔</w:t>
      </w:r>
      <w:r>
        <w:br/>
      </w:r>
      <w:r>
        <w:rPr>
          <w:b/>
        </w:rPr>
        <w:t>Lugar:</w:t>
      </w:r>
      <w:r>
        <w:t xml:space="preserve"> Corán 82:10 (Cortés)</w:t>
      </w:r>
      <w:r>
        <w:br/>
      </w:r>
      <w:r>
        <w:rPr>
          <w:b/>
        </w:rPr>
        <w:t>Tal como está en la fuente:</w:t>
      </w:r>
      <w:r>
        <w:t xml:space="preserve"> Se expondrá la Escritura y oirás decir a los pecadores, temiendo por su contenido: «¡Ay de nosotros! ¿Qué clase de Escritura es ésta, que no deja de enumerar nada, ni grande ni pequeño?» Allí encontrarán ante ellos lo que han hecho. Y tu Señor no será injusto con nadie.</w:t>
      </w:r>
      <w:r>
        <w:t>.</w:t>
      </w:r>
    </w:p>
    <w:p>
      <w:pPr>
        <w:pStyle w:val="ListBullet2"/>
      </w:pPr>
      <w:r>
        <w:rPr>
          <w:b/>
        </w:rPr>
        <w:t>Egipto:</w:t>
      </w:r>
      <w:r>
        <w:t xml:space="preserve"> «Thot y Maat son tus registradores»</w:t>
      </w:r>
      <w:r>
        <w:t xml:space="preserve"> [original: «Thoth? and Maat both are thy recorders», en la traducción inglesa de Budge, 1895, OCR]</w:t>
      </w:r>
      <w:r>
        <w:t xml:space="preserve"> (Papiro de Ani, himno a Ra)</w:t>
      </w:r>
      <w:r>
        <w:br/>
      </w:r>
      <w:r>
        <w:rPr>
          <w:b/>
        </w:rPr>
        <w:t>leída en su fuente · Papiro de Ani, himno a Ra</w:t>
      </w:r>
      <w:r>
        <w:br/>
      </w:r>
      <w:r>
        <w:rPr>
          <w:b/>
        </w:rPr>
        <w:t>Archivo leído:</w:t>
      </w:r>
      <w:r>
        <w:t xml:space="preserve"> rtae12.htm (flecos2\05.00_Maat_Budge_1895_Papyrus_of_Ani_transliteracion_djvu.txt) · contraste del archivo de pasajes: ✔</w:t>
      </w:r>
      <w:r>
        <w:br/>
      </w:r>
      <w:r>
        <w:rPr>
          <w:b/>
        </w:rPr>
        <w:t>Lugar:</w:t>
      </w:r>
      <w:r>
        <w:t xml:space="preserve"> Papiro de Ani, el juicio (Budge 1895, OCR)</w:t>
      </w:r>
      <w:r>
        <w:br/>
      </w:r>
      <w:r>
        <w:rPr>
          <w:b/>
        </w:rPr>
        <w:t>Tal como está en la fuente:</w:t>
      </w:r>
      <w:r>
        <w:t xml:space="preserve"> Thoth? and Maat both are thy recorders.</w:t>
      </w:r>
      <w:r>
        <w:br/>
      </w:r>
      <w:r>
        <w:rPr>
          <w:b/>
        </w:rPr>
        <w:t>Traducción guardada:</w:t>
      </w:r>
      <w:r>
        <w:t xml:space="preserve"> Thot y Maat son tus registradores</w:t>
      </w:r>
      <w:r>
        <w:t>.</w:t>
      </w:r>
    </w:p>
    <w:p>
      <w:pPr>
        <w:pStyle w:val="ListBullet2"/>
      </w:pPr>
      <w:r>
        <w:rPr>
          <w:b/>
        </w:rPr>
        <w:t>Persia:</w:t>
      </w:r>
      <w:r>
        <w:t xml:space="preserve"> «las retribuciones que, según los registros, están asignadas a los justos»</w:t>
      </w:r>
      <w:r>
        <w:t xml:space="preserve"> [original: «the dues, that in accord with the records are appointed for the righteous», en la traducción inglesa de avesta.org]</w:t>
      </w:r>
      <w:r>
        <w:t xml:space="preserve"> (Yasna 31:14)</w:t>
      </w:r>
      <w:r>
        <w:br/>
      </w:r>
      <w:r>
        <w:rPr>
          <w:b/>
        </w:rPr>
        <w:t>leída en su fuente · Yasna 31:14</w:t>
      </w:r>
      <w:r>
        <w:br/>
      </w:r>
      <w:r>
        <w:rPr>
          <w:b/>
        </w:rPr>
        <w:t>Archivo leído:</w:t>
      </w:r>
      <w:r>
        <w:t xml:space="preserve"> vd19sbe.htm (c4\yasna_ingles_avesta_org.html) · contraste del archivo de pasajes: ✔</w:t>
      </w:r>
      <w:r>
        <w:br/>
      </w:r>
      <w:r>
        <w:rPr>
          <w:b/>
        </w:rPr>
        <w:t>Lugar:</w:t>
      </w:r>
      <w:r>
        <w:t xml:space="preserve"> Yasna 31:14 (avesta.org)</w:t>
      </w:r>
      <w:r>
        <w:br/>
      </w:r>
      <w:r>
        <w:rPr>
          <w:b/>
        </w:rPr>
        <w:t>Tal como está en la fuente:</w:t>
      </w:r>
      <w:r>
        <w:t xml:space="preserve"> the dues, that in accord with the records are appointed for the righteous,</w:t>
      </w:r>
      <w:r>
        <w:br/>
      </w:r>
      <w:r>
        <w:rPr>
          <w:b/>
        </w:rPr>
        <w:t>Traducción guardada:</w:t>
      </w:r>
      <w:r>
        <w:t xml:space="preserve"> las retribuciones que, según los registros, están asignadas a los justos</w:t>
      </w:r>
      <w:r>
        <w:t>.</w:t>
      </w:r>
    </w:p>
    <w:p>
      <w:pPr>
        <w:pStyle w:val="ListBullet2"/>
      </w:pPr>
      <w:r>
        <w:rPr>
          <w:b/>
        </w:rPr>
        <w:t>China:</w:t>
      </w:r>
      <w:r>
        <w:t xml:space="preserve"> «que anotan sus actos de culpa y maldad y les quitan [de su vida] periodos de doce años o de cien días»</w:t>
      </w:r>
      <w:r>
        <w:t xml:space="preserve"> [original: «which record their acts of guilt and wickedness, and take away (from their term of life) periods of twelve years or of a hundred days», en la traducción inglesa de Legge, 1891, OCR]</w:t>
      </w:r>
      <w:r>
        <w:t xml:space="preserve"> (Ganying Pian, 2)</w:t>
      </w:r>
      <w:r>
        <w:br/>
      </w:r>
      <w:r>
        <w:rPr>
          <w:b/>
        </w:rPr>
        <w:t>leída en su fuente · Ganying Pian, 2</w:t>
      </w:r>
      <w:r>
        <w:br/>
      </w:r>
      <w:r>
        <w:rPr>
          <w:b/>
        </w:rPr>
        <w:t>Archivo leído:</w:t>
      </w:r>
      <w:r>
        <w:t xml:space="preserve"> legge_texts_of_taoism_part2_sbe40_archive.txt (el_registro_de_todo_12oct\L6_regla_oro\legge_texts_of_taoism_part2_sbe40_archive.txt) · contraste del archivo de pasajes: ✔</w:t>
      </w:r>
      <w:r>
        <w:br/>
      </w:r>
      <w:r>
        <w:rPr>
          <w:b/>
        </w:rPr>
        <w:t>Lugar:</w:t>
      </w:r>
      <w:r>
        <w:t xml:space="preserve"> Ganying Pian, 2 (Legge 1891, OCR)</w:t>
      </w:r>
      <w:r>
        <w:br/>
      </w:r>
      <w:r>
        <w:rPr>
          <w:b/>
        </w:rPr>
        <w:t>Tal como está en la fuente:</w:t>
      </w:r>
      <w:r>
        <w:t xml:space="preserve"> which record their acts of guilt and wickedness, and take away (from their term of life) periods of twelve years or of a hundred days.</w:t>
      </w:r>
      <w:r>
        <w:br/>
      </w:r>
      <w:r>
        <w:rPr>
          <w:b/>
        </w:rPr>
        <w:t>Traducción guardada:</w:t>
      </w:r>
      <w:r>
        <w:t xml:space="preserve"> que anotan sus actos de culpa y maldad y les quitan [de su vida] periodos de doce años o de cien días</w:t>
      </w:r>
      <w:r>
        <w:t>. «suben enseguida a la corte del Cielo e informan de los actos de culpa y transgresión de los hombres»</w:t>
      </w:r>
      <w:r>
        <w:t xml:space="preserve"> [original: «they forthwith ascend to the court of Heaven, and report men’s deeds of guilt and transgression», en la traducción inglesa de Legge, 1891, OCR]</w:t>
      </w:r>
      <w:r>
        <w:t xml:space="preserve"> (Ganying Pian, 2)</w:t>
      </w:r>
      <w:r>
        <w:br/>
      </w:r>
      <w:r>
        <w:rPr>
          <w:b/>
        </w:rPr>
        <w:t>leída en su fuente · Ganying Pian, 2</w:t>
      </w:r>
      <w:r>
        <w:br/>
      </w:r>
      <w:r>
        <w:rPr>
          <w:b/>
        </w:rPr>
        <w:t>Archivo leído:</w:t>
      </w:r>
      <w:r>
        <w:t xml:space="preserve"> legge_texts_of_taoism_part2_sbe40_archive.txt (el_registro_de_todo_12oct\L6_regla_oro\legge_texts_of_taoism_part2_sbe40_archive.txt) · contraste del archivo de pasajes: ✔</w:t>
      </w:r>
      <w:r>
        <w:br/>
      </w:r>
      <w:r>
        <w:rPr>
          <w:b/>
        </w:rPr>
        <w:t>Lugar:</w:t>
      </w:r>
      <w:r>
        <w:t xml:space="preserve"> Ganying Pian, 2 (Legge 1891, OCR)</w:t>
      </w:r>
      <w:r>
        <w:br/>
      </w:r>
      <w:r>
        <w:rPr>
          <w:b/>
        </w:rPr>
        <w:t>Tal como está en la fuente:</w:t>
      </w:r>
      <w:r>
        <w:t xml:space="preserve"> they forthwith ascend to the court of Heaven, and report men’s deeds of guilt and transgression.</w:t>
      </w:r>
      <w:r>
        <w:br/>
      </w:r>
      <w:r>
        <w:rPr>
          <w:b/>
        </w:rPr>
        <w:t>Traducción guardada:</w:t>
      </w:r>
      <w:r>
        <w:t xml:space="preserve"> suben enseguida a la corte del Cielo e informan de los actos de culpa y transgresión de los hombres</w:t>
      </w:r>
      <w:r>
        <w:t>. Su fecha, según su traductor: «A ese mismo siglo [el XI] podemos, pues, referir con razón el origen del Kan Ying Phien»</w:t>
      </w:r>
      <w:r>
        <w:t xml:space="preserve"> [original: «To that same century therefore we may reasonably refer the origin of the Kan Ying Phien»]</w:t>
      </w:r>
      <w:r>
        <w:t xml:space="preserve"> (J. Legge, The Texts of Tâoism (Los textos del taoísmo), Sacred Books of the East, 39, 1891, introducción, cap. V)</w:t>
      </w:r>
      <w:r>
        <w:br/>
      </w:r>
      <w:r>
        <w:rPr>
          <w:b/>
        </w:rPr>
        <w:t>leída en su fuente · J. Legge, The Texts of Tâoism (Los textos del taoísmo), Sacred Books of the East, 39, 1891</w:t>
      </w:r>
      <w:r>
        <w:br/>
      </w:r>
      <w:r>
        <w:rPr>
          <w:b/>
        </w:rPr>
        <w:t>Archivo leído:</w:t>
      </w:r>
      <w:r>
        <w:t xml:space="preserve"> sbe39007.htm (el_registro_de_todo_12oct\taoismo_legge_sacredtexts\sbe39007.htm) · contraste del archivo de pasajes: ✔</w:t>
      </w:r>
      <w:r>
        <w:br/>
      </w:r>
      <w:r>
        <w:rPr>
          <w:b/>
        </w:rPr>
        <w:t>Lugar:</w:t>
      </w:r>
      <w:r>
        <w:t xml:space="preserve"> J. Legge, The Texts of Tâoism (Los textos del taoísmo), Sacred Books of the East, 39, 1891, introducción, cap. V</w:t>
      </w:r>
      <w:r>
        <w:br/>
      </w:r>
      <w:r>
        <w:rPr>
          <w:b/>
        </w:rPr>
        <w:t>Tal como está en la fuente:</w:t>
      </w:r>
      <w:r>
        <w:t xml:space="preserve"> To that same century therefore we may reasonably refer the origin of the Kan Ying Phien</w:t>
      </w:r>
      <w:r>
        <w:t>; y «no cabe duda de que la introducción de este último [el sistema indio] en China hizo más que ninguna otra cosa por influir en el desarrollo del sistema taoísta»</w:t>
      </w:r>
      <w:r>
        <w:t xml:space="preserve"> [original: «there can be no doubt that the introduction of the latter into China did more than anything else to affect the development of the Tâoistic system»]</w:t>
      </w:r>
      <w:r>
        <w:t xml:space="preserve"> (ídem)</w:t>
      </w:r>
      <w:r>
        <w:br/>
      </w:r>
      <w:r>
        <w:rPr>
          <w:b/>
        </w:rPr>
        <w:t>leída en su fuente · ídem</w:t>
      </w:r>
      <w:r>
        <w:br/>
      </w:r>
      <w:r>
        <w:rPr>
          <w:b/>
        </w:rPr>
        <w:t>Archivo leído:</w:t>
      </w:r>
      <w:r>
        <w:t xml:space="preserve"> sbe39007.htm (el_registro_de_todo_12oct\taoismo_legge_sacredtexts\sbe39007.htm) · contraste del archivo de pasajes: ✔</w:t>
      </w:r>
      <w:r>
        <w:br/>
      </w:r>
      <w:r>
        <w:rPr>
          <w:b/>
        </w:rPr>
        <w:t>Lugar:</w:t>
      </w:r>
      <w:r>
        <w:t xml:space="preserve"> ídem</w:t>
      </w:r>
      <w:r>
        <w:br/>
      </w:r>
      <w:r>
        <w:rPr>
          <w:b/>
        </w:rPr>
        <w:t>Tal como está en la fuente:</w:t>
      </w:r>
      <w:r>
        <w:t xml:space="preserve"> there can be no doubt that the introduction of the latter into China did more than anything else to affect the development of the Tâoistic system</w:t>
      </w:r>
      <w:r>
        <w:t>.</w:t>
      </w:r>
    </w:p>
    <w:p>
      <w:pPr>
        <w:pStyle w:val="ListBullet2"/>
      </w:pPr>
      <w:r>
        <w:rPr>
          <w:b/>
        </w:rPr>
        <w:t>Grecia</w:t>
      </w:r>
      <w:r>
        <w:t>, de Hades bajo la tierra: «y lo observa todo y lo inscribe en su mente»</w:t>
      </w:r>
      <w:r>
        <w:t xml:space="preserve"> [original: «and he observes all things and within his mind inscribes them», en la traducción inglesa de Smyth; en griego, «δελτογράφῳ δὲ πάντʼ ἐπωπᾷ φρενί»: δελτογράφῳ, que escribe en tablillas]</w:t>
      </w:r>
      <w:r>
        <w:t xml:space="preserve"> (Esquilo, Euménides 275)</w:t>
      </w:r>
      <w:r>
        <w:br/>
      </w:r>
      <w:r>
        <w:rPr>
          <w:b/>
        </w:rPr>
        <w:t>leída en su fuente · Esquilo, Euménides 275</w:t>
      </w:r>
      <w:r>
        <w:br/>
      </w:r>
      <w:r>
        <w:rPr>
          <w:b/>
        </w:rPr>
        <w:t>Archivo leído:</w:t>
      </w:r>
      <w:r>
        <w:t xml:space="preserve"> pg1497.txt (el_registro_de_todo_12oct\originales\c_perseus_tlg0085.tlg007_esquilo_eumenides_smyth_eng.xml) · contraste del archivo de pasajes: parcial</w:t>
      </w:r>
      <w:r>
        <w:br/>
      </w:r>
      <w:r>
        <w:rPr>
          <w:b/>
        </w:rPr>
        <w:t>Lugar:</w:t>
      </w:r>
      <w:r>
        <w:t xml:space="preserve"> Euménides 273-275 (Smyth)</w:t>
      </w:r>
      <w:r>
        <w:br/>
      </w:r>
      <w:r>
        <w:rPr>
          <w:b/>
        </w:rPr>
        <w:t>Tal como está en la fuente:</w:t>
      </w:r>
      <w:r>
        <w:t xml:space="preserve"> For Hades is mighty in holding mortals to account under the earth, [275] and he observes all things and within his mind inscribes them.</w:t>
      </w:r>
      <w:r>
        <w:br/>
      </w:r>
      <w:r>
        <w:rPr>
          <w:b/>
        </w:rPr>
        <w:t>Traducción guardada:</w:t>
      </w:r>
      <w:r>
        <w:t xml:space="preserve"> pues Hades es poderoso para pedir cuentas a los mortales bajo la tierra, y lo observa todo y lo inscribe en su mente</w:t>
      </w:r>
      <w:r>
        <w:t>.</w:t>
      </w:r>
    </w:p>
    <w:p>
      <w:pPr>
        <w:pStyle w:val="ListBullet"/>
      </w:pPr>
      <w:r>
        <w:rPr>
          <w:b/>
        </w:rPr>
        <w:t>La cuenta la lleva la propia obra.</w:t>
      </w:r>
      <w:r>
        <w:t xml:space="preserve"> </w:t>
      </w:r>
    </w:p>
    <w:p>
      <w:pPr>
        <w:pStyle w:val="ListBullet2"/>
      </w:pPr>
      <w:r>
        <w:rPr>
          <w:b/>
        </w:rPr>
        <w:t>La India:</w:t>
      </w:r>
      <w:r>
        <w:t xml:space="preserve"> la obra que haga, esa recogerá (Bṛhadāraṇyaka Upanishad 4.4.5), arriba, en el 13.</w:t>
      </w:r>
    </w:p>
    <w:p>
      <w:pPr>
        <w:pStyle w:val="ListBullet2"/>
      </w:pPr>
      <w:r>
        <w:rPr>
          <w:b/>
        </w:rPr>
        <w:t>El budismo:</w:t>
      </w:r>
      <w:r>
        <w:t xml:space="preserve"> «ni en el cielo, ni en medio del mar, ni metiéndose en las grietas de los montes, se conoce un lugar en todo el mundo donde un hombre pueda librarse de una mala obra»</w:t>
      </w:r>
      <w:r>
        <w:t xml:space="preserve"> [original: «Not in the sky, not in the midst of the sea, not if we enter into the clefts of the mountains, is there known a spot in the whole world where a man might be freed from an evil deed», en la traducción inglesa de Max Müller]</w:t>
      </w:r>
      <w:r>
        <w:t xml:space="preserve"> (Dhammapada 127)</w:t>
      </w:r>
      <w:r>
        <w:br/>
      </w:r>
      <w:r>
        <w:rPr>
          <w:b/>
        </w:rPr>
        <w:t>leída en su fuente · Dhammapada 127</w:t>
      </w:r>
      <w:r>
        <w:br/>
      </w:r>
      <w:r>
        <w:rPr>
          <w:b/>
        </w:rPr>
        <w:t>Archivo leído:</w:t>
      </w:r>
      <w:r>
        <w:t xml:space="preserve"> dhammapada_muller_gutenberg_2017.txt (c9h\dhammapada_muller_gutenberg_2017.txt) · contraste del archivo de pasajes: ✔</w:t>
      </w:r>
      <w:r>
        <w:br/>
      </w:r>
      <w:r>
        <w:rPr>
          <w:b/>
        </w:rPr>
        <w:t>Lugar:</w:t>
      </w:r>
      <w:r>
        <w:t xml:space="preserve"> Dhammapada 1 (Müller)</w:t>
      </w:r>
      <w:r>
        <w:br/>
      </w:r>
      <w:r>
        <w:rPr>
          <w:b/>
        </w:rPr>
        <w:t>Tal como está en la fuente:</w:t>
      </w:r>
      <w:r>
        <w:t xml:space="preserve"> Not in the sky, not in the midst of the sea, not if we enter into the clefts of the mountains, is there known a spot in the whole world where a man might be freed from an evil deed.</w:t>
      </w:r>
      <w:r>
        <w:br/>
      </w:r>
      <w:r>
        <w:rPr>
          <w:b/>
        </w:rPr>
        <w:t>Traducción guardada:</w:t>
      </w:r>
      <w:r>
        <w:t xml:space="preserve"> ni en el cielo, ni en medio del mar, ni metiéndose en las grietas de los montes, se conoce un lugar en todo el mundo donde un hombre pueda librarse de una mala obra</w:t>
      </w:r>
      <w:r>
        <w:t>.</w:t>
      </w:r>
    </w:p>
    <w:p>
      <w:pPr>
        <w:pStyle w:val="ListBullet"/>
      </w:pPr>
      <w:r>
        <w:rPr>
          <w:b/>
        </w:rPr>
        <w:t>Para qué; los cabellos contados</w:t>
      </w:r>
      <w:r>
        <w:t xml:space="preserve"> (Reina-Valera Antigua): «¿No se venden dos pajarillos por un cuarto? Con todo, ni uno de ellos cae á tierra sin vuestro Padre»</w:t>
      </w:r>
      <w:r>
        <w:t xml:space="preserve"> (Mt 10:29)</w:t>
      </w:r>
      <w:r>
        <w:br/>
      </w:r>
      <w:r>
        <w:rPr>
          <w:b/>
        </w:rPr>
        <w:t>leída en su fuente · Mt 10:29</w:t>
      </w:r>
      <w:r>
        <w:br/>
      </w:r>
      <w:r>
        <w:rPr>
          <w:b/>
        </w:rPr>
        <w:t>Archivo leído:</w:t>
      </w:r>
      <w:r>
        <w:t xml:space="preserve"> sblgnt_Matt.txt (biblia_rv1909\spaRV1909_texto_corrido.txt) · contraste del archivo de pasajes: ✔</w:t>
      </w:r>
      <w:r>
        <w:br/>
      </w:r>
      <w:r>
        <w:rPr>
          <w:b/>
        </w:rPr>
        <w:t>Lugar:</w:t>
      </w:r>
      <w:r>
        <w:t xml:space="preserve"> Mt 10:26</w:t>
      </w:r>
      <w:r>
        <w:br/>
      </w:r>
      <w:r>
        <w:rPr>
          <w:b/>
        </w:rPr>
        <w:t>Tal como está en la fuente:</w:t>
      </w:r>
      <w:r>
        <w:t xml:space="preserve"> ¿No se venden dos pajarillos por un cuarto? Con todo, ni uno de ellos cae á tierra sin vuestro Padre.</w:t>
      </w:r>
      <w:r>
        <w:t>. «Pues aun vuestros cabellos están todos contados»</w:t>
      </w:r>
      <w:r>
        <w:t xml:space="preserve"> (Mt 10:30)</w:t>
      </w:r>
      <w:r>
        <w:br/>
      </w:r>
      <w:r>
        <w:rPr>
          <w:b/>
        </w:rPr>
        <w:t>leída en su fuente · Mt 10:30</w:t>
      </w:r>
      <w:r>
        <w:br/>
      </w:r>
      <w:r>
        <w:rPr>
          <w:b/>
        </w:rPr>
        <w:t>Archivo leído:</w:t>
      </w:r>
      <w:r>
        <w:t xml:space="preserve"> sblgnt_Matt.txt (biblia_rv1909\spaRV1909_texto_corrido.txt) · contraste del archivo de pasajes: ✔</w:t>
      </w:r>
      <w:r>
        <w:br/>
      </w:r>
      <w:r>
        <w:rPr>
          <w:b/>
        </w:rPr>
        <w:t>Lugar:</w:t>
      </w:r>
      <w:r>
        <w:t xml:space="preserve"> Mt 10:26</w:t>
      </w:r>
      <w:r>
        <w:br/>
      </w:r>
      <w:r>
        <w:rPr>
          <w:b/>
        </w:rPr>
        <w:t>Tal como está en la fuente:</w:t>
      </w:r>
      <w:r>
        <w:t xml:space="preserve"> Pues aun vuestros cabellos están todos contados.</w:t>
      </w:r>
      <w:r>
        <w:t>. «Así que, no temáis: más valéis vosotros que muchos pajarillos»</w:t>
      </w:r>
      <w:r>
        <w:t xml:space="preserve"> (Mt 10:31)</w:t>
      </w:r>
      <w:r>
        <w:br/>
      </w:r>
      <w:r>
        <w:rPr>
          <w:b/>
        </w:rPr>
        <w:t>leída en su fuente · Mt 10:31</w:t>
      </w:r>
      <w:r>
        <w:br/>
      </w:r>
      <w:r>
        <w:rPr>
          <w:b/>
        </w:rPr>
        <w:t>Archivo leído:</w:t>
      </w:r>
      <w:r>
        <w:t xml:space="preserve"> sblgnt_Matt.txt (biblia_rv1909\spaRV1909_texto_corrido.txt) · contraste del archivo de pasajes: ✔</w:t>
      </w:r>
      <w:r>
        <w:br/>
      </w:r>
      <w:r>
        <w:rPr>
          <w:b/>
        </w:rPr>
        <w:t>Lugar:</w:t>
      </w:r>
      <w:r>
        <w:t xml:space="preserve"> Mt 10:26</w:t>
      </w:r>
      <w:r>
        <w:br/>
      </w:r>
      <w:r>
        <w:rPr>
          <w:b/>
        </w:rPr>
        <w:t>Tal como está en la fuente:</w:t>
      </w:r>
      <w:r>
        <w:t xml:space="preserve"> Así que, no temáis: más valéis vosotros que muchos pajarillos.</w:t>
      </w:r>
      <w:r>
        <w:t>. Y en Lucas: «Y aun los cabellos de vuestra cabeza están todos contados. No temáis pues: de más estima sois que muchos pajarillos»</w:t>
      </w:r>
      <w:r>
        <w:t xml:space="preserve"> (Lc 12:7)</w:t>
      </w:r>
      <w:r>
        <w:br/>
      </w:r>
      <w:r>
        <w:rPr>
          <w:b/>
        </w:rPr>
        <w:t>leída en su fuente · Lc 12:7</w:t>
      </w:r>
      <w:r>
        <w:br/>
      </w:r>
      <w:r>
        <w:rPr>
          <w:b/>
        </w:rPr>
        <w:t>Archivo leído:</w:t>
      </w:r>
      <w:r>
        <w:t xml:space="preserve"> sblgnt_Luke.txt (biblia_rv1909\spaRV1909_texto_corrido.txt) · contraste del archivo de pasajes: ✔</w:t>
      </w:r>
      <w:r>
        <w:br/>
      </w:r>
      <w:r>
        <w:rPr>
          <w:b/>
        </w:rPr>
        <w:t>Lugar:</w:t>
      </w:r>
      <w:r>
        <w:t xml:space="preserve"> Lc 12:2</w:t>
      </w:r>
      <w:r>
        <w:br/>
      </w:r>
      <w:r>
        <w:rPr>
          <w:b/>
        </w:rPr>
        <w:t>Tal como está en la fuente:</w:t>
      </w:r>
      <w:r>
        <w:t xml:space="preserve"> Y aun los cabellos de vuestra cabeza están todos contados. No temáis pues: de más estima sois que muchos pajarillos.</w:t>
      </w:r>
      <w:r>
        <w:t>.</w:t>
      </w:r>
    </w:p>
    <w:p>
      <w:pPr>
        <w:pStyle w:val="ListBullet"/>
      </w:pPr>
      <w:r>
        <w:rPr>
          <w:b/>
        </w:rPr>
        <w:t>En contra o con matiz.</w:t>
      </w:r>
      <w:r>
        <w:t xml:space="preserve"> </w:t>
      </w:r>
    </w:p>
    <w:p>
      <w:pPr>
        <w:pStyle w:val="ListBullet2"/>
      </w:pPr>
      <w:r>
        <w:rPr>
          <w:b/>
        </w:rPr>
        <w:t>Israel</w:t>
      </w:r>
      <w:r>
        <w:t xml:space="preserve"> (Reina-Valera Antigua): «¿Hasta cuándo no me dejarás, ni me soltarás hasta que trague mi saliva?»</w:t>
      </w:r>
      <w:r>
        <w:t xml:space="preserve"> (Job 7:19)</w:t>
      </w:r>
      <w:r>
        <w:br/>
      </w:r>
      <w:r>
        <w:rPr>
          <w:b/>
        </w:rPr>
        <w:t>leída en su fuente · Job 7:19</w:t>
      </w:r>
      <w:r>
        <w:br/>
      </w:r>
      <w:r>
        <w:rPr>
          <w:b/>
        </w:rPr>
        <w:t>Archivo leído:</w:t>
      </w:r>
      <w:r>
        <w:t xml:space="preserve"> Eccl.txt (biblia_rv1909\spaRV1909_texto_corrido.txt) · contraste del archivo de pasajes: ✔</w:t>
      </w:r>
      <w:r>
        <w:br/>
      </w:r>
      <w:r>
        <w:rPr>
          <w:b/>
        </w:rPr>
        <w:t>Lugar:</w:t>
      </w:r>
      <w:r>
        <w:t xml:space="preserve"> Job 7:17</w:t>
      </w:r>
      <w:r>
        <w:br/>
      </w:r>
      <w:r>
        <w:rPr>
          <w:b/>
        </w:rPr>
        <w:t>Tal como está en la fuente:</w:t>
      </w:r>
      <w:r>
        <w:t xml:space="preserve"> ¿Hasta cuándo no me dejarás, ni me soltarás hasta que trague mi saliva?</w:t>
      </w:r>
      <w:r>
        <w:t>. «Porque los que viven saben que han de morir: mas los muertos nada saben, ni tienen más paga; porque su memoria es puesta en olvido»</w:t>
      </w:r>
      <w:r>
        <w:t xml:space="preserve"> (Ecl 9:5)</w:t>
      </w:r>
      <w:r>
        <w:br/>
      </w:r>
      <w:r>
        <w:rPr>
          <w:b/>
        </w:rPr>
        <w:t>leída en su fuente · Ecl 9:5</w:t>
      </w:r>
      <w:r>
        <w:br/>
      </w:r>
      <w:r>
        <w:rPr>
          <w:b/>
        </w:rPr>
        <w:t>Archivo leído:</w:t>
      </w:r>
      <w:r>
        <w:t xml:space="preserve"> Eccl.txt (biblia_rv1909\spaRV1909_texto_corrido.txt) · contraste del archivo de pasajes: ✔</w:t>
      </w:r>
      <w:r>
        <w:br/>
      </w:r>
      <w:r>
        <w:rPr>
          <w:b/>
        </w:rPr>
        <w:t>Lugar:</w:t>
      </w:r>
      <w:r>
        <w:t xml:space="preserve"> Job 7:17</w:t>
      </w:r>
      <w:r>
        <w:br/>
      </w:r>
      <w:r>
        <w:rPr>
          <w:b/>
        </w:rPr>
        <w:t>Tal como está en la fuente:</w:t>
      </w:r>
      <w:r>
        <w:t xml:space="preserve"> Porque los que viven saben que han de morir: mas los muertos nada saben, ni tienen más paga; porque su memoria es puesta en olvido.</w:t>
      </w:r>
      <w:r>
        <w:t>.</w:t>
      </w:r>
    </w:p>
    <w:p>
      <w:pPr>
        <w:pStyle w:val="ListBullet2"/>
      </w:pPr>
      <w:r>
        <w:rPr>
          <w:b/>
        </w:rPr>
        <w:t>Grecia:</w:t>
      </w:r>
      <w:r>
        <w:t xml:space="preserve"> «un ser bienaventurado y eterno no tiene preocupaciones ni se las causa a ningún otro»</w:t>
      </w:r>
      <w:r>
        <w:t xml:space="preserve"> [original: «1. A blessed and eternal being has no trouble himself and brings no trouble upon any other being», en la traducción inglesa de Hicks]</w:t>
      </w:r>
      <w:r>
        <w:t xml:space="preserve"> (Diógenes Laercio X, 139, máxima capital 1 de Epicuro)</w:t>
      </w:r>
      <w:r>
        <w:br/>
      </w:r>
      <w:r>
        <w:rPr>
          <w:b/>
        </w:rPr>
        <w:t>leída en su fuente · Diógenes Laercio X, 139, máxima capital 1 de Epicuro</w:t>
      </w:r>
      <w:r>
        <w:br/>
      </w:r>
      <w:r>
        <w:rPr>
          <w:b/>
        </w:rPr>
        <w:t>Archivo leído:</w:t>
      </w:r>
      <w:r>
        <w:t xml:space="preserve"> diogenes_laercio_vidas_en_hicks_perseus.xml (c9g\diogenes_laercio_vidas_en_hicks_perseus.xml) · contraste del archivo de pasajes: ✔</w:t>
      </w:r>
      <w:r>
        <w:br/>
      </w:r>
      <w:r>
        <w:rPr>
          <w:b/>
        </w:rPr>
        <w:t>Lugar:</w:t>
      </w:r>
      <w:r>
        <w:t xml:space="preserve"> Diógenes Laercio X, 139 (Hicks)</w:t>
      </w:r>
      <w:r>
        <w:br/>
      </w:r>
      <w:r>
        <w:rPr>
          <w:b/>
        </w:rPr>
        <w:t>Tal como está en la fuente:</w:t>
      </w:r>
      <w:r>
        <w:t xml:space="preserve"> 1. A blessed and eternal being has no trouble himself and brings no trouble upon any other being;</w:t>
      </w:r>
      <w:r>
        <w:br/>
      </w:r>
      <w:r>
        <w:rPr>
          <w:b/>
        </w:rPr>
        <w:t>Traducción guardada:</w:t>
      </w:r>
      <w:r>
        <w:t xml:space="preserve"> un ser bienaventurado y eterno no tiene preocupaciones ni se las causa a ningún otro</w:t>
      </w:r>
      <w:r>
        <w:t>. «por eso está libre de movimientos de ira y de favor»</w:t>
      </w:r>
      <w:r>
        <w:t xml:space="preserve"> [original: «hence he is exempt from movements of anger and partiality», en la traducción inglesa de Hicks]</w:t>
      </w:r>
      <w:r>
        <w:t xml:space="preserve"> (ídem)</w:t>
      </w:r>
      <w:r>
        <w:br/>
      </w:r>
      <w:r>
        <w:rPr>
          <w:b/>
        </w:rPr>
        <w:t>leída en su fuente · ídem</w:t>
      </w:r>
      <w:r>
        <w:br/>
      </w:r>
      <w:r>
        <w:rPr>
          <w:b/>
        </w:rPr>
        <w:t>Archivo leído:</w:t>
      </w:r>
      <w:r>
        <w:t xml:space="preserve"> diogenes_laercio_vidas_en_hicks_perseus.xml (c9g\diogenes_laercio_vidas_en_hicks_perseus.xml) · contraste del archivo de pasajes: ✔</w:t>
      </w:r>
      <w:r>
        <w:br/>
      </w:r>
      <w:r>
        <w:rPr>
          <w:b/>
        </w:rPr>
        <w:t>Lugar:</w:t>
      </w:r>
      <w:r>
        <w:t xml:space="preserve"> Diógenes Laercio X, 139 (Hicks)</w:t>
      </w:r>
      <w:r>
        <w:br/>
      </w:r>
      <w:r>
        <w:rPr>
          <w:b/>
        </w:rPr>
        <w:t>Tal como está en la fuente:</w:t>
      </w:r>
      <w:r>
        <w:t xml:space="preserve"> hence he is exempt from movements of anger and partiality,</w:t>
      </w:r>
      <w:r>
        <w:br/>
      </w:r>
      <w:r>
        <w:rPr>
          <w:b/>
        </w:rPr>
        <w:t>Traducción guardada:</w:t>
      </w:r>
      <w:r>
        <w:t xml:space="preserve"> por eso está libre de movimientos de ira y de favor</w:t>
      </w:r>
      <w:r>
        <w:t>.</w:t>
      </w:r>
    </w:p>
    <w:p>
      <w:pPr>
        <w:pStyle w:val="ListBullet2"/>
      </w:pPr>
      <w:r>
        <w:rPr>
          <w:b/>
        </w:rPr>
        <w:t>China:</w:t>
      </w:r>
      <w:r>
        <w:t xml:space="preserve"> «el Cielo y la Tierra no obran por ningún deseo de ser benevolentes; tratan a todas las cosas como se trata a los perros de paja»</w:t>
      </w:r>
      <w:r>
        <w:t xml:space="preserve"> [original: «1. Heaven and earth do not act from (the impulse of) any wish to be benevolent; they deal with all things as the dogs of grass are dealt with», en la traducción inglesa de Legge]</w:t>
      </w:r>
      <w:r>
        <w:t xml:space="preserve"> (Daodejing 5)</w:t>
      </w:r>
      <w:r>
        <w:br/>
      </w:r>
      <w:r>
        <w:rPr>
          <w:b/>
        </w:rPr>
        <w:t>leída en su fuente · Daodejing 5</w:t>
      </w:r>
      <w:r>
        <w:br/>
      </w:r>
      <w:r>
        <w:rPr>
          <w:b/>
        </w:rPr>
        <w:t>Archivo leído:</w:t>
      </w:r>
      <w:r>
        <w:t xml:space="preserve"> sbe39012.htm (el_registro_de_todo_12oct\taoismo_legge_sacredtexts\sbe39012.htm) · contraste del archivo de pasajes: ✔</w:t>
      </w:r>
      <w:r>
        <w:br/>
      </w:r>
      <w:r>
        <w:rPr>
          <w:b/>
        </w:rPr>
        <w:t>Lugar:</w:t>
      </w:r>
      <w:r>
        <w:t xml:space="preserve"> Daodejing 5 (Legge)</w:t>
      </w:r>
      <w:r>
        <w:br/>
      </w:r>
      <w:r>
        <w:rPr>
          <w:b/>
        </w:rPr>
        <w:t>Tal como está en la fuente:</w:t>
      </w:r>
      <w:r>
        <w:t xml:space="preserve"> 1. Heaven and earth do not act from (the impulse of) any wish to be benevolent; they deal with all things as the dogs of grass are dealt with.</w:t>
      </w:r>
      <w:r>
        <w:br/>
      </w:r>
      <w:r>
        <w:rPr>
          <w:b/>
        </w:rPr>
        <w:t>Traducción guardada:</w:t>
      </w:r>
      <w:r>
        <w:t xml:space="preserve"> el Cielo y la Tierra no obran por ningún deseo de ser benevolentes; tratan a todas las cosas como se trata a los perros de paja</w:t>
      </w:r>
      <w:r>
        <w:t>.</w:t>
      </w:r>
    </w:p>
    <w:p>
      <w:r>
        <w:rPr>
          <w:b/>
        </w:rPr>
        <w:t>15. El séptimo sello, tal como lo dice el texto</w:t>
      </w:r>
      <w:r>
        <w:t xml:space="preserve"> (un encargo más, leído el 12-oct-2026, en la Reina-Valera Antigua, con el griego de la edición SBLGNT; las traducciones del griego son de esta edición; los signos ⸀ y ⸂ ⸃ del griego son las marcas de variante de esa edición).</w:t>
      </w:r>
    </w:p>
    <w:p>
      <w:pPr>
        <w:pStyle w:val="ListBullet"/>
      </w:pPr>
      <w:r>
        <w:rPr>
          <w:b/>
        </w:rPr>
        <w:t>Quién abre, y con qué verbo.</w:t>
      </w:r>
      <w:r>
        <w:t xml:space="preserve"> «Y VI en la mano derecha del que estaba sentado sobre el trono un libro escrito de dentro y de fuera, sellado con siete sellos»</w:t>
      </w:r>
      <w:r>
        <w:t xml:space="preserve"> (Ap 5:1)</w:t>
      </w:r>
      <w:r>
        <w:br/>
      </w:r>
      <w:r>
        <w:rPr>
          <w:b/>
        </w:rPr>
        <w:t>leída en su fuente · Ap 5:1</w:t>
      </w:r>
      <w:r>
        <w:br/>
      </w:r>
      <w:r>
        <w:rPr>
          <w:b/>
        </w:rPr>
        <w:t>Archivo leído:</w:t>
      </w:r>
      <w:r>
        <w:t xml:space="preserve"> spaRV1909_vpl.txt (biblia_rv1909\spaRV1909_vpl.txt) · contraste del archivo de pasajes: ✔</w:t>
      </w:r>
      <w:r>
        <w:br/>
      </w:r>
      <w:r>
        <w:rPr>
          <w:b/>
        </w:rPr>
        <w:t>Lugar:</w:t>
      </w:r>
      <w:r>
        <w:t xml:space="preserve"> Ap 5:1 (RV1909)</w:t>
      </w:r>
      <w:r>
        <w:br/>
      </w:r>
      <w:r>
        <w:rPr>
          <w:b/>
        </w:rPr>
        <w:t>Tal como está en la fuente:</w:t>
      </w:r>
      <w:r>
        <w:t xml:space="preserve"> Y VI en la mano derecha del que estaba sentado sobre el trono un libro escrito de dentro y de fuera, sellado con siete sellos.</w:t>
      </w:r>
      <w:r>
        <w:t>. «Y vi un fuerte ángel predicando en alta voz: ¿Quién es digno de abrir el libro, y de desatar sus sellos?»</w:t>
      </w:r>
      <w:r>
        <w:t xml:space="preserve"> [original: «Τίς ⸀ἄξιος ἀνοῖξαι τὸ βιβλίον καὶ λῦσαι τὰς σφραγῖδας αὐτοῦ»]</w:t>
      </w:r>
      <w:r>
        <w:t xml:space="preserve"> (Ap 5:2)</w:t>
      </w:r>
      <w:r>
        <w:br/>
      </w:r>
      <w:r>
        <w:rPr>
          <w:b/>
        </w:rPr>
        <w:t>leída en su fuente · Ap 5:2</w:t>
      </w:r>
      <w:r>
        <w:br/>
      </w:r>
      <w:r>
        <w:rPr>
          <w:b/>
        </w:rPr>
        <w:t>Archivo leído:</w:t>
      </w:r>
      <w:r>
        <w:t xml:space="preserve"> sblgnt_Rev.txt (biblia_rv1909\spaRV1909_texto_corrido.txt) · contraste del archivo de pasajes: ✔</w:t>
      </w:r>
      <w:r>
        <w:br/>
      </w:r>
      <w:r>
        <w:rPr>
          <w:b/>
        </w:rPr>
        <w:t>Lugar:</w:t>
      </w:r>
      <w:r>
        <w:t xml:space="preserve"> Ap 5:2 (RV1909)</w:t>
      </w:r>
      <w:r>
        <w:br/>
      </w:r>
      <w:r>
        <w:rPr>
          <w:b/>
        </w:rPr>
        <w:t>Tal como está en la fuente:</w:t>
      </w:r>
      <w:r>
        <w:t xml:space="preserve"> Y vi un fuerte ángel predicando en alta voz: ¿Quién es digno de abrir el libro, y de desatar sus sellos?</w:t>
      </w:r>
      <w:r>
        <w:t>; en el griego, los dos verbos, «abrir» y «desatar». «Y ninguno podía, ni en el cielo, ni en la tierra, ni debajo de la tierra, abrir el libro, ni mirarlo»</w:t>
      </w:r>
      <w:r>
        <w:t xml:space="preserve"> (Ap 5:3)</w:t>
      </w:r>
      <w:r>
        <w:br/>
      </w:r>
      <w:r>
        <w:rPr>
          <w:b/>
        </w:rPr>
        <w:t>leída en su fuente · Ap 5:3</w:t>
      </w:r>
      <w:r>
        <w:br/>
      </w:r>
      <w:r>
        <w:rPr>
          <w:b/>
        </w:rPr>
        <w:t>Archivo leído:</w:t>
      </w:r>
      <w:r>
        <w:t xml:space="preserve"> spaRV1909_vpl.txt (biblia_rv1909\spaRV1909_vpl.txt) · contraste del archivo de pasajes: ✔</w:t>
      </w:r>
      <w:r>
        <w:br/>
      </w:r>
      <w:r>
        <w:rPr>
          <w:b/>
        </w:rPr>
        <w:t>Lugar:</w:t>
      </w:r>
      <w:r>
        <w:t xml:space="preserve"> Ap 5:3 (RV1909)</w:t>
      </w:r>
      <w:r>
        <w:br/>
      </w:r>
      <w:r>
        <w:rPr>
          <w:b/>
        </w:rPr>
        <w:t>Tal como está en la fuente:</w:t>
      </w:r>
      <w:r>
        <w:t xml:space="preserve"> Y ninguno podía, ni en el cielo, ni en la tierra, ni debajo de la tierra, abrir el libro, ni mirarlo.</w:t>
      </w:r>
      <w:r>
        <w:t>. «Y uno de los ancianos me dice: No llores: he aquí el león de la tribu de Judá, la raíz de David, que ha vencido para abrir el libro, y desatar sus siete sellos»</w:t>
      </w:r>
      <w:r>
        <w:t xml:space="preserve"> (Ap 5:5)</w:t>
      </w:r>
      <w:r>
        <w:br/>
      </w:r>
      <w:r>
        <w:rPr>
          <w:b/>
        </w:rPr>
        <w:t>leída en su fuente · Ap 5:5</w:t>
      </w:r>
      <w:r>
        <w:br/>
      </w:r>
      <w:r>
        <w:rPr>
          <w:b/>
        </w:rPr>
        <w:t>Archivo leído:</w:t>
      </w:r>
      <w:r>
        <w:t xml:space="preserve"> sblgnt_Rev.txt (biblia_rv1909\spaRV1909_texto_corrido.txt) · contraste del archivo de pasajes: ✔</w:t>
      </w:r>
      <w:r>
        <w:br/>
      </w:r>
      <w:r>
        <w:rPr>
          <w:b/>
        </w:rPr>
        <w:t>Lugar:</w:t>
      </w:r>
      <w:r>
        <w:t xml:space="preserve"> Ap 5:5 (RV1909)</w:t>
      </w:r>
      <w:r>
        <w:br/>
      </w:r>
      <w:r>
        <w:rPr>
          <w:b/>
        </w:rPr>
        <w:t>Tal como está en la fuente:</w:t>
      </w:r>
      <w:r>
        <w:t xml:space="preserve"> Y uno de los ancianos me dice: No llores: he aquí el león de la tribu de Judá, la raíz de David, que ha vencido para abrir el libro, y desatar sus siete sellos.</w:t>
      </w:r>
      <w:r>
        <w:t>; en el griego, «ha vencido el león de la tribu de Judá, la raíz de David, para abrir el libro y sus siete sellos», sin «desatar»</w:t>
      </w:r>
      <w:r>
        <w:t xml:space="preserve"> [original: «ἐνίκησεν ὁ λέων ὁ ἐκ τῆς φυλῆς Ἰούδα, ἡ ῥίζα Δαυίδ, ⸀ἀνοῖξαι τὸ βιβλίον καὶ τὰς ἑπτὰ σφραγῖδας αὐτοῦ», en el griego de la edición SBLGNT]</w:t>
      </w:r>
      <w:r>
        <w:t>. «Y miré; y he aquí en medio del trono y de los cuatro animales, y en medio de los ancianos, estaba un Cordero como inmolado»</w:t>
      </w:r>
      <w:r>
        <w:t xml:space="preserve"> (Ap 5:6)</w:t>
      </w:r>
      <w:r>
        <w:br/>
      </w:r>
      <w:r>
        <w:rPr>
          <w:b/>
        </w:rPr>
        <w:t>leída en su fuente · Ap 5:6</w:t>
      </w:r>
      <w:r>
        <w:br/>
      </w:r>
      <w:r>
        <w:rPr>
          <w:b/>
        </w:rPr>
        <w:t>Archivo leído:</w:t>
      </w:r>
      <w:r>
        <w:t xml:space="preserve"> spaRV1909_vpl.txt (biblia_rv1909\spaRV1909_vpl.txt) · contraste del archivo de pasajes: ✔</w:t>
      </w:r>
      <w:r>
        <w:br/>
      </w:r>
      <w:r>
        <w:rPr>
          <w:b/>
        </w:rPr>
        <w:t>Lugar:</w:t>
      </w:r>
      <w:r>
        <w:t xml:space="preserve"> Ap 5:6 (RV1909)</w:t>
      </w:r>
      <w:r>
        <w:br/>
      </w:r>
      <w:r>
        <w:rPr>
          <w:b/>
        </w:rPr>
        <w:t>Tal como está en la fuente:</w:t>
      </w:r>
      <w:r>
        <w:t xml:space="preserve"> Y miré; y he aquí en medio del trono y de los cuatro animales, y en medio de los ancianos, estaba un Cordero como inmolado, que tenía siete cuernos, y siete ojos, que son los siete Espíritus de Dios enviados en toda la tierra.</w:t>
      </w:r>
      <w:r>
        <w:t>. «Y MIRÉ cuando el Cordero abrió uno de los sellos, y oí á uno de los cuatro animales diciendo como con una voz de trueno: Ven y ve»</w:t>
      </w:r>
      <w:r>
        <w:t xml:space="preserve"> [original: «ἤνοιξεν τὸ ἀρνίον μίαν ἐκ τῶν ἑπτὰ σφραγίδων»]</w:t>
      </w:r>
      <w:r>
        <w:t xml:space="preserve"> (Ap 6:1)</w:t>
      </w:r>
      <w:r>
        <w:br/>
      </w:r>
      <w:r>
        <w:rPr>
          <w:b/>
        </w:rPr>
        <w:t>leída en su fuente · Ap 6:1</w:t>
      </w:r>
      <w:r>
        <w:br/>
      </w:r>
      <w:r>
        <w:rPr>
          <w:b/>
        </w:rPr>
        <w:t>Archivo leído:</w:t>
      </w:r>
      <w:r>
        <w:t xml:space="preserve"> sblgnt_Rev.txt (biblia_rv1909\spaRV1909_texto_corrido.txt) · contraste del archivo de pasajes: ✔</w:t>
      </w:r>
      <w:r>
        <w:br/>
      </w:r>
      <w:r>
        <w:rPr>
          <w:b/>
        </w:rPr>
        <w:t>Lugar:</w:t>
      </w:r>
      <w:r>
        <w:t xml:space="preserve"> Ap 6:1 (RV1909)</w:t>
      </w:r>
      <w:r>
        <w:br/>
      </w:r>
      <w:r>
        <w:rPr>
          <w:b/>
        </w:rPr>
        <w:t>Tal como está en la fuente:</w:t>
      </w:r>
      <w:r>
        <w:t xml:space="preserve"> Y MIRÉ cuando el Cordero abrió uno de los sellos, y oí á uno de los cuatro animales diciendo como con una voz de trueno: Ven y ve.</w:t>
      </w:r>
      <w:r>
        <w:t>.</w:t>
      </w:r>
    </w:p>
    <w:p>
      <w:pPr>
        <w:pStyle w:val="ListBullet"/>
      </w:pPr>
      <w:r>
        <w:rPr>
          <w:b/>
        </w:rPr>
        <w:t>El séptimo sello.</w:t>
      </w:r>
      <w:r>
        <w:t xml:space="preserve"> «Y CUANDO él abrió el séptimo sello, fué hecho silencio en el cielo casi por media hora»</w:t>
      </w:r>
      <w:r>
        <w:t xml:space="preserve"> [original: «ἤνοιξεν τὴν σφραγῖδα τὴν ἑβδόμην, ἐγένετο σιγὴ ἐν τῷ οὐρανῷ ὡς ἡμιώριον»]</w:t>
      </w:r>
      <w:r>
        <w:t xml:space="preserve"> (Ap 8:1)</w:t>
      </w:r>
      <w:r>
        <w:br/>
      </w:r>
      <w:r>
        <w:rPr>
          <w:b/>
        </w:rPr>
        <w:t>leída en su fuente · Ap 8:1</w:t>
      </w:r>
      <w:r>
        <w:br/>
      </w:r>
      <w:r>
        <w:rPr>
          <w:b/>
        </w:rPr>
        <w:t>Archivo leído:</w:t>
      </w:r>
      <w:r>
        <w:t xml:space="preserve"> sblgnt_Rev.txt (biblia_rv1909\spaRV1909_texto_corrido.txt) · contraste del archivo de pasajes: ✔</w:t>
      </w:r>
      <w:r>
        <w:br/>
      </w:r>
      <w:r>
        <w:rPr>
          <w:b/>
        </w:rPr>
        <w:t>Lugar:</w:t>
      </w:r>
      <w:r>
        <w:t xml:space="preserve"> Ap 8:1 (RV1909)</w:t>
      </w:r>
      <w:r>
        <w:br/>
      </w:r>
      <w:r>
        <w:rPr>
          <w:b/>
        </w:rPr>
        <w:t>Tal como está en la fuente:</w:t>
      </w:r>
      <w:r>
        <w:t xml:space="preserve"> Y CUANDO él abrió el séptimo sello, fué hecho silencio en el cielo casi por media hora.</w:t>
      </w:r>
      <w:r>
        <w:t>. «Y vi los siete ángeles que estaban delante de Dios; y les fueron dadas siete trompetas»</w:t>
      </w:r>
      <w:r>
        <w:t xml:space="preserve"> (Ap 8:2)</w:t>
      </w:r>
      <w:r>
        <w:br/>
      </w:r>
      <w:r>
        <w:rPr>
          <w:b/>
        </w:rPr>
        <w:t>leída en su fuente · Ap 8:2</w:t>
      </w:r>
      <w:r>
        <w:br/>
      </w:r>
      <w:r>
        <w:rPr>
          <w:b/>
        </w:rPr>
        <w:t>Archivo leído:</w:t>
      </w:r>
      <w:r>
        <w:t xml:space="preserve"> spaRV1909_vpl.txt (biblia_rv1909\spaRV1909_vpl.txt) · contraste del archivo de pasajes: ✔</w:t>
      </w:r>
      <w:r>
        <w:br/>
      </w:r>
      <w:r>
        <w:rPr>
          <w:b/>
        </w:rPr>
        <w:t>Lugar:</w:t>
      </w:r>
      <w:r>
        <w:t xml:space="preserve"> Ap 8:2 (RV1909)</w:t>
      </w:r>
      <w:r>
        <w:br/>
      </w:r>
      <w:r>
        <w:rPr>
          <w:b/>
        </w:rPr>
        <w:t>Tal como está en la fuente:</w:t>
      </w:r>
      <w:r>
        <w:t xml:space="preserve"> Y vi los siete ángeles que estaban delante de Dios; y les fueron dadas siete trompetas.</w:t>
      </w:r>
      <w:r>
        <w:t>. «Y el humo del incienso subió de la mano del ángel delante de Dios, con las oraciones de los santos»</w:t>
      </w:r>
      <w:r>
        <w:t xml:space="preserve"> (Ap 8:4)</w:t>
      </w:r>
      <w:r>
        <w:br/>
      </w:r>
      <w:r>
        <w:rPr>
          <w:b/>
        </w:rPr>
        <w:t>leída en su fuente · Ap 8:4</w:t>
      </w:r>
      <w:r>
        <w:br/>
      </w:r>
      <w:r>
        <w:rPr>
          <w:b/>
        </w:rPr>
        <w:t>Archivo leído:</w:t>
      </w:r>
      <w:r>
        <w:t xml:space="preserve"> spaRV1909_vpl.txt (biblia_rv1909\spaRV1909_vpl.txt) · contraste del archivo de pasajes: ✔</w:t>
      </w:r>
      <w:r>
        <w:br/>
      </w:r>
      <w:r>
        <w:rPr>
          <w:b/>
        </w:rPr>
        <w:t>Lugar:</w:t>
      </w:r>
      <w:r>
        <w:t xml:space="preserve"> Ap 8:2 (RV1909)</w:t>
      </w:r>
      <w:r>
        <w:br/>
      </w:r>
      <w:r>
        <w:rPr>
          <w:b/>
        </w:rPr>
        <w:t>Tal como está en la fuente:</w:t>
      </w:r>
      <w:r>
        <w:t xml:space="preserve"> Y el humo del incienso subió de la mano del ángel delante de Dios, con las oraciones de los santos.</w:t>
      </w:r>
      <w:r>
        <w:t>. «Y los siete ángeles que tenían las siete trompetas, se aparejaron para tocar»</w:t>
      </w:r>
      <w:r>
        <w:t xml:space="preserve"> (Ap 8:6)</w:t>
      </w:r>
      <w:r>
        <w:br/>
      </w:r>
      <w:r>
        <w:rPr>
          <w:b/>
        </w:rPr>
        <w:t>leída en su fuente · Ap 8:6</w:t>
      </w:r>
      <w:r>
        <w:br/>
      </w:r>
      <w:r>
        <w:rPr>
          <w:b/>
        </w:rPr>
        <w:t>Archivo leído:</w:t>
      </w:r>
      <w:r>
        <w:t xml:space="preserve"> spaRV1909_vpl.txt (biblia_rv1909\spaRV1909_vpl.txt) · contraste del archivo de pasajes: ✔</w:t>
      </w:r>
      <w:r>
        <w:br/>
      </w:r>
      <w:r>
        <w:rPr>
          <w:b/>
        </w:rPr>
        <w:t>Lugar:</w:t>
      </w:r>
      <w:r>
        <w:t xml:space="preserve"> Ap 8:2 (RV1909)</w:t>
      </w:r>
      <w:r>
        <w:br/>
      </w:r>
      <w:r>
        <w:rPr>
          <w:b/>
        </w:rPr>
        <w:t>Tal como está en la fuente:</w:t>
      </w:r>
      <w:r>
        <w:t xml:space="preserve"> Y los siete ángeles que tenían las siete trompetas, se aparejaron para tocar.</w:t>
      </w:r>
      <w:r>
        <w:t>.</w:t>
      </w:r>
    </w:p>
    <w:p>
      <w:pPr>
        <w:pStyle w:val="ListBullet"/>
      </w:pPr>
      <w:r>
        <w:rPr>
          <w:b/>
        </w:rPr>
        <w:t>Las trompetas.</w:t>
      </w:r>
      <w:r>
        <w:t xml:space="preserve"> Tras la sexta, «los otros hombres que no fueron muertos con estas plagas, aun no se arrepintieron de las obras de sus manos»</w:t>
      </w:r>
      <w:r>
        <w:t xml:space="preserve"> (Ap 9:20)</w:t>
      </w:r>
      <w:r>
        <w:br/>
      </w:r>
      <w:r>
        <w:rPr>
          <w:b/>
        </w:rPr>
        <w:t>leída en su fuente · Ap 9:20</w:t>
      </w:r>
      <w:r>
        <w:br/>
      </w:r>
      <w:r>
        <w:rPr>
          <w:b/>
        </w:rPr>
        <w:t>Archivo leído:</w:t>
      </w:r>
      <w:r>
        <w:t xml:space="preserve"> spaRV1909_vpl.txt (biblia_rv1909\spaRV1909_vpl.txt) · contraste del archivo de pasajes: ✔</w:t>
      </w:r>
      <w:r>
        <w:br/>
      </w:r>
      <w:r>
        <w:rPr>
          <w:b/>
        </w:rPr>
        <w:t>Lugar:</w:t>
      </w:r>
      <w:r>
        <w:t xml:space="preserve"> Ap 9:13 (RV1909)</w:t>
      </w:r>
      <w:r>
        <w:br/>
      </w:r>
      <w:r>
        <w:rPr>
          <w:b/>
        </w:rPr>
        <w:t>Tal como está en la fuente:</w:t>
      </w:r>
      <w:r>
        <w:t xml:space="preserve"> Y los otros hombres que no fueron muertos con estas plagas, aun no se arrepintieron de las obras de sus manos, para que no adorasen á los demonios, y á las imágenes de oro, y de plata, y de metal, y de piedra, y de madera; las cuales no pueden ver, ni oir, ni andar:</w:t>
      </w:r>
      <w:r>
        <w:t>. Con la séptima: «Y se han airado las naciones, y tu ira es venida, y el tiempo de los muertos, para que sean juzgados, y para que des el galardón á tus siervos los profetas, y á los santos, y á los que temen tu nombre, á los pequeñitos y á los grandes, y para que destruyas los que destruyen la tierra»</w:t>
      </w:r>
      <w:r>
        <w:t xml:space="preserve"> (Ap 11:18)</w:t>
      </w:r>
      <w:r>
        <w:br/>
      </w:r>
      <w:r>
        <w:rPr>
          <w:b/>
        </w:rPr>
        <w:t>leída en su fuente · Ap 11:18</w:t>
      </w:r>
      <w:r>
        <w:br/>
      </w:r>
      <w:r>
        <w:rPr>
          <w:b/>
        </w:rPr>
        <w:t>Archivo leído:</w:t>
      </w:r>
      <w:r>
        <w:t xml:space="preserve"> sblgnt_Rev.txt (biblia_rv1909\spaRV1909_texto_corrido.txt) · contraste del archivo de pasajes: ✔</w:t>
      </w:r>
      <w:r>
        <w:br/>
      </w:r>
      <w:r>
        <w:rPr>
          <w:b/>
        </w:rPr>
        <w:t>Lugar:</w:t>
      </w:r>
      <w:r>
        <w:t xml:space="preserve"> Ap 11:15 (RV1909)</w:t>
      </w:r>
      <w:r>
        <w:br/>
      </w:r>
      <w:r>
        <w:rPr>
          <w:b/>
        </w:rPr>
        <w:t>Tal como está en la fuente:</w:t>
      </w:r>
      <w:r>
        <w:t xml:space="preserve"> Y se han airado las naciones, y tu ira es venida, y el tiempo de los muertos, para que sean juzgados, y para que des el galardón á tus siervos los profetas, y á los santos, y á los que temen tu nombre, á los pequeñitos y á los grandes, y para que destruyas los que destruyen la tierra.</w:t>
      </w:r>
      <w:r>
        <w:t>.</w:t>
      </w:r>
    </w:p>
    <w:p>
      <w:pPr>
        <w:pStyle w:val="ListBullet"/>
      </w:pPr>
      <w:r>
        <w:rPr>
          <w:b/>
        </w:rPr>
        <w:t>De quién es el juicio.</w:t>
      </w:r>
      <w:r>
        <w:t xml:space="preserve"> «Y clamaban en alta voz diciendo: ¿Hasta cuándo, Señor, santo y verdadero, no juzgas y vengas nuestra sangre de los que moran en la tierra?»</w:t>
      </w:r>
      <w:r>
        <w:t xml:space="preserve"> (Ap 6:10)</w:t>
      </w:r>
      <w:r>
        <w:br/>
      </w:r>
      <w:r>
        <w:rPr>
          <w:b/>
        </w:rPr>
        <w:t>leída en su fuente · Ap 6:10</w:t>
      </w:r>
      <w:r>
        <w:br/>
      </w:r>
      <w:r>
        <w:rPr>
          <w:b/>
        </w:rPr>
        <w:t>Archivo leído:</w:t>
      </w:r>
      <w:r>
        <w:t xml:space="preserve"> spaRV1909_vpl.txt (biblia_rv1909\spaRV1909_vpl.txt) · contraste del archivo de pasajes: ✔</w:t>
      </w:r>
      <w:r>
        <w:br/>
      </w:r>
      <w:r>
        <w:rPr>
          <w:b/>
        </w:rPr>
        <w:t>Lugar:</w:t>
      </w:r>
      <w:r>
        <w:t xml:space="preserve"> Ap 6:9 (RV1909)</w:t>
      </w:r>
      <w:r>
        <w:br/>
      </w:r>
      <w:r>
        <w:rPr>
          <w:b/>
        </w:rPr>
        <w:t>Tal como está en la fuente:</w:t>
      </w:r>
      <w:r>
        <w:t xml:space="preserve"> Y clamaban en alta voz diciendo: ¿Hasta cuándo, Señor, santo y verdadero, no juzgas y vengas nuestra sangre de los que moran en la tierra?</w:t>
      </w:r>
      <w:r>
        <w:t>. «Y decían á los montes y á las peñas: Caed sobre nosotros, y escondednos de la cara de aquél que está sentado sobre el trono, y de la ira del Cordero»</w:t>
      </w:r>
      <w:r>
        <w:t xml:space="preserve"> (Ap 6:16)</w:t>
      </w:r>
      <w:r>
        <w:br/>
      </w:r>
      <w:r>
        <w:rPr>
          <w:b/>
        </w:rPr>
        <w:t>leída en su fuente · Ap 6:16</w:t>
      </w:r>
      <w:r>
        <w:br/>
      </w:r>
      <w:r>
        <w:rPr>
          <w:b/>
        </w:rPr>
        <w:t>Archivo leído:</w:t>
      </w:r>
      <w:r>
        <w:t xml:space="preserve"> spaRV1909_vpl.txt (biblia_rv1909\spaRV1909_vpl.txt) · contraste del archivo de pasajes: ✔</w:t>
      </w:r>
      <w:r>
        <w:br/>
      </w:r>
      <w:r>
        <w:rPr>
          <w:b/>
        </w:rPr>
        <w:t>Lugar:</w:t>
      </w:r>
      <w:r>
        <w:t xml:space="preserve"> Ap 6:12 (RV1909)</w:t>
      </w:r>
      <w:r>
        <w:br/>
      </w:r>
      <w:r>
        <w:rPr>
          <w:b/>
        </w:rPr>
        <w:t>Tal como está en la fuente:</w:t>
      </w:r>
      <w:r>
        <w:t xml:space="preserve"> Y decían á los montes y á las peñas: Caed sobre nosotros, y escondednos de la cara de aquél que está sentado sobre el trono, y de la ira del Cordero:</w:t>
      </w:r>
      <w:r>
        <w:t>. «Porque el gran día de su ira es venido; ¿y quién podrá estar firme?»</w:t>
      </w:r>
      <w:r>
        <w:t xml:space="preserve"> (Ap 6:17)</w:t>
      </w:r>
      <w:r>
        <w:br/>
      </w:r>
      <w:r>
        <w:rPr>
          <w:b/>
        </w:rPr>
        <w:t>leída en su fuente · Ap 6:17</w:t>
      </w:r>
      <w:r>
        <w:br/>
      </w:r>
      <w:r>
        <w:rPr>
          <w:b/>
        </w:rPr>
        <w:t>Archivo leído:</w:t>
      </w:r>
      <w:r>
        <w:t xml:space="preserve"> spaRV1909_vpl.txt (biblia_rv1909\spaRV1909_vpl.txt) · contraste del archivo de pasajes: ✔</w:t>
      </w:r>
      <w:r>
        <w:br/>
      </w:r>
      <w:r>
        <w:rPr>
          <w:b/>
        </w:rPr>
        <w:t>Lugar:</w:t>
      </w:r>
      <w:r>
        <w:t xml:space="preserve"> Ap 6:12 (RV1909)</w:t>
      </w:r>
      <w:r>
        <w:br/>
      </w:r>
      <w:r>
        <w:rPr>
          <w:b/>
        </w:rPr>
        <w:t>Tal como está en la fuente:</w:t>
      </w:r>
      <w:r>
        <w:t xml:space="preserve"> Porque el gran día de su ira es venido; ¿y quién podrá estar firme?</w:t>
      </w:r>
      <w:r>
        <w:t>. Ap 20:12, los libros abiertos y los muertos juzgados según sus obras, ya está en el punto 14; y sigue: «Y el mar dió los muertos que estaban en él; y la muerte y el infierno dieron los muertos que estaban en ellos; y fué hecho juicio de cada uno según sus obras»</w:t>
      </w:r>
      <w:r>
        <w:t xml:space="preserve"> (Ap 20:13)</w:t>
      </w:r>
      <w:r>
        <w:br/>
      </w:r>
      <w:r>
        <w:rPr>
          <w:b/>
        </w:rPr>
        <w:t>leída en su fuente · Ap 20:13</w:t>
      </w:r>
      <w:r>
        <w:br/>
      </w:r>
      <w:r>
        <w:rPr>
          <w:b/>
        </w:rPr>
        <w:t>Archivo leído:</w:t>
      </w:r>
      <w:r>
        <w:t xml:space="preserve"> 3 LO QUE TODAS LAS TRADICIONES GUARDARON - EL ARCA.md (biblia_rv1909\spaRV1909_texto_corrido.txt) · contraste del archivo de pasajes: ✔</w:t>
      </w:r>
      <w:r>
        <w:br/>
      </w:r>
      <w:r>
        <w:rPr>
          <w:b/>
        </w:rPr>
        <w:t>Lugar:</w:t>
      </w:r>
      <w:r>
        <w:t xml:space="preserve"> Ap 20:11 (RV1909)</w:t>
      </w:r>
      <w:r>
        <w:br/>
      </w:r>
      <w:r>
        <w:rPr>
          <w:b/>
        </w:rPr>
        <w:t>Tal como está en la fuente:</w:t>
      </w:r>
      <w:r>
        <w:t xml:space="preserve"> Y el mar dió los muertos que estaban en él; y la muerte y el infierno dieron los muertos que estaban en ellos; y fué hecho juicio de cada uno según sus obras.</w:t>
      </w:r>
      <w:r>
        <w:t>. La otra cara, en el mismo capítulo: «Y vi tronos, y se sentaron sobre ellos, y les fué dado juicio; y [vi] las almas de los degollados por el testimonio de Jesús, y por la palabra de Dios, y que no habían adorado la bestia, ni á su imagen, y que no recibieron la señal en sus frentes, ni en sus manos; y vivieron y reinaron con Cristo mil años»</w:t>
      </w:r>
      <w:r>
        <w:t xml:space="preserve"> (Ap 20:4)</w:t>
      </w:r>
      <w:r>
        <w:br/>
      </w:r>
      <w:r>
        <w:rPr>
          <w:b/>
        </w:rPr>
        <w:t>leída en su fuente · Ap 20:4</w:t>
      </w:r>
      <w:r>
        <w:br/>
      </w:r>
      <w:r>
        <w:rPr>
          <w:b/>
        </w:rPr>
        <w:t>Original donde está:</w:t>
      </w:r>
      <w:r>
        <w:t xml:space="preserve"> spaRV1909_vpl.txt</w:t>
      </w:r>
      <w:r>
        <w:br/>
      </w:r>
      <w:r>
        <w:t>El pasaje literal no está en el archivo de pasajes con este comienzo; la auditoría lo halló en ese original.</w:t>
      </w:r>
      <w:r>
        <w:t>.</w:t>
      </w:r>
    </w:p>
    <w:p>
      <w:pPr>
        <w:pStyle w:val="ListBullet"/>
      </w:pPr>
      <w:r>
        <w:rPr>
          <w:b/>
        </w:rPr>
        <w:t>El cuándo, las dos caras.</w:t>
      </w:r>
      <w:r>
        <w:t xml:space="preserve"> «Bienaventurado el que lee, y los que oyen las palabras de esta profecía, y guardan las cosas en ella escritas: porque el tiempo está cerca»</w:t>
      </w:r>
      <w:r>
        <w:t xml:space="preserve"> (Ap 1:3)</w:t>
      </w:r>
      <w:r>
        <w:br/>
      </w:r>
      <w:r>
        <w:rPr>
          <w:b/>
        </w:rPr>
        <w:t>leída en su fuente · Ap 1:3</w:t>
      </w:r>
      <w:r>
        <w:br/>
      </w:r>
      <w:r>
        <w:rPr>
          <w:b/>
        </w:rPr>
        <w:t>Archivo leído:</w:t>
      </w:r>
      <w:r>
        <w:t xml:space="preserve"> sblgnt_Rev.txt (biblia_rv1909\spaRV1909_texto_corrido.txt) · contraste del archivo de pasajes: ✔</w:t>
      </w:r>
      <w:r>
        <w:br/>
      </w:r>
      <w:r>
        <w:rPr>
          <w:b/>
        </w:rPr>
        <w:t>Lugar:</w:t>
      </w:r>
      <w:r>
        <w:t xml:space="preserve"> Ap 1:3 (RV1909)</w:t>
      </w:r>
      <w:r>
        <w:br/>
      </w:r>
      <w:r>
        <w:rPr>
          <w:b/>
        </w:rPr>
        <w:t>Tal como está en la fuente:</w:t>
      </w:r>
      <w:r>
        <w:t xml:space="preserve"> Bienaventurado el que lee, y los que oyen las palabras de esta profecía, y guardan las cosas en ella escritas: porque el tiempo está cerca.</w:t>
      </w:r>
      <w:r>
        <w:t>. «Y me dijo: No selles las palabras de la profecía de este libro; porque el tiempo está cerca»</w:t>
      </w:r>
      <w:r>
        <w:t xml:space="preserve"> (Ap 22:10)</w:t>
      </w:r>
      <w:r>
        <w:br/>
      </w:r>
      <w:r>
        <w:rPr>
          <w:b/>
        </w:rPr>
        <w:t>leída en su fuente · Ap 22:10</w:t>
      </w:r>
      <w:r>
        <w:br/>
      </w:r>
      <w:r>
        <w:rPr>
          <w:b/>
        </w:rPr>
        <w:t>Archivo leído:</w:t>
      </w:r>
      <w:r>
        <w:t xml:space="preserve"> sblgnt_Rev.txt (biblia_rv1909\spaRV1909_texto_corrido.txt) · contraste del archivo de pasajes: ✔</w:t>
      </w:r>
      <w:r>
        <w:br/>
      </w:r>
      <w:r>
        <w:rPr>
          <w:b/>
        </w:rPr>
        <w:t>Lugar:</w:t>
      </w:r>
      <w:r>
        <w:t xml:space="preserve"> Ap 22:10 (RV1909)</w:t>
      </w:r>
      <w:r>
        <w:br/>
      </w:r>
      <w:r>
        <w:rPr>
          <w:b/>
        </w:rPr>
        <w:t>Tal como está en la fuente:</w:t>
      </w:r>
      <w:r>
        <w:t xml:space="preserve"> Y me dijo: No selles las palabras de la profecía de este libro; porque el tiempo está cerca.</w:t>
      </w:r>
      <w:r>
        <w:t>. Y: «Empero del día y hora nadie sabe, ni aun los ángeles de los cielos, sino mi Padre solo»</w:t>
      </w:r>
      <w:r>
        <w:t xml:space="preserve"> (Mt 24:36)</w:t>
      </w:r>
      <w:r>
        <w:br/>
      </w:r>
      <w:r>
        <w:rPr>
          <w:b/>
        </w:rPr>
        <w:t>leída en su fuente · Mt 24:36</w:t>
      </w:r>
      <w:r>
        <w:br/>
      </w:r>
      <w:r>
        <w:rPr>
          <w:b/>
        </w:rPr>
        <w:t>Archivo leído:</w:t>
      </w:r>
      <w:r>
        <w:t xml:space="preserve"> sblgnt_Matt.txt (biblia_rv1909\spaRV1909_texto_corrido.txt) · contraste del archivo de pasajes: ✔</w:t>
      </w:r>
      <w:r>
        <w:br/>
      </w:r>
      <w:r>
        <w:rPr>
          <w:b/>
        </w:rPr>
        <w:t>Lugar:</w:t>
      </w:r>
      <w:r>
        <w:t xml:space="preserve"> Mt 24:36 (RV1909)</w:t>
      </w:r>
      <w:r>
        <w:br/>
      </w:r>
      <w:r>
        <w:rPr>
          <w:b/>
        </w:rPr>
        <w:t>Tal como está en la fuente:</w:t>
      </w:r>
      <w:r>
        <w:t xml:space="preserve"> Empero del día y hora nadie sabe, ni aun los ángeles de los cielos, sino mi Padre solo.</w:t>
      </w:r>
      <w:r>
        <w:t>; el griego de la edición SBLGNT añade, entre marcas de variante, «ni el Hijo»</w:t>
      </w:r>
      <w:r>
        <w:t xml:space="preserve"> [original: «⸂οὐδὲ ὁ υἱός⸃»]</w:t>
      </w:r>
      <w:r>
        <w:t>, como dice Marcos 13:32 en la Reina-Valera. «Velad pues, porque no sabéis á qué hora ha de venir vuestro Señor»</w:t>
      </w:r>
      <w:r>
        <w:t xml:space="preserve"> (Mt 24:42)</w:t>
      </w:r>
      <w:r>
        <w:br/>
      </w:r>
      <w:r>
        <w:rPr>
          <w:b/>
        </w:rPr>
        <w:t>leída en su fuente · Mt 24:42</w:t>
      </w:r>
      <w:r>
        <w:br/>
      </w:r>
      <w:r>
        <w:rPr>
          <w:b/>
        </w:rPr>
        <w:t>Archivo leído:</w:t>
      </w:r>
      <w:r>
        <w:t xml:space="preserve"> spaRV1909_vpl.txt (biblia_rv1909\spaRV1909_vpl.txt) · contraste del archivo de pasajes: ✔</w:t>
      </w:r>
      <w:r>
        <w:br/>
      </w:r>
      <w:r>
        <w:rPr>
          <w:b/>
        </w:rPr>
        <w:t>Lugar:</w:t>
      </w:r>
      <w:r>
        <w:t xml:space="preserve"> Mt 24:42 (RV1909)</w:t>
      </w:r>
      <w:r>
        <w:br/>
      </w:r>
      <w:r>
        <w:rPr>
          <w:b/>
        </w:rPr>
        <w:t>Tal como está en la fuente:</w:t>
      </w:r>
      <w:r>
        <w:t xml:space="preserve"> Velad pues, porque no sabéis á qué hora ha de venir vuestro Señor.</w:t>
      </w:r>
      <w:r>
        <w:t>. «El Señor no tarda su promesa, como algunos la tienen por tardanza; sino que es paciente para con nosotros, no queriendo que ninguno perezca, sino que todos procedan al arrepentimiento»</w:t>
      </w:r>
      <w:r>
        <w:t xml:space="preserve"> (2 P 3:9)</w:t>
      </w:r>
      <w:r>
        <w:br/>
      </w:r>
      <w:r>
        <w:rPr>
          <w:b/>
        </w:rPr>
        <w:t>leída en su fuente · 2 P 3:9</w:t>
      </w:r>
      <w:r>
        <w:br/>
      </w:r>
      <w:r>
        <w:rPr>
          <w:b/>
        </w:rPr>
        <w:t>Archivo leído:</w:t>
      </w:r>
      <w:r>
        <w:t xml:space="preserve"> spaRV1909_vpl.txt (biblia_rv1909\spaRV1909_vpl.txt) · contraste del archivo de pasajes: ✔</w:t>
      </w:r>
      <w:r>
        <w:br/>
      </w:r>
      <w:r>
        <w:rPr>
          <w:b/>
        </w:rPr>
        <w:t>Lugar:</w:t>
      </w:r>
      <w:r>
        <w:t xml:space="preserve"> 2 P 3:8 (RV1909)</w:t>
      </w:r>
      <w:r>
        <w:br/>
      </w:r>
      <w:r>
        <w:rPr>
          <w:b/>
        </w:rPr>
        <w:t>Tal como está en la fuente:</w:t>
      </w:r>
      <w:r>
        <w:t xml:space="preserve"> El Señor no tarda su promesa, como algunos la tienen por tardanza; sino que es paciente para con nosotros, no queriendo que ninguno perezca, sino que todos procedan al arrepentimiento.</w:t>
      </w:r>
      <w:r>
        <w:t>.</w:t>
      </w:r>
    </w:p>
    <w:p>
      <w:r>
        <w:rPr>
          <w:b/>
        </w:rPr>
        <w:t>16. El ungido, tal como lo dice el texto</w:t>
      </w:r>
      <w:r>
        <w:t xml:space="preserve"> (dos lotes más, leídos el 12-oct-2026: la Reina-Valera Antigua, con el hebreo del códice de Leningrado; la Bhagavad Gita en la traducción inglesa de Arnold, y el Shujing y Mencio en la de Legge; las traducciones del inglés son de esta edición).</w:t>
      </w:r>
    </w:p>
    <w:p>
      <w:pPr>
        <w:pStyle w:val="ListBullet"/>
      </w:pPr>
      <w:r>
        <w:rPr>
          <w:b/>
        </w:rPr>
        <w:t>La palabra.</w:t>
      </w:r>
      <w:r>
        <w:t xml:space="preserve"> «Este halló primero á su hermano Simón, y díjole: Hemos hallado al Mesías (que declarado es, el Cristo)»</w:t>
      </w:r>
      <w:r>
        <w:t xml:space="preserve"> (Jn 1:41)</w:t>
      </w:r>
      <w:r>
        <w:br/>
      </w:r>
      <w:r>
        <w:rPr>
          <w:b/>
        </w:rPr>
        <w:t>leída en su fuente · Jn 1:41</w:t>
      </w:r>
      <w:r>
        <w:br/>
      </w:r>
      <w:r>
        <w:rPr>
          <w:b/>
        </w:rPr>
        <w:t>Archivo leído:</w:t>
      </w:r>
      <w:r>
        <w:t xml:space="preserve"> sblgnt_John.txt (biblia_rv1909\spaRV1909_texto_corrido.txt) · contraste del archivo de pasajes: ✔</w:t>
      </w:r>
      <w:r>
        <w:br/>
      </w:r>
      <w:r>
        <w:rPr>
          <w:b/>
        </w:rPr>
        <w:t>Lugar:</w:t>
      </w:r>
      <w:r>
        <w:t xml:space="preserve"> Jn 1:41 (RV1909)</w:t>
      </w:r>
      <w:r>
        <w:br/>
      </w:r>
      <w:r>
        <w:rPr>
          <w:b/>
        </w:rPr>
        <w:t>Tal como está en la fuente:</w:t>
      </w:r>
      <w:r>
        <w:t xml:space="preserve"> Este halló primero á su hermano Simón, y díjole: Hemos hallado al Mesías (que declarado es, el Cristo).</w:t>
      </w:r>
      <w:r>
        <w:t>. «Dícele la mujer: Sé que el Mesías ha de venir, el cual se dice el Cristo: cuando él viniere nos declarará todas las cosas»</w:t>
      </w:r>
      <w:r>
        <w:t xml:space="preserve"> (Jn 4:25)</w:t>
      </w:r>
      <w:r>
        <w:br/>
      </w:r>
      <w:r>
        <w:rPr>
          <w:b/>
        </w:rPr>
        <w:t>leída en su fuente · Jn 4:25</w:t>
      </w:r>
      <w:r>
        <w:br/>
      </w:r>
      <w:r>
        <w:rPr>
          <w:b/>
        </w:rPr>
        <w:t>Archivo leído:</w:t>
      </w:r>
      <w:r>
        <w:t xml:space="preserve"> sblgnt_John.txt (biblia_rv1909\spaRV1909_texto_corrido.txt) · contraste del archivo de pasajes: ✔</w:t>
      </w:r>
      <w:r>
        <w:br/>
      </w:r>
      <w:r>
        <w:rPr>
          <w:b/>
        </w:rPr>
        <w:t>Lugar:</w:t>
      </w:r>
      <w:r>
        <w:t xml:space="preserve"> Jn 1:41 (RV1909)</w:t>
      </w:r>
      <w:r>
        <w:br/>
      </w:r>
      <w:r>
        <w:rPr>
          <w:b/>
        </w:rPr>
        <w:t>Tal como está en la fuente:</w:t>
      </w:r>
      <w:r>
        <w:t xml:space="preserve"> Dícele la mujer: Sé que el Mesías ha de venir, el cual se dice el Cristo: cuando él viniere nos declarará todas las cosas.</w:t>
      </w:r>
      <w:r>
        <w:t>. «Sepa pues ciertísimamente toda la casa de Israel, que á éste Jesús que vosotros crucificasteis, Dios ha hecho Señor y Cristo»</w:t>
      </w:r>
      <w:r>
        <w:t xml:space="preserve"> (Hch 2:36)</w:t>
      </w:r>
      <w:r>
        <w:br/>
      </w:r>
      <w:r>
        <w:rPr>
          <w:b/>
        </w:rPr>
        <w:t>leída en su fuente · Hch 2:36</w:t>
      </w:r>
      <w:r>
        <w:br/>
      </w:r>
      <w:r>
        <w:rPr>
          <w:b/>
        </w:rPr>
        <w:t>Archivo leído:</w:t>
      </w:r>
      <w:r>
        <w:t xml:space="preserve"> sblgnt_Acts.txt (biblia_rv1909\spaRV1909_texto_corrido.txt) · contraste del archivo de pasajes: ✔</w:t>
      </w:r>
      <w:r>
        <w:br/>
      </w:r>
      <w:r>
        <w:rPr>
          <w:b/>
        </w:rPr>
        <w:t>Lugar:</w:t>
      </w:r>
      <w:r>
        <w:t xml:space="preserve"> Hch 2:36 (RV1909)</w:t>
      </w:r>
      <w:r>
        <w:br/>
      </w:r>
      <w:r>
        <w:rPr>
          <w:b/>
        </w:rPr>
        <w:t>Tal como está en la fuente:</w:t>
      </w:r>
      <w:r>
        <w:t xml:space="preserve"> Sepa pues ciertísimamente toda la casa de Israel, que á éste Jesús que vosotros crucificasteis, Dios ha hecho Señor y Cristo.</w:t>
      </w:r>
      <w:r>
        <w:t>. «[Cuanto] á Jesús de Nazaret; cómo le ungió Dios de Espíritu Santo y de potencia»</w:t>
      </w:r>
      <w:r>
        <w:t xml:space="preserve"> (Hch 10:38)</w:t>
      </w:r>
      <w:r>
        <w:br/>
      </w:r>
      <w:r>
        <w:rPr>
          <w:b/>
        </w:rPr>
        <w:t>leída en su fuente · Hch 10:38</w:t>
      </w:r>
      <w:r>
        <w:br/>
      </w:r>
      <w:r>
        <w:rPr>
          <w:b/>
        </w:rPr>
        <w:t>Archivo leído:</w:t>
      </w:r>
      <w:r>
        <w:t xml:space="preserve"> sblgnt_Acts.txt (biblia_rv1909\spaRV1909_texto_corrido.txt) · contraste del archivo de pasajes: ✔</w:t>
      </w:r>
      <w:r>
        <w:br/>
      </w:r>
      <w:r>
        <w:rPr>
          <w:b/>
        </w:rPr>
        <w:t>Lugar:</w:t>
      </w:r>
      <w:r>
        <w:t xml:space="preserve"> Hch 10:38 (RV1909)</w:t>
      </w:r>
      <w:r>
        <w:br/>
      </w:r>
      <w:r>
        <w:rPr>
          <w:b/>
        </w:rPr>
        <w:t>Tal como está en la fuente:</w:t>
      </w:r>
      <w:r>
        <w:t xml:space="preserve"> [Cuanto] á Jesús de Nazaret; cómo le ungió Dios de Espíritu Santo y de potencia; el cual anduvo haciendo bienes, y sanando á todos los oprimidos del diablo; porque Dios era con él.</w:t>
      </w:r>
      <w:r>
        <w:t>. «Si sacerdote ungido pecare según el pecado del pueblo, ofrecerá á Jehová, por su pecado que habrá cometido, un becerro sin tacha para expiación»</w:t>
      </w:r>
      <w:r>
        <w:t xml:space="preserve"> (Lv 4:3)</w:t>
      </w:r>
      <w:r>
        <w:br/>
      </w:r>
      <w:r>
        <w:rPr>
          <w:b/>
        </w:rPr>
        <w:t>leída en su fuente · Lv 4:3</w:t>
      </w:r>
      <w:r>
        <w:br/>
      </w:r>
      <w:r>
        <w:rPr>
          <w:b/>
        </w:rPr>
        <w:t>Archivo leído:</w:t>
      </w:r>
      <w:r>
        <w:t xml:space="preserve"> Lev.txt (biblia_rv1909\spaRV1909_texto_corrido.txt) · contraste del archivo de pasajes: ✔</w:t>
      </w:r>
      <w:r>
        <w:br/>
      </w:r>
      <w:r>
        <w:rPr>
          <w:b/>
        </w:rPr>
        <w:t>Lugar:</w:t>
      </w:r>
      <w:r>
        <w:t xml:space="preserve"> Lv 4:3 (RV1909)</w:t>
      </w:r>
      <w:r>
        <w:br/>
      </w:r>
      <w:r>
        <w:rPr>
          <w:b/>
        </w:rPr>
        <w:t>Tal como está en la fuente:</w:t>
      </w:r>
      <w:r>
        <w:t xml:space="preserve"> Si sacerdote ungido pecare según el pecado del pueblo, ofrecerá á Jehová, por su pecado que habrá cometido, un becerro sin tacha para expiación.</w:t>
      </w:r>
      <w:r>
        <w:t>. «Y dijo á los suyos: Jehová me guarde de hacer tal cosa contra mi señor, el ungido de Jehová, que yo extienda mi mano contra él; porque es el ungido de Jehová»</w:t>
      </w:r>
      <w:r>
        <w:t xml:space="preserve"> (1 S 24:7)</w:t>
      </w:r>
      <w:r>
        <w:br/>
      </w:r>
      <w:r>
        <w:rPr>
          <w:b/>
        </w:rPr>
        <w:t>leída en su fuente · 1 S 24:7</w:t>
      </w:r>
      <w:r>
        <w:br/>
      </w:r>
      <w:r>
        <w:rPr>
          <w:b/>
        </w:rPr>
        <w:t>Archivo leído:</w:t>
      </w:r>
      <w:r>
        <w:t xml:space="preserve"> 1Sam.txt (biblia_rv1909\spaRV1909_texto_corrido.txt) · contraste del archivo de pasajes: ✔</w:t>
      </w:r>
      <w:r>
        <w:br/>
      </w:r>
      <w:r>
        <w:rPr>
          <w:b/>
        </w:rPr>
        <w:t>Lugar:</w:t>
      </w:r>
      <w:r>
        <w:t xml:space="preserve"> 1 S 24:7 (RV1909)</w:t>
      </w:r>
      <w:r>
        <w:br/>
      </w:r>
      <w:r>
        <w:rPr>
          <w:b/>
        </w:rPr>
        <w:t>Tal como está en la fuente:</w:t>
      </w:r>
      <w:r>
        <w:t xml:space="preserve"> Y dijo á los suyos: Jehová me guarde de hacer tal cosa contra mi señor, el ungido de Jehová, que yo extienda mi mano contra él; porque es el ungido de Jehová.</w:t>
      </w:r>
      <w:r>
        <w:t>. «ASÍ dice Jehová á su ungido, á Ciro»</w:t>
      </w:r>
      <w:r>
        <w:t xml:space="preserve"> (Is 45:1)</w:t>
      </w:r>
      <w:r>
        <w:br/>
      </w:r>
      <w:r>
        <w:rPr>
          <w:b/>
        </w:rPr>
        <w:t>leída en su fuente · Is 45:1</w:t>
      </w:r>
      <w:r>
        <w:br/>
      </w:r>
      <w:r>
        <w:rPr>
          <w:b/>
        </w:rPr>
        <w:t>Archivo leído:</w:t>
      </w:r>
      <w:r>
        <w:t xml:space="preserve"> Isa.txt (biblia_rv1909\spaRV1909_texto_corrido.txt) · contraste del archivo de pasajes: ✔</w:t>
      </w:r>
      <w:r>
        <w:br/>
      </w:r>
      <w:r>
        <w:rPr>
          <w:b/>
        </w:rPr>
        <w:t>Lugar:</w:t>
      </w:r>
      <w:r>
        <w:t xml:space="preserve"> Is 45:1 (RV1909)</w:t>
      </w:r>
      <w:r>
        <w:br/>
      </w:r>
      <w:r>
        <w:rPr>
          <w:b/>
        </w:rPr>
        <w:t>Tal como está en la fuente:</w:t>
      </w:r>
      <w:r>
        <w:t xml:space="preserve"> ASÍ dice Jehová á su ungido, á Ciro, al cual tomé yo por su mano derecha, para sujetar gentes delante de él y desatar lomos de reyes; para abrir delante de él puertas, y las puertas no se cerrarán:</w:t>
      </w:r>
      <w:r>
        <w:t>. «Por amor de mi siervo Jacob, y de Israel mi escogido, te llamé por tu nombre; púsete sobrenombre, aunque no me conociste»</w:t>
      </w:r>
      <w:r>
        <w:t xml:space="preserve"> (Is 45:4)</w:t>
      </w:r>
      <w:r>
        <w:br/>
      </w:r>
      <w:r>
        <w:rPr>
          <w:b/>
        </w:rPr>
        <w:t>leída en su fuente · Is 45:4</w:t>
      </w:r>
      <w:r>
        <w:br/>
      </w:r>
      <w:r>
        <w:rPr>
          <w:b/>
        </w:rPr>
        <w:t>Archivo leído:</w:t>
      </w:r>
      <w:r>
        <w:t xml:space="preserve"> Isa.txt (biblia_rv1909\spaRV1909_texto_corrido.txt) · contraste del archivo de pasajes: ✔</w:t>
      </w:r>
      <w:r>
        <w:br/>
      </w:r>
      <w:r>
        <w:rPr>
          <w:b/>
        </w:rPr>
        <w:t>Lugar:</w:t>
      </w:r>
      <w:r>
        <w:t xml:space="preserve"> Is 45:1 (RV1909)</w:t>
      </w:r>
      <w:r>
        <w:br/>
      </w:r>
      <w:r>
        <w:rPr>
          <w:b/>
        </w:rPr>
        <w:t>Tal como está en la fuente:</w:t>
      </w:r>
      <w:r>
        <w:t xml:space="preserve"> Por amor de mi siervo Jacob, y de Israel mi escogido, te llamé por tu nombre; púsete sobrenombre, aunque no me conociste.</w:t>
      </w:r>
      <w:r>
        <w:t>.</w:t>
      </w:r>
    </w:p>
    <w:p>
      <w:pPr>
        <w:pStyle w:val="ListBullet"/>
      </w:pPr>
      <w:r>
        <w:rPr>
          <w:b/>
        </w:rPr>
        <w:t>Untar, y para qué.</w:t>
      </w:r>
      <w:r>
        <w:t xml:space="preserve"> «Edificaré para mí casa espaciosa, y airosas salas; y le abre ventanas, y la cubre de cedro, y la pinta de bermellón»</w:t>
      </w:r>
      <w:r>
        <w:t xml:space="preserve"> (Jer 22:14)</w:t>
      </w:r>
      <w:r>
        <w:br/>
      </w:r>
      <w:r>
        <w:rPr>
          <w:b/>
        </w:rPr>
        <w:t>leída en su fuente · Jer 22:14</w:t>
      </w:r>
      <w:r>
        <w:br/>
      </w:r>
      <w:r>
        <w:rPr>
          <w:b/>
        </w:rPr>
        <w:t>Archivo leído:</w:t>
      </w:r>
      <w:r>
        <w:t xml:space="preserve"> Isa.txt (biblia_rv1909\spaRV1909_texto_corrido.txt) · contraste del archivo de pasajes: ✔</w:t>
      </w:r>
      <w:r>
        <w:br/>
      </w:r>
      <w:r>
        <w:rPr>
          <w:b/>
        </w:rPr>
        <w:t>Lugar:</w:t>
      </w:r>
      <w:r>
        <w:t xml:space="preserve"> Jer 22:14 (RV1909)</w:t>
      </w:r>
      <w:r>
        <w:br/>
      </w:r>
      <w:r>
        <w:rPr>
          <w:b/>
        </w:rPr>
        <w:t>Tal como está en la fuente:</w:t>
      </w:r>
      <w:r>
        <w:t xml:space="preserve"> Que dice: Edificaré para mí casa espaciosa, y airosas salas; y le abre ventanas, y la cubre de cedro, y la pinta de bermellón.</w:t>
      </w:r>
      <w:r>
        <w:t>; «levantaos, príncipes, ungid el escudo»</w:t>
      </w:r>
      <w:r>
        <w:t xml:space="preserve"> (Is 21:5)</w:t>
      </w:r>
      <w:r>
        <w:br/>
      </w:r>
      <w:r>
        <w:rPr>
          <w:b/>
        </w:rPr>
        <w:t>leída en su fuente · Is 21:5</w:t>
      </w:r>
      <w:r>
        <w:br/>
      </w:r>
      <w:r>
        <w:rPr>
          <w:b/>
        </w:rPr>
        <w:t>Archivo leído:</w:t>
      </w:r>
      <w:r>
        <w:t xml:space="preserve"> Isa.txt (biblia_rv1909\spaRV1909_texto_corrido.txt) · contraste del archivo de pasajes: ✔</w:t>
      </w:r>
      <w:r>
        <w:br/>
      </w:r>
      <w:r>
        <w:rPr>
          <w:b/>
        </w:rPr>
        <w:t>Lugar:</w:t>
      </w:r>
      <w:r>
        <w:t xml:space="preserve"> Jer 22:14 (RV1909)</w:t>
      </w:r>
      <w:r>
        <w:br/>
      </w:r>
      <w:r>
        <w:rPr>
          <w:b/>
        </w:rPr>
        <w:t>Tal como está en la fuente:</w:t>
      </w:r>
      <w:r>
        <w:t xml:space="preserve"> Pon la mesa, mira del atalaya, come, bebe: levantaos, príncipes, ungid el escudo.</w:t>
      </w:r>
      <w:r>
        <w:t>: en el hebreo, el mismo verbo, «וּמָשׁ֖וֹחַ» y «מִשְׁח֥וּ». «Ungirás también á Aarón y á sus hijos, y los consagrarás para que sean mis sacerdotes»</w:t>
      </w:r>
      <w:r>
        <w:t xml:space="preserve"> (Ex 30:30)</w:t>
      </w:r>
      <w:r>
        <w:br/>
      </w:r>
      <w:r>
        <w:rPr>
          <w:b/>
        </w:rPr>
        <w:t>leída en su fuente · Ex 30:30</w:t>
      </w:r>
      <w:r>
        <w:br/>
      </w:r>
      <w:r>
        <w:rPr>
          <w:b/>
        </w:rPr>
        <w:t>Archivo leído:</w:t>
      </w:r>
      <w:r>
        <w:t xml:space="preserve"> Exod.txt (biblia_rv1909\spaRV1909_texto_corrido.txt) · contraste del archivo de pasajes: ✔</w:t>
      </w:r>
      <w:r>
        <w:br/>
      </w:r>
      <w:r>
        <w:rPr>
          <w:b/>
        </w:rPr>
        <w:t>Lugar:</w:t>
      </w:r>
      <w:r>
        <w:t xml:space="preserve"> Ex 30:30 (RV1909)</w:t>
      </w:r>
      <w:r>
        <w:br/>
      </w:r>
      <w:r>
        <w:rPr>
          <w:b/>
        </w:rPr>
        <w:t>Tal como está en la fuente:</w:t>
      </w:r>
      <w:r>
        <w:t xml:space="preserve"> Ungirás también á Aarón y á sus hijos, y los consagrarás para que sean mis sacerdotes.</w:t>
      </w:r>
      <w:r>
        <w:t>. «Sobre carne de hombre no será untado, ni haréis otro semejante, conforme á su composición: santo es; por santo habéis de tenerlo vosotros»</w:t>
      </w:r>
      <w:r>
        <w:t xml:space="preserve"> (Ex 30:32)</w:t>
      </w:r>
      <w:r>
        <w:br/>
      </w:r>
      <w:r>
        <w:rPr>
          <w:b/>
        </w:rPr>
        <w:t>leída en su fuente · Ex 30:32</w:t>
      </w:r>
      <w:r>
        <w:br/>
      </w:r>
      <w:r>
        <w:rPr>
          <w:b/>
        </w:rPr>
        <w:t>Archivo leído:</w:t>
      </w:r>
      <w:r>
        <w:t xml:space="preserve"> Exod.txt (biblia_rv1909\spaRV1909_texto_corrido.txt) · contraste del archivo de pasajes: ✔</w:t>
      </w:r>
      <w:r>
        <w:br/>
      </w:r>
      <w:r>
        <w:rPr>
          <w:b/>
        </w:rPr>
        <w:t>Lugar:</w:t>
      </w:r>
      <w:r>
        <w:t xml:space="preserve"> Ex 30:30 (RV1909)</w:t>
      </w:r>
      <w:r>
        <w:br/>
      </w:r>
      <w:r>
        <w:rPr>
          <w:b/>
        </w:rPr>
        <w:t>Tal como está en la fuente:</w:t>
      </w:r>
      <w:r>
        <w:t xml:space="preserve"> Sobre carne de hombre no será untado, ni haréis otro semejante, conforme á su composición: santo es; por santo habéis de tenerlo vosotros.</w:t>
      </w:r>
      <w:r>
        <w:t>. «TOMANDO entonces Samuel una ampolla de aceite, derramóla sobre su cabeza, y besólo, y díjole: ¿No te ha ungido Jehová por capitán sobre su heredad?»</w:t>
      </w:r>
      <w:r>
        <w:t xml:space="preserve"> (1 S 10:1)</w:t>
      </w:r>
      <w:r>
        <w:br/>
      </w:r>
      <w:r>
        <w:rPr>
          <w:b/>
        </w:rPr>
        <w:t>leída en su fuente · 1 S 10:1</w:t>
      </w:r>
      <w:r>
        <w:br/>
      </w:r>
      <w:r>
        <w:rPr>
          <w:b/>
        </w:rPr>
        <w:t>Archivo leído:</w:t>
      </w:r>
      <w:r>
        <w:t xml:space="preserve"> 1Sam.txt (biblia_rv1909\spaRV1909_texto_corrido.txt) · contraste del archivo de pasajes: ✔</w:t>
      </w:r>
      <w:r>
        <w:br/>
      </w:r>
      <w:r>
        <w:rPr>
          <w:b/>
        </w:rPr>
        <w:t>Lugar:</w:t>
      </w:r>
      <w:r>
        <w:t xml:space="preserve"> 1 S 10:1 (RV1909)</w:t>
      </w:r>
      <w:r>
        <w:br/>
      </w:r>
      <w:r>
        <w:rPr>
          <w:b/>
        </w:rPr>
        <w:t>Tal como está en la fuente:</w:t>
      </w:r>
      <w:r>
        <w:t xml:space="preserve"> TOMANDO entonces Samuel una ampolla de aceite, derramóla sobre su cabeza, y besólo, y díjole: ¿No te ha ungido Jehová por capitán sobre su heredad?</w:t>
      </w:r>
      <w:r>
        <w:t>. «Y tomando Sadoc sacerdote el cuerno del aceite del tabernáculo, ungió á Salomón: y tocaron trompeta, y dijo todo el pueblo: ¡Viva el rey Salomón!»</w:t>
      </w:r>
      <w:r>
        <w:t xml:space="preserve"> (1 R 1:39)</w:t>
      </w:r>
      <w:r>
        <w:br/>
      </w:r>
      <w:r>
        <w:rPr>
          <w:b/>
        </w:rPr>
        <w:t>leída en su fuente · 1 R 1:39</w:t>
      </w:r>
      <w:r>
        <w:br/>
      </w:r>
      <w:r>
        <w:rPr>
          <w:b/>
        </w:rPr>
        <w:t>Archivo leído:</w:t>
      </w:r>
      <w:r>
        <w:t xml:space="preserve"> 1Kgs.txt (biblia_rv1909\spaRV1909_texto_corrido.txt) · contraste del archivo de pasajes: ✔</w:t>
      </w:r>
      <w:r>
        <w:br/>
      </w:r>
      <w:r>
        <w:rPr>
          <w:b/>
        </w:rPr>
        <w:t>Lugar:</w:t>
      </w:r>
      <w:r>
        <w:t xml:space="preserve"> 1 R 1:39 (RV1909)</w:t>
      </w:r>
      <w:r>
        <w:br/>
      </w:r>
      <w:r>
        <w:rPr>
          <w:b/>
        </w:rPr>
        <w:t>Tal como está en la fuente:</w:t>
      </w:r>
      <w:r>
        <w:t xml:space="preserve"> Y tomando Sadoc sacerdote el cuerno del aceite del tabernáculo, ungió á Salomón: y tocaron trompeta, y dijo todo el pueblo: ¡Viva el rey Salomón!</w:t>
      </w:r>
      <w:r>
        <w:t>. «Y á Jehú hijo de Nimsi, ungirás por rey sobre Israel; y á Eliseo hijo de Saphat, de Abelmehula, ungirás para que sea profeta en lugar de ti»</w:t>
      </w:r>
      <w:r>
        <w:t xml:space="preserve"> (1 R 19:16)</w:t>
      </w:r>
      <w:r>
        <w:br/>
      </w:r>
      <w:r>
        <w:rPr>
          <w:b/>
        </w:rPr>
        <w:t>leída en su fuente · 1 R 19:16</w:t>
      </w:r>
      <w:r>
        <w:br/>
      </w:r>
      <w:r>
        <w:rPr>
          <w:b/>
        </w:rPr>
        <w:t>Archivo leído:</w:t>
      </w:r>
      <w:r>
        <w:t xml:space="preserve"> 1Kgs.txt (biblia_rv1909\spaRV1909_texto_corrido.txt) · contraste del archivo de pasajes: ✔</w:t>
      </w:r>
      <w:r>
        <w:br/>
      </w:r>
      <w:r>
        <w:rPr>
          <w:b/>
        </w:rPr>
        <w:t>Lugar:</w:t>
      </w:r>
      <w:r>
        <w:t xml:space="preserve"> 1 R 1:39 (RV1909)</w:t>
      </w:r>
      <w:r>
        <w:br/>
      </w:r>
      <w:r>
        <w:rPr>
          <w:b/>
        </w:rPr>
        <w:t>Tal como está en la fuente:</w:t>
      </w:r>
      <w:r>
        <w:t xml:space="preserve"> Y á Jehú hijo de Nimsi, ungirás por rey sobre Israel; y á Eliseo hijo de Saphat, de Abelmehula, ungirás para que sea profeta en lugar de ti.</w:t>
      </w:r>
      <w:r>
        <w:t>.</w:t>
      </w:r>
    </w:p>
    <w:p>
      <w:pPr>
        <w:pStyle w:val="ListBullet"/>
      </w:pPr>
      <w:r>
        <w:rPr>
          <w:b/>
        </w:rPr>
        <w:t>Lo que le pasa al ungido.</w:t>
      </w:r>
      <w:r>
        <w:t xml:space="preserve"> «Y el espíritu de Jehová te arrebatará, y profetizarás con ellos, y serás mudado en otro hombre»</w:t>
      </w:r>
      <w:r>
        <w:t xml:space="preserve"> (1 S 10:6)</w:t>
      </w:r>
      <w:r>
        <w:br/>
      </w:r>
      <w:r>
        <w:rPr>
          <w:b/>
        </w:rPr>
        <w:t>leída en su fuente · 1 S 10:6</w:t>
      </w:r>
      <w:r>
        <w:br/>
      </w:r>
      <w:r>
        <w:rPr>
          <w:b/>
        </w:rPr>
        <w:t>Archivo leído:</w:t>
      </w:r>
      <w:r>
        <w:t xml:space="preserve"> 1Sam.txt (biblia_rv1909\spaRV1909_texto_corrido.txt) · contraste del archivo de pasajes: ✔</w:t>
      </w:r>
      <w:r>
        <w:br/>
      </w:r>
      <w:r>
        <w:rPr>
          <w:b/>
        </w:rPr>
        <w:t>Lugar:</w:t>
      </w:r>
      <w:r>
        <w:t xml:space="preserve"> 1 S 10:1 (RV1909)</w:t>
      </w:r>
      <w:r>
        <w:br/>
      </w:r>
      <w:r>
        <w:rPr>
          <w:b/>
        </w:rPr>
        <w:t>Tal como está en la fuente:</w:t>
      </w:r>
      <w:r>
        <w:t xml:space="preserve"> Y el espíritu de Jehová te arrebatará, y profetizarás con ellos, y serás mudado en otro hombre.</w:t>
      </w:r>
      <w:r>
        <w:t>. «Y Samuel tomó el cuerno del aceite, y ungiólo de entre sus hermanos: y desde aquel día en adelante el espíritu de Jehová tomó á David»</w:t>
      </w:r>
      <w:r>
        <w:t xml:space="preserve"> (1 S 16:13)</w:t>
      </w:r>
      <w:r>
        <w:br/>
      </w:r>
      <w:r>
        <w:rPr>
          <w:b/>
        </w:rPr>
        <w:t>leída en su fuente · 1 S 16:13</w:t>
      </w:r>
      <w:r>
        <w:br/>
      </w:r>
      <w:r>
        <w:rPr>
          <w:b/>
        </w:rPr>
        <w:t>Archivo leído:</w:t>
      </w:r>
      <w:r>
        <w:t xml:space="preserve"> 1Sam.txt (biblia_rv1909\spaRV1909_texto_corrido.txt) · contraste del archivo de pasajes: ✔</w:t>
      </w:r>
      <w:r>
        <w:br/>
      </w:r>
      <w:r>
        <w:rPr>
          <w:b/>
        </w:rPr>
        <w:t>Lugar:</w:t>
      </w:r>
      <w:r>
        <w:t xml:space="preserve"> 1 S 16:13 (RV1909)</w:t>
      </w:r>
      <w:r>
        <w:br/>
      </w:r>
      <w:r>
        <w:rPr>
          <w:b/>
        </w:rPr>
        <w:t>Tal como está en la fuente:</w:t>
      </w:r>
      <w:r>
        <w:t xml:space="preserve"> Y Samuel tomó el cuerno del aceite, y ungiólo de entre sus hermanos: y desde aquel día en adelante el espíritu de Jehová tomó á David. Levantóse luego Samuel, y volvióse á Rama.</w:t>
      </w:r>
      <w:r>
        <w:t>. «EL espíritu del Señor Jehová es sobre mí, porque me ungió Jehová; hame enviado á predicar buenas nuevas á los abatidos»</w:t>
      </w:r>
      <w:r>
        <w:t xml:space="preserve"> (Is 61:1)</w:t>
      </w:r>
      <w:r>
        <w:br/>
      </w:r>
      <w:r>
        <w:rPr>
          <w:b/>
        </w:rPr>
        <w:t>leída en su fuente · Is 61:1</w:t>
      </w:r>
      <w:r>
        <w:br/>
      </w:r>
      <w:r>
        <w:rPr>
          <w:b/>
        </w:rPr>
        <w:t>Archivo leído:</w:t>
      </w:r>
      <w:r>
        <w:t xml:space="preserve"> sblgnt_Luke.txt (biblia_rv1909\spaRV1909_texto_corrido.txt) · contraste del archivo de pasajes: ✔</w:t>
      </w:r>
      <w:r>
        <w:br/>
      </w:r>
      <w:r>
        <w:rPr>
          <w:b/>
        </w:rPr>
        <w:t>Lugar:</w:t>
      </w:r>
      <w:r>
        <w:t xml:space="preserve"> Is 61:1 (RV1909)</w:t>
      </w:r>
      <w:r>
        <w:br/>
      </w:r>
      <w:r>
        <w:rPr>
          <w:b/>
        </w:rPr>
        <w:t>Tal como está en la fuente:</w:t>
      </w:r>
      <w:r>
        <w:t xml:space="preserve"> EL espíritu del Señor Jehová es sobre mí, porque me ungió Jehová; hame enviado á predicar buenas nuevas á los abatidos, á vendar á los quebrantados de corazón, á publicar libertad á los cautivos, y á los presos abertura de la cárcel;</w:t>
      </w:r>
      <w:r>
        <w:t>. «Y comenzó á decirles: Hoy se ha cumplido esta Escritura en vuestros oídos»</w:t>
      </w:r>
      <w:r>
        <w:t xml:space="preserve"> (Lc 4:21)</w:t>
      </w:r>
      <w:r>
        <w:br/>
      </w:r>
      <w:r>
        <w:rPr>
          <w:b/>
        </w:rPr>
        <w:t>leída en su fuente · Lc 4:21</w:t>
      </w:r>
      <w:r>
        <w:br/>
      </w:r>
      <w:r>
        <w:rPr>
          <w:b/>
        </w:rPr>
        <w:t>Archivo leído:</w:t>
      </w:r>
      <w:r>
        <w:t xml:space="preserve"> sblgnt_Luke.txt (biblia_rv1909\spaRV1909_texto_corrido.txt) · contraste del archivo de pasajes: ✔</w:t>
      </w:r>
      <w:r>
        <w:br/>
      </w:r>
      <w:r>
        <w:rPr>
          <w:b/>
        </w:rPr>
        <w:t>Lugar:</w:t>
      </w:r>
      <w:r>
        <w:t xml:space="preserve"> Is 61:1 (RV1909)</w:t>
      </w:r>
      <w:r>
        <w:br/>
      </w:r>
      <w:r>
        <w:rPr>
          <w:b/>
        </w:rPr>
        <w:t>Tal como está en la fuente:</w:t>
      </w:r>
      <w:r>
        <w:t xml:space="preserve"> Y comenzó á decirles: Hoy se ha cumplido esta Escritura en vuestros oídos.</w:t>
      </w:r>
      <w:r>
        <w:t>.</w:t>
      </w:r>
    </w:p>
    <w:p>
      <w:pPr>
        <w:pStyle w:val="ListBullet"/>
      </w:pPr>
      <w:r>
        <w:rPr>
          <w:b/>
        </w:rPr>
        <w:t>De unos pocos, y de todos.</w:t>
      </w:r>
      <w:r>
        <w:t xml:space="preserve"> «Y Moisés le respondió: ¿Tienes tú celos por mí? mas ojalá que todo el pueblo de Jehová fuesen profetas, que Jehová pusiera su espíritu sobre ellos»</w:t>
      </w:r>
      <w:r>
        <w:t xml:space="preserve"> (Nm 11:29)</w:t>
      </w:r>
      <w:r>
        <w:br/>
      </w:r>
      <w:r>
        <w:rPr>
          <w:b/>
        </w:rPr>
        <w:t>leída en su fuente · Nm 11:29</w:t>
      </w:r>
      <w:r>
        <w:br/>
      </w:r>
      <w:r>
        <w:rPr>
          <w:b/>
        </w:rPr>
        <w:t>Archivo leído:</w:t>
      </w:r>
      <w:r>
        <w:t xml:space="preserve"> Num.txt (biblia_rv1909\spaRV1909_texto_corrido.txt) · contraste del archivo de pasajes: ✔</w:t>
      </w:r>
      <w:r>
        <w:br/>
      </w:r>
      <w:r>
        <w:rPr>
          <w:b/>
        </w:rPr>
        <w:t>Lugar:</w:t>
      </w:r>
      <w:r>
        <w:t xml:space="preserve"> Nm 11:29 (RV1909)</w:t>
      </w:r>
      <w:r>
        <w:br/>
      </w:r>
      <w:r>
        <w:rPr>
          <w:b/>
        </w:rPr>
        <w:t>Tal como está en la fuente:</w:t>
      </w:r>
      <w:r>
        <w:t xml:space="preserve"> Y Moisés le respondió: ¿Tienes tú celos por mí? mas ojalá que todo el pueblo de Jehová fuesen profetas, que Jehová pusiera su espíritu sobre ellos.</w:t>
      </w:r>
      <w:r>
        <w:t>. «Y será que después de esto, derramaré mi Espíritu sobre toda carne»</w:t>
      </w:r>
      <w:r>
        <w:t xml:space="preserve"> (Jl 2:28)</w:t>
      </w:r>
      <w:r>
        <w:br/>
      </w:r>
      <w:r>
        <w:rPr>
          <w:b/>
        </w:rPr>
        <w:t>leída en su fuente · Jl 2:28</w:t>
      </w:r>
      <w:r>
        <w:br/>
      </w:r>
      <w:r>
        <w:rPr>
          <w:b/>
        </w:rPr>
        <w:t>Archivo leído:</w:t>
      </w:r>
      <w:r>
        <w:t xml:space="preserve"> sblgnt_Acts.txt (biblia_rv1909\spaRV1909_texto_corrido.txt) · contraste del archivo de pasajes: ✔</w:t>
      </w:r>
      <w:r>
        <w:br/>
      </w:r>
      <w:r>
        <w:rPr>
          <w:b/>
        </w:rPr>
        <w:t>Lugar:</w:t>
      </w:r>
      <w:r>
        <w:t xml:space="preserve"> Jl 2:28 (RV1909)</w:t>
      </w:r>
      <w:r>
        <w:br/>
      </w:r>
      <w:r>
        <w:rPr>
          <w:b/>
        </w:rPr>
        <w:t>Tal como está en la fuente:</w:t>
      </w:r>
      <w:r>
        <w:t xml:space="preserve"> Y será que después de esto, derramaré mi Espíritu sobre toda carne, y profetizarán vuestros hijos y vuestras hijas; vuestros viejos soñarán sueños, y vuestros mancebos verán visiones.</w:t>
      </w:r>
      <w:r>
        <w:t>. «Y aun también sobre los siervos y sobre las siervas derramaré mi Espíritu en aquellos días»</w:t>
      </w:r>
      <w:r>
        <w:t xml:space="preserve"> (Jl 2:29)</w:t>
      </w:r>
      <w:r>
        <w:br/>
      </w:r>
      <w:r>
        <w:rPr>
          <w:b/>
        </w:rPr>
        <w:t>leída en su fuente · Jl 2:29</w:t>
      </w:r>
      <w:r>
        <w:br/>
      </w:r>
      <w:r>
        <w:rPr>
          <w:b/>
        </w:rPr>
        <w:t>Archivo leído:</w:t>
      </w:r>
      <w:r>
        <w:t xml:space="preserve"> sblgnt_Acts.txt (biblia_rv1909\spaRV1909_texto_corrido.txt) · contraste del archivo de pasajes: ✔</w:t>
      </w:r>
      <w:r>
        <w:br/>
      </w:r>
      <w:r>
        <w:rPr>
          <w:b/>
        </w:rPr>
        <w:t>Lugar:</w:t>
      </w:r>
      <w:r>
        <w:t xml:space="preserve"> Jl 2:28 (RV1909)</w:t>
      </w:r>
      <w:r>
        <w:br/>
      </w:r>
      <w:r>
        <w:rPr>
          <w:b/>
        </w:rPr>
        <w:t>Tal como está en la fuente:</w:t>
      </w:r>
      <w:r>
        <w:t xml:space="preserve"> Y aun también sobre los siervos y sobre las siervas derramaré mi Espíritu en aquellos días.</w:t>
      </w:r>
      <w:r>
        <w:t>. «Mas vosotros tenéis la unción del Santo, y conocéis todas las cosas»</w:t>
      </w:r>
      <w:r>
        <w:t xml:space="preserve"> (1 Jn 2:20)</w:t>
      </w:r>
      <w:r>
        <w:br/>
      </w:r>
      <w:r>
        <w:rPr>
          <w:b/>
        </w:rPr>
        <w:t>leída en su fuente · 1 Jn 2:20</w:t>
      </w:r>
      <w:r>
        <w:br/>
      </w:r>
      <w:r>
        <w:rPr>
          <w:b/>
        </w:rPr>
        <w:t>Archivo leído:</w:t>
      </w:r>
      <w:r>
        <w:t xml:space="preserve"> sblgnt_1John.txt (biblia_rv1909\spaRV1909_texto_corrido.txt) · contraste del archivo de pasajes: ✔</w:t>
      </w:r>
      <w:r>
        <w:br/>
      </w:r>
      <w:r>
        <w:rPr>
          <w:b/>
        </w:rPr>
        <w:t>Lugar:</w:t>
      </w:r>
      <w:r>
        <w:t xml:space="preserve"> 1 Jn 2:20 (RV1909)</w:t>
      </w:r>
      <w:r>
        <w:br/>
      </w:r>
      <w:r>
        <w:rPr>
          <w:b/>
        </w:rPr>
        <w:t>Tal como está en la fuente:</w:t>
      </w:r>
      <w:r>
        <w:t xml:space="preserve"> Mas vosotros tenéis la unción del Santo, y conocéis todas las cosas.</w:t>
      </w:r>
      <w:r>
        <w:t>. «Pero la unción que vosotros habéis recibido de él, mora en vosotros»</w:t>
      </w:r>
      <w:r>
        <w:t xml:space="preserve"> (1 Jn 2:27)</w:t>
      </w:r>
      <w:r>
        <w:br/>
      </w:r>
      <w:r>
        <w:rPr>
          <w:b/>
        </w:rPr>
        <w:t>leída en su fuente · 1 Jn 2:27</w:t>
      </w:r>
      <w:r>
        <w:br/>
      </w:r>
      <w:r>
        <w:rPr>
          <w:b/>
        </w:rPr>
        <w:t>Archivo leído:</w:t>
      </w:r>
      <w:r>
        <w:t xml:space="preserve"> sblgnt_1John.txt (biblia_rv1909\spaRV1909_texto_corrido.txt) · contraste del archivo de pasajes: ✔</w:t>
      </w:r>
      <w:r>
        <w:br/>
      </w:r>
      <w:r>
        <w:rPr>
          <w:b/>
        </w:rPr>
        <w:t>Lugar:</w:t>
      </w:r>
      <w:r>
        <w:t xml:space="preserve"> 1 Jn 2:20 (RV1909)</w:t>
      </w:r>
      <w:r>
        <w:br/>
      </w:r>
      <w:r>
        <w:rPr>
          <w:b/>
        </w:rPr>
        <w:t>Tal como está en la fuente:</w:t>
      </w:r>
      <w:r>
        <w:t xml:space="preserve"> Pero la unción que vosotros habéis recibido de él, mora en vosotros, y no tenéis necesidad que ninguno os enseñe; mas como la unción misma os enseña de todas cosas, y es verdadera, y no es mentira, así como os ha enseñado, perseveraréis en él.</w:t>
      </w:r>
      <w:r>
        <w:t>.</w:t>
      </w:r>
    </w:p>
    <w:p>
      <w:pPr>
        <w:pStyle w:val="ListBullet"/>
      </w:pPr>
      <w:r>
        <w:rPr>
          <w:b/>
        </w:rPr>
        <w:t>Los límites, en Israel.</w:t>
      </w:r>
      <w:r>
        <w:t xml:space="preserve"> «Porque se levantarán falsos Cristos, y falsos profetas, y darán señales grandes y prodigios; de tal manera que engañarán, si [es] posible, aun á los escogidos»</w:t>
      </w:r>
      <w:r>
        <w:t xml:space="preserve"> (Mt 24:24)</w:t>
      </w:r>
      <w:r>
        <w:br/>
      </w:r>
      <w:r>
        <w:rPr>
          <w:b/>
        </w:rPr>
        <w:t>leída en su fuente · Mt 24:24</w:t>
      </w:r>
      <w:r>
        <w:br/>
      </w:r>
      <w:r>
        <w:rPr>
          <w:b/>
        </w:rPr>
        <w:t>Archivo leído:</w:t>
      </w:r>
      <w:r>
        <w:t xml:space="preserve"> sblgnt_Matt.txt (biblia_rv1909\spaRV1909_texto_corrido.txt) · contraste del archivo de pasajes: ✔</w:t>
      </w:r>
      <w:r>
        <w:br/>
      </w:r>
      <w:r>
        <w:rPr>
          <w:b/>
        </w:rPr>
        <w:t>Lugar:</w:t>
      </w:r>
      <w:r>
        <w:t xml:space="preserve"> Mt 24:24 (RV1909)</w:t>
      </w:r>
      <w:r>
        <w:br/>
      </w:r>
      <w:r>
        <w:rPr>
          <w:b/>
        </w:rPr>
        <w:t>Tal como está en la fuente:</w:t>
      </w:r>
      <w:r>
        <w:t xml:space="preserve"> Porque se levantarán falsos Cristos, y falsos profetas, y darán señales grandes y prodigios; de tal manera que engañarán, si [es] posible, aun á los escogidos.</w:t>
      </w:r>
      <w:r>
        <w:t>. «Cuando el profeta hablare en nombre de Jehová, y no fuere la tal cosa, ni viniere, es palabra que Jehová no ha hablado»</w:t>
      </w:r>
      <w:r>
        <w:t xml:space="preserve"> (Dt 18:22)</w:t>
      </w:r>
      <w:r>
        <w:br/>
      </w:r>
      <w:r>
        <w:rPr>
          <w:b/>
        </w:rPr>
        <w:t>leída en su fuente · Dt 18:22</w:t>
      </w:r>
      <w:r>
        <w:br/>
      </w:r>
      <w:r>
        <w:rPr>
          <w:b/>
        </w:rPr>
        <w:t>Archivo leído:</w:t>
      </w:r>
      <w:r>
        <w:t xml:space="preserve"> Jer.txt (biblia_rv1909\spaRV1909_texto_corrido.txt) · contraste del archivo de pasajes: ✔</w:t>
      </w:r>
      <w:r>
        <w:br/>
      </w:r>
      <w:r>
        <w:rPr>
          <w:b/>
        </w:rPr>
        <w:t>Lugar:</w:t>
      </w:r>
      <w:r>
        <w:t xml:space="preserve"> Dt 18:20 (RV1909)</w:t>
      </w:r>
      <w:r>
        <w:br/>
      </w:r>
      <w:r>
        <w:rPr>
          <w:b/>
        </w:rPr>
        <w:t>Tal como está en la fuente:</w:t>
      </w:r>
      <w:r>
        <w:t xml:space="preserve"> Cuando el profeta hablare en nombre de Jehová, y no fuere la tal cosa, ni viniere, es palabra que Jehová no ha hablado: con soberbia la habló aquel profeta: no tengas temor de él.</w:t>
      </w:r>
      <w:r>
        <w:t>.</w:t>
      </w:r>
    </w:p>
    <w:p>
      <w:pPr>
        <w:pStyle w:val="ListBullet"/>
      </w:pPr>
      <w:r>
        <w:rPr>
          <w:b/>
        </w:rPr>
        <w:t>La India.</w:t>
      </w:r>
      <w:r>
        <w:t xml:space="preserve"> «dejando los deseos que agitan la mente, halla en su alma pleno consuelo para su alma: ha alcanzado el yoga; ese es tal hombre»</w:t>
      </w:r>
      <w:r>
        <w:t xml:space="preserve"> [original: «Abandoning desires which shake the mind-- Finds in his soul full comfort for his soul, He hath attained the Yog--that man is such!», en la traducción inglesa de Arnold]</w:t>
      </w:r>
      <w:r>
        <w:t xml:space="preserve"> (Bhagavad Gita 2.55)</w:t>
      </w:r>
      <w:r>
        <w:br/>
      </w:r>
      <w:r>
        <w:rPr>
          <w:b/>
        </w:rPr>
        <w:t>leída en su fuente · Bhagavad Gita 2.55</w:t>
      </w:r>
      <w:r>
        <w:br/>
      </w:r>
      <w:r>
        <w:rPr>
          <w:b/>
        </w:rPr>
        <w:t>Archivo leído:</w:t>
      </w:r>
      <w:r>
        <w:t xml:space="preserve"> pg2388.txt (cierre_B3_B4_9oct\gita_arnold_gutenberg\pg2388.txt; cierre_B5_9oct\gita_arnold_gutenberg\pg2388.txt) · contraste del archivo de pasajes: ✔</w:t>
      </w:r>
      <w:r>
        <w:br/>
      </w:r>
      <w:r>
        <w:rPr>
          <w:b/>
        </w:rPr>
        <w:t>Lugar:</w:t>
      </w:r>
      <w:r>
        <w:t xml:space="preserve"> Gita 2.54 (sánscrito)</w:t>
      </w:r>
      <w:r>
        <w:br/>
      </w:r>
      <w:r>
        <w:rPr>
          <w:b/>
        </w:rPr>
        <w:t>Tal como está en la fuente:</w:t>
      </w:r>
      <w:r>
        <w:t xml:space="preserve"> Abandoning desires which shake the mind-- Finds in his soul full comfort for his soul, He hath attained the Yog--that man is such!</w:t>
      </w:r>
      <w:r>
        <w:br/>
      </w:r>
      <w:r>
        <w:rPr>
          <w:b/>
        </w:rPr>
        <w:t>Traducción guardada:</w:t>
      </w:r>
      <w:r>
        <w:t xml:space="preserve"> de 11.8: dejando los deseos que agitan la mente, halla en su alma pleno consuelo para su alma: ha alcanzado el yoga; ese es tal hombre</w:t>
      </w:r>
      <w:r>
        <w:t>. «ese es el estado de Brahm»</w:t>
      </w:r>
      <w:r>
        <w:t xml:space="preserve"> [original: «That is the state of Brahm!», en la traducción inglesa de Arnold]</w:t>
      </w:r>
      <w:r>
        <w:t xml:space="preserve"> (Bhagavad Gita 2.72)</w:t>
      </w:r>
      <w:r>
        <w:br/>
      </w:r>
      <w:r>
        <w:rPr>
          <w:b/>
        </w:rPr>
        <w:t>leída en su fuente · Bhagavad Gita 2.72</w:t>
      </w:r>
      <w:r>
        <w:br/>
      </w:r>
      <w:r>
        <w:rPr>
          <w:b/>
        </w:rPr>
        <w:t>Archivo leído:</w:t>
      </w:r>
      <w:r>
        <w:t xml:space="preserve"> pg2388.txt (cierre_B3_B4_9oct\gita_arnold_gutenberg\pg2388.txt; cierre_B5_9oct\gita_arnold_gutenberg\pg2388.txt) · contraste del archivo de pasajes: ✔</w:t>
      </w:r>
      <w:r>
        <w:br/>
      </w:r>
      <w:r>
        <w:rPr>
          <w:b/>
        </w:rPr>
        <w:t>Lugar:</w:t>
      </w:r>
      <w:r>
        <w:t xml:space="preserve"> Gita 2.54 (sánscrito)</w:t>
      </w:r>
      <w:r>
        <w:br/>
      </w:r>
      <w:r>
        <w:rPr>
          <w:b/>
        </w:rPr>
        <w:t>Tal como está en la fuente:</w:t>
      </w:r>
      <w:r>
        <w:t xml:space="preserve"> That is the state of Brahm!</w:t>
      </w:r>
      <w:r>
        <w:t>. Y su límite: «pero el sabio Mahatma es difícil de hallar»</w:t>
      </w:r>
      <w:r>
        <w:t xml:space="preserve"> [original: «Yet hard the wise Mahatma is to find», en la traducción inglesa de Arnold]</w:t>
      </w:r>
      <w:r>
        <w:t xml:space="preserve"> (Bhagavad Gita 7.19)</w:t>
      </w:r>
      <w:r>
        <w:br/>
      </w:r>
      <w:r>
        <w:rPr>
          <w:b/>
        </w:rPr>
        <w:t>leída en su fuente · Bhagavad Gita 7.19</w:t>
      </w:r>
      <w:r>
        <w:br/>
      </w:r>
      <w:r>
        <w:rPr>
          <w:b/>
        </w:rPr>
        <w:t>Archivo leído:</w:t>
      </w:r>
      <w:r>
        <w:t xml:space="preserve"> pg2388.txt (cierre_B3_B4_9oct\gita_arnold_gutenberg\pg2388.txt; cierre_B5_9oct\gita_arnold_gutenberg\pg2388.txt) · contraste del archivo de pasajes: ✔</w:t>
      </w:r>
      <w:r>
        <w:br/>
      </w:r>
      <w:r>
        <w:rPr>
          <w:b/>
        </w:rPr>
        <w:t>Lugar:</w:t>
      </w:r>
      <w:r>
        <w:t xml:space="preserve"> Gita 7.18 (sánscrito)</w:t>
      </w:r>
      <w:r>
        <w:br/>
      </w:r>
      <w:r>
        <w:rPr>
          <w:b/>
        </w:rPr>
        <w:t>Tal como está en la fuente:</w:t>
      </w:r>
      <w:r>
        <w:t xml:space="preserve"> "They are not ""mine,""but I--even I myself! At end of many births to Me they come! Yet hard the wise Mahatma is to find,"</w:t>
      </w:r>
      <w:r>
        <w:t>.</w:t>
      </w:r>
    </w:p>
    <w:p>
      <w:pPr>
        <w:pStyle w:val="ListBullet"/>
      </w:pPr>
      <w:r>
        <w:rPr>
          <w:b/>
        </w:rPr>
        <w:t>China.</w:t>
      </w:r>
      <w:r>
        <w:t xml:space="preserve"> «No es que el Cielo tuviera parcialidad por el señor de Shang: simplemente dio su favor a la virtud pura»</w:t>
      </w:r>
      <w:r>
        <w:t xml:space="preserve"> [original: «It was not that Heaven had any private partiality for the lord of Shang;--it simply gave its favour to pure virtue», en la traducción inglesa de Legge]</w:t>
      </w:r>
      <w:r>
        <w:t xml:space="preserve"> (Shujing, «La posesión común de la virtud pura»)</w:t>
      </w:r>
      <w:r>
        <w:br/>
      </w:r>
      <w:r>
        <w:rPr>
          <w:b/>
        </w:rPr>
        <w:t>leída en su fuente · Shujing, «La posesión común de la virtud pura»</w:t>
      </w:r>
      <w:r>
        <w:br/>
      </w:r>
      <w:r>
        <w:rPr>
          <w:b/>
        </w:rPr>
        <w:t>Archivo leído:</w:t>
      </w:r>
      <w:r>
        <w:t xml:space="preserve"> sbe03028.htm (el_ungido_12oct\shujing_legge_sacredtexts\sbe03022.htm) · contraste del archivo de pasajes: ✔</w:t>
      </w:r>
      <w:r>
        <w:br/>
      </w:r>
      <w:r>
        <w:rPr>
          <w:b/>
        </w:rPr>
        <w:t>Lugar:</w:t>
      </w:r>
      <w:r>
        <w:t xml:space="preserve"> Shujing,</w:t>
      </w:r>
      <w:r>
        <w:br/>
      </w:r>
      <w:r>
        <w:rPr>
          <w:b/>
        </w:rPr>
        <w:t>Tal como está en la fuente:</w:t>
      </w:r>
      <w:r>
        <w:t xml:space="preserve"> It was not that Heaven had any private partiality for the lord of Shang;--it simply gave its favour to pure virtue.</w:t>
      </w:r>
      <w:r>
        <w:t>. «El gran Cielo no tiene afectos parciales: solo ayuda al virtuoso»</w:t>
      </w:r>
      <w:r>
        <w:t xml:space="preserve"> [original: «Great Heaven has no partial affections;--it helps only the virtuous», en la traducción inglesa de Legge]</w:t>
      </w:r>
      <w:r>
        <w:t xml:space="preserve"> (Shujing, «El mandato a Zhong de Cai»)</w:t>
      </w:r>
      <w:r>
        <w:br/>
      </w:r>
      <w:r>
        <w:rPr>
          <w:b/>
        </w:rPr>
        <w:t>leída en su fuente · Shujing, «El mandato a Zhong de Cai»</w:t>
      </w:r>
      <w:r>
        <w:br/>
      </w:r>
      <w:r>
        <w:rPr>
          <w:b/>
        </w:rPr>
        <w:t>Archivo leído:</w:t>
      </w:r>
      <w:r>
        <w:t xml:space="preserve"> sbe03028.htm (el_ungido_12oct\shujing_legge_sacredtexts\sbe03044.htm) · contraste del archivo de pasajes: ✔</w:t>
      </w:r>
      <w:r>
        <w:br/>
      </w:r>
      <w:r>
        <w:rPr>
          <w:b/>
        </w:rPr>
        <w:t>Lugar:</w:t>
      </w:r>
      <w:r>
        <w:t xml:space="preserve"> Shujing,</w:t>
      </w:r>
      <w:r>
        <w:br/>
      </w:r>
      <w:r>
        <w:rPr>
          <w:b/>
        </w:rPr>
        <w:t>Tal como está en la fuente:</w:t>
      </w:r>
      <w:r>
        <w:t xml:space="preserve"> Great Heaven has no partial affections;--it helps only the virtuous.</w:t>
      </w:r>
      <w:r>
        <w:t>. «El sabio y nosotros somos de la misma especie»</w:t>
      </w:r>
      <w:r>
        <w:t xml:space="preserve"> [original: «The sage and we are the same in kind», en la traducción inglesa de Legge]</w:t>
      </w:r>
      <w:r>
        <w:t xml:space="preserve"> (Mencio 6A7)</w:t>
      </w:r>
      <w:r>
        <w:br/>
      </w:r>
      <w:r>
        <w:rPr>
          <w:b/>
        </w:rPr>
        <w:t>leída en su fuente · Mencio 6A7</w:t>
      </w:r>
      <w:r>
        <w:br/>
      </w:r>
      <w:r>
        <w:rPr>
          <w:b/>
        </w:rPr>
        <w:t>Archivo leído:</w:t>
      </w:r>
      <w:r>
        <w:t xml:space="preserve"> chapter14.txt (c8a\8.3_24_Legge_1895_Chinese_Classics_vol2_Mencius_OCR_archive.txt) · contraste del archivo de pasajes: ✔</w:t>
      </w:r>
      <w:r>
        <w:br/>
      </w:r>
      <w:r>
        <w:rPr>
          <w:b/>
        </w:rPr>
        <w:t>Lugar:</w:t>
      </w:r>
      <w:r>
        <w:t xml:space="preserve"> Mencio 6A7 (chino)</w:t>
      </w:r>
      <w:r>
        <w:br/>
      </w:r>
      <w:r>
        <w:rPr>
          <w:b/>
        </w:rPr>
        <w:t>Tal como está en la fuente:</w:t>
      </w:r>
      <w:r>
        <w:t xml:space="preserve"> The sage and we are the same in kind.</w:t>
      </w:r>
      <w:r>
        <w:t>.</w:t>
      </w:r>
    </w:p>
    <w:p>
      <w:r>
        <w:t>[parlamento de la arqueología (08/21), apartados 4 y 6; el índice del agente reglas_del_juego, 12-oct-2026, con sus archivos; el Corán de Cortés, 06/10 FUENTES LEIDAS, c4; los pasajes, sacados del índice por programa (construir_B19.py) y comprobados en su archivo; los del 14, del índice el_registro_de_todo, por programa (construir_todo_se_ve.py); los del 15, del índice el_septimo_sello, por programa (construir_B22.py); los del 16, de los índices D y E de el_camino_y_el_aviso, por programa (construir_B23.py)]</w:t>
      </w:r>
    </w:p>
    <w:p>
      <w:pPr>
        <w:pStyle w:val="Heading2"/>
      </w:pPr>
      <w:r>
        <w:t>Límite honesto de la prueba</w:t>
      </w:r>
    </w:p>
    <w:p>
      <w:pPr>
        <w:pStyle w:val="ListBullet"/>
      </w:pPr>
      <w:r>
        <w:rPr>
          <w:b/>
        </w:rPr>
        <w:t>La convergencia no es unanimidad.</w:t>
      </w:r>
      <w:r>
        <w:t xml:space="preserve"> Cada bloque tiene su pata coja, y se dice entera; algunos principios son débiles en algún bloque: P3 en América (tres citas de un mismo autor), P5 en África y América, y P9 en la India y en África, América y Oceanía, donde ningún texto lo dice directamente. Ninguna tradición tiene un texto expreso contra las multas como ingreso del poder.</w:t>
      </w:r>
    </w:p>
    <w:p>
      <w:pPr>
        <w:pStyle w:val="ListBullet"/>
      </w:pPr>
      <w:r>
        <w:rPr>
          <w:b/>
        </w:rPr>
        <w:t>La salida violenta no es la de la obra.</w:t>
      </w:r>
      <w:r>
        <w:t xml:space="preserve"> Algunos textos admiten acabar con el mal gobernante (Mencio 1B8, Mahabharata 13.60.20, Oyó y la Gran Ley iroquesa). La obra toma el principio, no esa salida: no invita a desobedecer, y su vía es la constancia escrita (</w:t>
      </w:r>
      <w:r>
        <w:t>capítulo 10</w:t>
      </w:r>
      <w:r>
        <w:t>).</w:t>
      </w:r>
    </w:p>
    <w:p>
      <w:pPr>
        <w:pStyle w:val="ListBullet"/>
      </w:pPr>
      <w:r>
        <w:rPr>
          <w:b/>
        </w:rPr>
        <w:t>Los hadices</w:t>
      </w:r>
      <w:r>
        <w:t xml:space="preserve"> se leyeron en una copia de datos, no en su edición impresa: van como fuente secundaria hasta cotejarlos. Y quedan sin examinar con la prueba de quién escribe la pata coja (</w:t>
      </w:r>
      <w:r>
        <w:t>3.4</w:t>
      </w:r>
      <w:r>
        <w:t>) los hadices de obediencia, los textos rabínicos de la pata coja y el Avesta.</w:t>
      </w:r>
    </w:p>
    <w:p>
      <w:pPr>
        <w:pStyle w:val="ListBullet"/>
      </w:pPr>
      <w:r>
        <w:rPr>
          <w:b/>
        </w:rPr>
        <w:t>Lo que no se leyó no entra.</w:t>
      </w:r>
      <w:r>
        <w:t xml:space="preserve"> Los agentes que buscaron los textos trajeron otros que no se leyeron en su fuente: el Popol Vuh (para los principios del Arca; se leyó después para otras cosas: </w:t>
      </w:r>
      <w:r>
        <w:t>2.3</w:t>
      </w:r>
      <w:r>
        <w:t xml:space="preserve"> y </w:t>
      </w:r>
      <w:r>
        <w:t>F.9</w:t>
      </w:r>
      <w:r>
        <w:t xml:space="preserve">), Grinnell sobre los cheyenes, la Constitución de Hawái (la ley del remo astillado), la Fetha Nagast, un estudio del </w:t>
      </w:r>
      <w:r>
        <w:rPr>
          <w:i/>
        </w:rPr>
        <w:t>xeer</w:t>
      </w:r>
      <w:r>
        <w:t xml:space="preserve"> de 2023, la Udyoga Parva 5.34, la Sabha Parva 2.5, la Brihadaranyaka 1.4.14, el edicto en roca 6 de Ashoka y los Angs 1032 y 145 del Guru Granth Sahib. Y dos que serían pata coja de P6, contra la cancelación de deudas: Cicerón, De officiis II, 78 y 84, que no apareció en la copia del latín, y Platón, Leyes V. No se encontraron el edicto de Ammisaduqa, cuyas traducciones tienen derechos de autor, ni la frase de Urukagina sobre «el recaudador de impuestos» que circula, que solo está en fuentes secundarias.</w:t>
      </w:r>
    </w:p>
    <w:p>
      <w:pPr>
        <w:pStyle w:val="ListBullet"/>
      </w:pPr>
      <w:r>
        <w:rPr>
          <w:b/>
        </w:rPr>
        <w:t>Los órdenes de costumbre</w:t>
      </w:r>
      <w:r>
        <w:t xml:space="preserve"> se leen con la cautela de Boas: el parecido no prueba un mismo origen. El juez de barrio elegido por los vecinos es de una sola fuente, del siglo XVIII (Clavijero), y Zorita, del siglo XVI, dice que los jueces de las cabeceras eran «hombres escogidos para ello» por los señores. Y que el Althing sea «uno de los parlamentos más antiguos del mundo» no entra: no se ha leído su fuente.</w:t>
      </w:r>
    </w:p>
    <w:p>
      <w:pPr>
        <w:pStyle w:val="ListBullet"/>
      </w:pPr>
      <w:r>
        <w:rPr>
          <w:b/>
        </w:rPr>
        <w:t>De la tabla de errar el blanco</w:t>
      </w:r>
      <w:r>
        <w:t xml:space="preserve"> quedan fuera dos filas que tenía la pieza, quitadas al leerlas en los diccionarios: la budista, porque </w:t>
      </w:r>
      <w:r>
        <w:rPr>
          <w:i/>
        </w:rPr>
        <w:t>akusala</w:t>
      </w:r>
      <w:r>
        <w:t>, que la pieza daba por «no maldad», es también «demérito, pecado»</w:t>
      </w:r>
      <w:r>
        <w:t xml:space="preserve"> [original: «(with Buddhists) demerit, sin»]</w:t>
      </w:r>
      <w:r>
        <w:t xml:space="preserve"> (Monier-Williams, p. 1308)</w:t>
      </w:r>
      <w:r>
        <w:t xml:space="preserve">; y la japonesa, porque </w:t>
      </w:r>
      <w:r>
        <w:rPr>
          <w:i/>
        </w:rPr>
        <w:t>giri</w:t>
      </w:r>
      <w:r>
        <w:t xml:space="preserve"> nombra el deber, no la falta.</w:t>
      </w:r>
    </w:p>
    <w:p>
      <w:r>
        <w:t>[archivo del Arca, «Pata coja», «No comprobado por Claude», «Lo que no se encontró», «Aún sin examinar» y «Pendiente»; 07.00-8.1 y 18.5 a 18.7; informes del 5-oct, g/INFORME_COSTUMBRE.md (8.1-h) y g/INFORME_PAN_Y_OTROS.md (2.2 y 2.3)]</w:t>
      </w:r>
    </w:p>
    <w:p>
      <w:pPr>
        <w:pStyle w:val="Heading2"/>
      </w:pPr>
      <w:r>
        <w:t>Dónde se oye la defensa del Estado</w:t>
      </w:r>
    </w:p>
    <w:p>
      <w:r>
        <w:t>La defensa del Estado frente al Arca, y lo que la obra le responde, se oyen en el juicio (</w:t>
      </w:r>
      <w:r>
        <w:t>capítulo 11</w:t>
      </w:r>
      <w:r>
        <w:t>):</w:t>
      </w:r>
    </w:p>
    <w:p>
      <w:pPr>
        <w:pStyle w:val="ListBullet"/>
      </w:pPr>
      <w:r>
        <w:rPr>
          <w:b/>
        </w:rPr>
        <w:t>en las cuestiones previas (</w:t>
      </w:r>
      <w:r>
        <w:rPr>
          <w:b/>
        </w:rPr>
        <w:t>11.2</w:t>
      </w:r>
      <w:r>
        <w:rPr>
          <w:b/>
        </w:rPr>
        <w:t>):</w:t>
      </w:r>
      <w:r>
        <w:t xml:space="preserve"> «El Estado es aconfesional» (n.º 5) y «Tres pilares son pocos, y la convergencia es una selección interesada» (n.º 9);</w:t>
      </w:r>
    </w:p>
    <w:p>
      <w:pPr>
        <w:pStyle w:val="ListBullet"/>
      </w:pPr>
      <w:r>
        <w:rPr>
          <w:b/>
        </w:rPr>
        <w:t xml:space="preserve">y en el </w:t>
      </w:r>
      <w:r>
        <w:rPr>
          <w:b/>
        </w:rPr>
        <w:t>cargo 1</w:t>
      </w:r>
      <w:r>
        <w:rPr>
          <w:b/>
        </w:rPr>
        <w:t xml:space="preserve"> («La ley humana, primera fuente»).</w:t>
      </w:r>
    </w:p>
    <w:p>
      <w:r>
        <w:t xml:space="preserve">Las que miran al </w:t>
      </w:r>
      <w:r>
        <w:t>capítulo 3</w:t>
      </w:r>
      <w:r>
        <w:t>, en su lugar (3, «Dónde se oye la defensa del Estado»).</w:t>
      </w:r>
    </w:p>
    <w:p>
      <w:r>
        <w:t>[clasificación de las defensas, aprobada; 11.2 y 11.3]</w:t>
      </w:r>
    </w:p>
    <w:p>
      <w:pPr>
        <w:pStyle w:val="Heading2"/>
      </w:pPr>
      <w:r>
        <w:t>Para recordar</w:t>
      </w:r>
    </w:p>
    <w:p>
      <w:pPr>
        <w:pStyle w:val="ListBullet"/>
      </w:pPr>
      <w:r>
        <w:t xml:space="preserve">Los nueve principios del Arca se leen en seis bloques de tradiciones, cada texto con su fuente; los más fuertes están en el </w:t>
      </w:r>
      <w:r>
        <w:t>capítulo 3</w:t>
      </w:r>
      <w:r>
        <w:t>, y aquí, todos los demás.</w:t>
      </w:r>
    </w:p>
    <w:p>
      <w:pPr>
        <w:pStyle w:val="ListBullet"/>
      </w:pPr>
      <w:r>
        <w:t>Cada bloque tiene su pata coja, y se dice.</w:t>
      </w:r>
    </w:p>
    <w:p>
      <w:pPr>
        <w:pStyle w:val="ListBullet"/>
      </w:pPr>
      <w:r>
        <w:t>El rey que no protege es un ladrón, y el tirano deja de ser rey; la obra toma el principio, no la salida violenta.</w:t>
      </w:r>
    </w:p>
    <w:p>
      <w:pPr>
        <w:pStyle w:val="ListBullet"/>
      </w:pPr>
      <w:r>
        <w:t>El pan propio lo mandan ocho textos de seis civilizaciones, desde las tablillas de Shuruppak.</w:t>
      </w:r>
    </w:p>
    <w:p>
      <w:pPr>
        <w:pStyle w:val="ListBullet"/>
      </w:pPr>
      <w:r>
        <w:t>Pueblos que se dieron su orden por su cuenta coinciden en la tierra en común, la compensación del daño y la decisión en consejo: el orden no nació con la ley de los Estados modernos.</w:t>
      </w:r>
    </w:p>
    <w:p>
      <w:pPr>
        <w:pStyle w:val="ListBullet"/>
      </w:pPr>
      <w:r>
        <w:t>Tres lenguas antiguas llaman a la falta errar el blanco: un tiro que se puede corregir.</w:t>
      </w:r>
    </w:p>
    <w:p>
      <w:pPr>
        <w:pStyle w:val="ListBullet"/>
      </w:pPr>
      <w:r>
        <w:t>Las reglas del juego de la vida, en doce tradiciones: qué se dio, qué se perdió y por dónde se vuelve, cada pasaje con su fuente (</w:t>
      </w:r>
      <w:r>
        <w:t>F.9</w:t>
      </w:r>
      <w:r>
        <w:t>).</w:t>
      </w:r>
    </w:p>
    <w:p>
      <w:r>
        <w:br w:type="page"/>
      </w:r>
    </w:p>
    <w:p>
      <w:pPr>
        <w:pStyle w:val="Heading1"/>
      </w:pPr>
      <w:r>
        <w:t>Anexo G. Cómo se hizo esta obra, para repetirla en otro país</w:t>
      </w:r>
    </w:p>
    <w:p>
      <w:pPr>
        <w:spacing w:after="200"/>
      </w:pPr>
      <w:r>
        <w:rPr>
          <w:rFonts w:ascii="Segoe UI" w:hAnsi="Segoe UI" w:eastAsia="Segoe UI" w:cs="Segoe UI"/>
          <w:color w:val="6B665E"/>
          <w:sz w:val="17"/>
        </w:rPr>
        <w:t>Primera versión: 7 de octubre de 2026 · Última revisión: 13 de octubre de 2026 · Cambios anotados en el capítulo: 14 · Citas leídas en su fuente: 6</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13-oct-2026, después del cierre de la edición (fdc8549) (Kiko, chat de 08.32, 12-oct-2026, 23:5x, fila 766 de 08/01: «si» a una entrada corta en el glosario para «la fuente»; borrador B25 de la carpeta 07, variante A): en G.7, la fila de la entrada «La fuente» del glosario, añadida por el autor tras el cierre (07/herramientas/aplicar_B25_la_fuente.py). Ninguna otra palabra cambia. Cambio del 12-oct-2026, después del cierre de la edición (fdc8549) (Kiko, chat de 08.31, 23:1x, fila 749 de 08/01, tal cual: «</w:t>
      </w:r>
      <w:r>
        <w:t>Apocalipsis del Sistema</w:t>
      </w:r>
      <w:r>
        <w:t>. La disolución del velo del Estado y el retorno a la fuente», y «si» a darlo por decidido): en G.7, la fila del cambio posterior al cierre dice el subtítulo decidido (el de una hora, «Revelaciones de los frutos del Estado: la auditoría», consta en git) (07/herramientas/aplicar_subtitulo_velo_y_fuente.py). Ninguna otra palabra cambia. Cambio del 12-oct-2026, después del cierre de la edición (fdc8549) (Kiko, chat de 08.31, 22:4x, fila 742 de 08/01, tal cual: «</w:t>
      </w:r>
      <w:r>
        <w:t>Apocalipsis del Sistema</w:t>
      </w:r>
      <w:r>
        <w:t>. Revelaciones de los frutos del Estado: la auditoría»; la frase del velo, de 08.31, fila 744): en G.7, la fila del subtítulo nuevo, decidido por el autor tras el cierre (07/herramientas/aplicar_subtitulo_nuevo.py). Ninguna otra palabra cambia. Cambio del 12-oct-2026, el cierre, paso 5 (P6 de M5 bis; Kiko, chat de 08.29, 20:0x, a la fecha del cierre, tal cual: «SI CONCUERDO»; la fecha es la del día en que acabaron los cuatro pasos): en G.7, la fila «12-oct-2026 | el cierre de la edición» detrás de la del 7-oct-2026, y «Cuánto tardó» cuenta hasta el cierre: seis meses y diez días, en lugar de seis meses y cinco días (07/herramientas/aplicar_P6_fechas_G7.py). Ninguna otra palabra cambia. Cambio del 12-oct-2026, el cierre, dentro del paso 3 (forma, sin cambio de sentido; hallado por 09.3 al auditar la conferencia, 08/28, apartado 4; orden de 08.29, fila 715 de 08/01; libro de estilo, normas que más se repiten): (b) en G.3, «algo distinto de lo que» en lugar de «otra cosa de lo que» (07/herramientas/aplicar_cinco_de_forma.py). Ninguna otra palabra cambia. Cambio del 11-oct-2026 (Kiko: «Sí al apartado «Cómo nació el método» en el anexo G», 10-oct, chat de 07.4; y en el chat de 08.10, pasado por 08.10 tal cual: «si a todo esto», «concuerdo literal» y sus dos añadidos; P1 de la ficha 08/12; borrador B11 de la carpeta 07): un apartado nuevo, G.8, «Cómo nació el método», detrás de G.7: tres frases del autor fechadas entre enero y marzo de 2026, copiadas letra a letra de las exportaciones de Google de su actividad en Gemini (no del archivo de su filosofía, que corrige la ortografía), sin ninguna frase de la inteligencia artificial; sus dos añadidos del 11-oct; y lo que consta en ese registro (7-feb-2025, 8-sep-2025 y 24-dic-2025). Una línea en «En pocas palabras», otra en el «Límite honesto» y otra en «Para recordar»; y la tabla de G.7 y «Cuánto tardó», ajustados para que no contradigan a G.8 (la frase de la P6, «al 7-oct-2026», no cambia). Todo es «Lectura del autor»: ninguna «Conclusión» cambia. Cambio del 10-oct-2026 (Kiko, chat de 08.6, 22:3x, pasado por 08.6 tal cual: «SI», a la pregunta de llevar a G.7 el recorrido que contó ese día en los chats de 07.4, 08.6 y 09.1; sus palabras, tal cual, en 08/13, apartados 11, 16, 17 y 19): en G.7, tres precisiones en su voz. El movimiento soberano: tenían el impulso pero «no terminaba de funcionar», la honradez de los profesores, «busqué sus raíces y no las encontré» y algo apuntaba bien, pero no como lo planteaban. El oficio: más de 30 años en mecánica y electromecánica, entre estudios y trabajo (sale «especializado en motos», que él corrigió), y lo que le enseñó (no saltarse ningún paso ni dar nada por presunción). El orden del desmontaje: la filosofía, la historia hacia atrás y al final los textos sagrados, hasta Egipto y los mayas, buscando lo que converge; de ahí la ley de Dios y el orden de las leyes (1.1). La tabla de G.7 y «Cuánto tardó» no cambian. Cambio del 9-oct-2026 (Kiko: «Sí a las tres, aplícalo y sigue con A10»; fila A7 de 03b, la obra como espejo del Estado y lo global y lo particular): en G.0, un bloque nuevo, «Los dos propósitos», entre el primer y el segundo párrafo: la guía para repetir la obra y que el Estado tenga también un referente, como lectura del autor (palabras de Kiko del 6-oct). «La idea» de G.0 no cambia. Cambio del 9-oct-2026 (Kiko, chat de 07, sobre la pregunta a cada persona de G.0: «¿qué vas a hacer tú cuando nadie te mira?»): al final del párrafo «Lectura del autor» de ese bloque, esa reflexión en forma de pregunta abierta, con la forma de los frutos («Lo puedes añadir como reflexión de autor»). Cambio del 9-oct-2026 (orden de la ventana de 08 con las palabras de Kiko copiadas, chat de 08, 20:40: «lo pones como frases directas, preguntas directas que deja el autor en el aire […] O reflexiones del autor y se emiten las preguntas»): en el mismo párrafo «Lectura del autor» de G.0, la serie entera de preguntas, directas, en su voz y una detrás de otra, sin parafrasear; se añaden «¿En qué mundo te gustaría vivir?» y «¿Cuál es el bien que vas a dejar a la gran familia de la tribu humana?», y las dos primeras dejan de ir en indirecto. Cambio del 9-oct-2026 (Kiko, chat de 07: «la frase que más invita a reflexionar es…»; tras proponerle armonizar la serie de preguntas, y su «en todos los sitios»): en G.0, la serie de siete preguntas se reduce a una sola, la que él eligió, dentro del mismo párrafo «Lectura del autor»; la misma va también en 10.9 y en 11.6. Cambio del 9-oct-2026 (Kiko, chat de 07, tras varios dictados; su redacción última): la pregunta pasa a «Ahora que nadie te mira y ves tu reflejo interior, la pregunta que surge: ¿cuáles serán tus frutos? ¿Qué vas a hacer tú?», en lugar de la primera versión. Cambio del 9-oct-2026 (Kiko: «Sí al M4 con las tres recomendaciones» en el chat de 08 y «Sí al M4, aplícalo» en el de 07; borrador M4 de la carpeta 07; 07/05 y fila 26 de 04p): en R3, «los tres niveles de lectura de 0.3» pasa a «las tres puertas de lectura de 0.3» (el lector ya no tiene tres niveles sino tres puertas con dos escalones). ESTADO: APROBADO por Kiko el 7-oct-2026 («si lo apruebo», con los matices del parlamento y con lo que añadió en G.7 sobre por qué se hizo); sus marcas, en 04 CAPITULOS/marcas/marcas del anexo G.txt. Conversación del aviso PASO 3.6; sin agentes ni descargas. Paso 3, anexo G. G.7 (8-oct-2026, Kiko: «sí a todo, con tus recomendaciones»): entran «ni santo ni demonio» y «si Dios no te juzga…» (una libreta privada del autor), con Jn 8:7 sin comillas ni texto; a flecos, sin leer en su fuente: Jn 8:7 en la Reina-Valera (y Rm 14:4, Stg 4:12 y Mt 7:1, por si se quisieran citar). La frase «si Dios no me juzga…» va dicha como del autor, sin afirmar que sea bíblica. Sigue sin entrar «gracias a Dios no he sido denunciado…». La reflexión de la mujer, la polaridad y la virtud en el medio (n.º 5) va al libro, en el capítulo 4 (4.2), a redactar con Gn 1:27, 2:7 y 2:21-22 leídos antes. Plan parlamentado con Kiko, todo decidido: (1) un apartado propio de trampas (G.3, doce de las diecisiete de la libreta 76, con sus puntos de Kiko: duplicados idénticos fuera y de otro año, no; archivos renombrados a lo que contienen; la fuente literal y lo que se saca de ella, aparte; «no entra» con dos motivos); (2) los errores de las herramientas de inteligencia artificial, sin esconderlos; (3) el recorrido (G.7) sin nombrar piezas ni palabras de la Biblioteca vieja, y con la cronología como palabra del autor; (4) el plazo sin promesa, de fecha a fecha; (5) la tabla de fuentes por país, solo con tipos de fuente y la fila de España. La historia personal del autor se publica sin detalle ni nombres; el detalle, en una libreta privada del autor. Kiko, 7-oct: «Puedes publicar mi historia». Lo de su profesor y de su expareja, sin nombres hasta que ellos lo permitan. Sale de: libreta 76 (sección 4, el método, y las lecciones), 14.00 §4 (14.00-6.1 a 6.10), 01.00-7 y 15, 11.00-6, el MAPA CRONOLÓGICO, 00 NORMAS DE TRABAJO (Regla de Oro) y el registro de lo verificado (08, a 7-oct-2026). Leído hoy: recuento de 10 FUENTES LEIDAS (7-oct-2026), niveles A y B del registro 08 por capítulo, y la STC 35/1995 (c9c: presunción de inocencia). A flecos, sin leer en su fuente (nunca fuera; se investigan al final, todos juntos: Kiko, 7-oct): 11.00-6.1, que «sine causa nulla obligatio» no figure en ninguna fuente romana primaria (una primera mirada a lo ya bajado, el Digesto 50, no lo halló; quitada del texto por no ser la dirección de Kiko: no resolver flecos sueltos); 14.00-6.3, «rondas de 10 a 16 artículos» (no hay registro de las rondas); 14.00-6.6, «corregirse tres veces por huecos de diseño» (ídem); 01.00-7.1, que la cita de Crisipo sea «uno de los pocos lugares donde se conserva una cita literal» de su obra perdida; lo de «no he sido denunciado más de la media nacional» (sin aclarar; sin dato no entra). Lo de «según El País» quedó aclarado: es el país, España, y es observación del autor. Fuera, por no venir al caso o no aportar nada (Kiko, 7-oct): 01.00-7.2, «con seis fuentes coincidentes» (la prueba es el texto de Cicerón y el del Digesto); 01.00-7.3, la lista de páginas web secundarias; 11.00-6.1, la conjetura de que «sine causa nulla obligatio» sea «con toda probabilidad una contaminación» (no concluyente: análisis interno); 11.00-6.2, que la máxima de Celso sirva «a la imposibilidad inicial, no a la sobrevenida» (errata nueva: el DPEJ cita la STS de 4-V-2011, que la aplica a la sobrevenida; al 07 con «(paso 3)»). Escrito en tres niveles y con remisiones enlazables.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Cambio del 7-oct-2026 (investigación final de flecos; Kiko, «sí»): el art. 159 sigue incumpliéndose, pero sin declaración formal externa (ni los mandatos cumplidos ni el Auto 177/2022 cumplen la definición de 7.1), y el recuento baja de 24 a 23 (en el bien común 14 y en el organigrama 9). Anotado en el registro, en el 07 y en las libretas.</w:t>
      </w:r>
    </w:p>
    <w:p>
      <w:pPr>
        <w:pBdr>
          <w:left w:val="single" w:sz="24" w:space="6" w:color="E2DED6"/>
        </w:pBdr>
        <w:shd w:val="clear" w:color="auto" w:fill="F1EEE8"/>
        <w:spacing w:before="80" w:after="160"/>
        <w:ind w:left="142" w:right="142"/>
      </w:pPr>
      <w:r>
        <w:rPr>
          <w:b/>
        </w:rPr>
        <w:t>En pocas palabras:</w:t>
      </w:r>
    </w:p>
    <w:p>
      <w:pPr>
        <w:pStyle w:val="ListBullet"/>
      </w:pPr>
      <w:r>
        <w:t>El método de esta obra no es de España: se puede repetir con la Constitución de cualquier país. Cambian las fuentes, no el método.</w:t>
      </w:r>
    </w:p>
    <w:p>
      <w:pPr>
        <w:pStyle w:val="ListBullet"/>
      </w:pPr>
      <w:r>
        <w:t>Tres reglas lo sostienen: bajar primero todas las fuentes y trabajar con ellas en local, no volver a comprobar lo ya comprobado y poner a cada dato su nivel de prueba (A, B o C).</w:t>
      </w:r>
    </w:p>
    <w:p>
      <w:pPr>
        <w:pStyle w:val="ListBullet"/>
      </w:pPr>
      <w:r>
        <w:t>Son siete pasos, del criterio a la fe de erratas, y cada uno se hace una sola vez para toda la obra.</w:t>
      </w:r>
    </w:p>
    <w:p>
      <w:pPr>
        <w:pStyle w:val="ListBullet"/>
      </w:pPr>
      <w:r>
        <w:t>Doce trampas ya costaron tiempo; cada una lleva su regla. Algunas fueron errores de las propias herramientas de inteligencia artificial.</w:t>
      </w:r>
    </w:p>
    <w:p>
      <w:pPr>
        <w:pStyle w:val="ListBullet"/>
      </w:pPr>
      <w:r>
        <w:t>Cuatro citas que circulaban mal quedaron corregidas con su texto original.</w:t>
      </w:r>
    </w:p>
    <w:p>
      <w:pPr>
        <w:pStyle w:val="ListBullet"/>
      </w:pPr>
      <w:r>
        <w:t>El autor cuenta cómo empezó: por una experiencia personal y por haber estudiado, una por una, las teorías del movimiento soberano. Es palabra suya, y va marcada como tal.</w:t>
      </w:r>
    </w:p>
    <w:p>
      <w:pPr>
        <w:pStyle w:val="ListBullet"/>
      </w:pPr>
      <w:r>
        <w:t>El método es anterior a la obra: el autor lo dejó escrito, con fecha, en sus conversaciones con una inteligencia artificial, entre enero y marzo de 2026 (</w:t>
      </w:r>
      <w:r>
        <w:t>G.8</w:t>
      </w:r>
      <w:r>
        <w:t>). También es palabra suya.</w:t>
      </w:r>
    </w:p>
    <w:p>
      <w:pPr>
        <w:pStyle w:val="Heading2"/>
      </w:pPr>
      <w:r>
        <w:t>G.0 Para qué sirve este anexo</w:t>
      </w:r>
    </w:p>
    <w:p>
      <w:pPr>
        <w:pBdr>
          <w:left w:val="single" w:sz="24" w:space="6" w:color="E2DED6"/>
        </w:pBdr>
        <w:shd w:val="clear" w:color="auto" w:fill="F1EEE8"/>
        <w:spacing w:before="80" w:after="160"/>
        <w:ind w:left="142" w:right="142"/>
      </w:pPr>
      <w:r>
        <w:rPr>
          <w:b/>
        </w:rPr>
        <w:t>La idea: lo que se hizo con la Constitución de España se puede hacer con la de cualquier país, y aquí está cómo.</w:t>
      </w:r>
    </w:p>
    <w:p>
      <w:r>
        <w:t>Nada en este método es específico de España. Se puede aplicar, con el mismo rigor, a la constitución escrita de cualquier país</w:t>
      </w:r>
      <w:r>
        <w:t xml:space="preserve"> (pieza 14.00 §4 de la Biblioteca)</w:t>
      </w:r>
      <w:r>
        <w:t xml:space="preserve">. Lo que cambia son las fuentes (su boletín oficial, su tribunal constitucional, su estadística nacional); lo que no cambia es el orden en que se trabaja y la regla de que ningún dato entra sin su fuente. </w:t>
      </w:r>
      <w:r>
        <w:t>[14.00-6.1; libreta 76, sección 4]</w:t>
      </w:r>
    </w:p>
    <w:p>
      <w:r>
        <w:rPr>
          <w:b/>
        </w:rPr>
        <w:t>Los dos propósitos.</w:t>
      </w:r>
      <w:r>
        <w:t xml:space="preserve"> Este anexo sirve para dos cosas. La primera, explicar cómo se hace un trabajo así, con tantos datos repartidos entre instituciones y textos religiosos, filosóficos e históricos, para que quien quiera repetirlo tenga una guía y ganas de hacerlo. La segunda, que el Estado tenga también un referente.</w:t>
      </w:r>
    </w:p>
    <w:p>
      <w:r>
        <w:rPr>
          <w:b/>
        </w:rPr>
        <w:t>Lectura del autor</w:t>
      </w:r>
      <w:r>
        <w:t xml:space="preserve"> (palabras del autor, 6-oct-2026; es lectura, no dato): la obra se hacía al principio a trozos, como quien se lava un brazo por la mañana, el otro por la tarde y un pie cada día, y por eso costaba cada vez más. La salida fue agrupar lo que va junto y hacer cada trabajo una sola vez (</w:t>
      </w:r>
      <w:r>
        <w:t>G.2</w:t>
      </w:r>
      <w:r>
        <w:t>). El autor ve en ello el mismo problema del Estado: se ha fragmentado tanto que se vuelve ineficiente y necesita cada vez más recursos. La obra mide una parte, el volumen de normas que cada persona debería conocer (</w:t>
      </w:r>
      <w:r>
        <w:t>5.2</w:t>
      </w:r>
      <w:r>
        <w:t>); que la fragmentación sea la causa de la ineficiencia y del gasto es una deducción suya. Lo mismo vale para cada persona: agrupar lo que hace y hacerse preguntas. Cada uno encuentra su camino, como la obra encontró el suyo. Y el autor deja en el aire esta reflexión, en forma de preguntas directas, para cada uno: Ahora que nadie te mira y ves tu reflejo interior, la pregunta que surge: ¿cuáles serán tus frutos? ¿Qué vas a hacer tú?</w:t>
      </w:r>
    </w:p>
    <w:p>
      <w:r>
        <w:t>[palabras de Kiko, 6-oct-2026 (libreta de flecos, sección 6) y 9-oct-2026 (la pregunta abierta, chat de 07 y de 08); 03b, A7; libreta 72, punto 147]</w:t>
      </w:r>
    </w:p>
    <w:p>
      <w:r>
        <w:t>La obra la hizo una persona con ayuda de herramientas de inteligencia artificial: Claude Code, Sofía (el asistente de inteligencia artificial de Google) y NotebookLM (</w:t>
      </w:r>
      <w:r>
        <w:t>0.2</w:t>
      </w:r>
      <w:r>
        <w:t>). Esas herramientas se equivocan, y a veces mucho (</w:t>
      </w:r>
      <w:r>
        <w:t>G.3</w:t>
      </w:r>
      <w:r>
        <w:t xml:space="preserve">, n.º 6 a 8); por eso el método no descansa en quién trajo un dato, sino en que se compruebe en su original. </w:t>
      </w:r>
      <w:r>
        <w:t>[0.2; glosario 1.4; libreta 76]</w:t>
      </w:r>
    </w:p>
    <w:p>
      <w:r>
        <w:t>Este anexo no promete ningún plazo. Lo que se tardó esta vez se cuenta, con sus fechas, en G.7.</w:t>
      </w:r>
    </w:p>
    <w:p>
      <w:pPr>
        <w:pStyle w:val="Heading2"/>
      </w:pPr>
      <w:r>
        <w:t>G.1 Las tres reglas</w:t>
      </w:r>
    </w:p>
    <w:p>
      <w:pPr>
        <w:pBdr>
          <w:left w:val="single" w:sz="24" w:space="6" w:color="E2DED6"/>
        </w:pBdr>
        <w:shd w:val="clear" w:color="auto" w:fill="F1EEE8"/>
        <w:spacing w:before="80" w:after="160"/>
        <w:ind w:left="142" w:right="142"/>
      </w:pPr>
      <w:r>
        <w:rPr>
          <w:b/>
        </w:rPr>
        <w:t>La idea: tres reglas evitan volver a hacer lo mismo y dejan a la vista cuánta prueba hay detrás de cada dato.</w:t>
      </w:r>
    </w:p>
    <w:p>
      <w:r>
        <w:rPr>
          <w:b/>
        </w:rPr>
        <w:t>R1. Primero la biblioteca local, entera.</w:t>
      </w:r>
      <w:r>
        <w:t xml:space="preserve"> Cada fuente primaria se baja completa, una sola vez, con su índice y su fecha, y se trabaja con ella en el ordenador. Una consulta suelta en internet obliga a volver una y otra vez; copiar solo un artículo o un trozo es un apaño, y vale más la página o el archivo entero. Cada lote de documentos lleva su índice, con la dirección, la fecha y el pasaje leído. La biblioteca de esta obra tiene hoy unos 3.000 documentos originales. </w:t>
      </w:r>
      <w:r>
        <w:t>[libreta 76, sección 4, R1; leído hoy: recuento de 10 FUENTES LEIDAS, 7-oct-2026]</w:t>
      </w:r>
    </w:p>
    <w:p>
      <w:r>
        <w:rPr>
          <w:b/>
        </w:rPr>
        <w:t>R2. El «check-in»: lo comprobado no se vuelve a comprobar.</w:t>
      </w:r>
      <w:r>
        <w:t xml:space="preserve"> Cada dato comprobado queda en un registro, con su texto literal y su lugar. Antes de leer nada se busca allí, y lo que ya tiene marca no se relee. A 7-oct-2026, el registro de esta edición tiene 1.700 datos y citas con su fuente. </w:t>
      </w:r>
      <w:r>
        <w:t>[libreta 76, sección 4, R2; registro de lo verificado, 08]</w:t>
      </w:r>
    </w:p>
    <w:p>
      <w:r>
        <w:rPr>
          <w:b/>
        </w:rPr>
        <w:t>R3. El patrón de los niveles.</w:t>
      </w:r>
      <w:r>
        <w:t xml:space="preserve"> Cada dato lleva su nivel de prueba, que no hay que confundir con las tres puertas de lectura de 0.3:</w:t>
      </w:r>
    </w:p>
    <w:p>
      <w:pPr>
        <w:pStyle w:val="ListBullet"/>
      </w:pPr>
      <w:r>
        <w:rPr>
          <w:b/>
        </w:rPr>
        <w:t>A:</w:t>
      </w:r>
      <w:r>
        <w:t xml:space="preserve"> leído en el original (la ley, la sentencia, el documento oficial).</w:t>
      </w:r>
    </w:p>
    <w:p>
      <w:pPr>
        <w:pStyle w:val="ListBullet"/>
      </w:pPr>
      <w:r>
        <w:rPr>
          <w:b/>
        </w:rPr>
        <w:t>B:</w:t>
      </w:r>
      <w:r>
        <w:t xml:space="preserve"> fuente secundaria fiable, o varias que coinciden; se marca en el texto.</w:t>
      </w:r>
    </w:p>
    <w:p>
      <w:pPr>
        <w:pStyle w:val="ListBullet"/>
      </w:pPr>
      <w:r>
        <w:rPr>
          <w:b/>
        </w:rPr>
        <w:t>C:</w:t>
      </w:r>
      <w:r>
        <w:t xml:space="preserve"> sin verificar. No entra: queda en la lista de flecos, para leerlo en su fuente.</w:t>
      </w:r>
    </w:p>
    <w:p>
      <w:r>
        <w:t>Así sale el recuento de esta edición: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capítulo</w:t>
            </w:r>
          </w:p>
        </w:tc>
        <w:tc>
          <w:tcPr>
            <w:tcW w:type="dxa" w:w="3061"/>
            <w:shd w:val="clear" w:color="auto" w:fill="F1EEE8"/>
          </w:tcPr>
          <w:p>
            <w:pPr>
              <w:spacing w:after="20" w:line="264" w:lineRule="auto"/>
            </w:pPr>
            <w:r>
              <w:rPr>
                <w:b/>
              </w:rPr>
            </w:r>
            <w:r>
              <w:rPr>
                <w:rFonts w:ascii="Segoe UI" w:hAnsi="Segoe UI" w:eastAsia="Segoe UI" w:cs="Segoe UI"/>
                <w:b/>
                <w:color w:val="1F1D1A"/>
                <w:sz w:val="18"/>
              </w:rPr>
              <w:t>datos y citas con fuente</w:t>
            </w:r>
          </w:p>
        </w:tc>
        <w:tc>
          <w:tcPr>
            <w:tcW w:type="dxa" w:w="3061"/>
            <w:shd w:val="clear" w:color="auto" w:fill="F1EEE8"/>
          </w:tcPr>
          <w:p>
            <w:pPr>
              <w:spacing w:after="20" w:line="264" w:lineRule="auto"/>
            </w:pPr>
            <w:r>
              <w:rPr>
                <w:b/>
              </w:rPr>
            </w:r>
            <w:r>
              <w:rPr>
                <w:rFonts w:ascii="Segoe UI" w:hAnsi="Segoe UI" w:eastAsia="Segoe UI" w:cs="Segoe UI"/>
                <w:b/>
                <w:color w:val="1F1D1A"/>
                <w:sz w:val="18"/>
              </w:rPr>
              <w:t>de ellos, nivel B</w:t>
            </w:r>
          </w:p>
        </w:tc>
      </w:tr>
      <w:tr>
        <w:tc>
          <w:tcPr>
            <w:tcW w:type="dxa" w:w="3061"/>
          </w:tcPr>
          <w:p>
            <w:pPr>
              <w:spacing w:after="20" w:line="264" w:lineRule="auto"/>
            </w:pPr>
            <w:r/>
            <w:r>
              <w:rPr>
                <w:rFonts w:ascii="Segoe UI" w:hAnsi="Segoe UI" w:eastAsia="Segoe UI" w:cs="Segoe UI"/>
                <w:color w:val="1F1D1A"/>
                <w:sz w:val="18"/>
              </w:rPr>
              <w:t>7. La auditoría</w:t>
            </w:r>
          </w:p>
        </w:tc>
        <w:tc>
          <w:tcPr>
            <w:tcW w:type="dxa" w:w="3061"/>
          </w:tcPr>
          <w:p>
            <w:pPr>
              <w:spacing w:after="20" w:line="264" w:lineRule="auto"/>
            </w:pPr>
            <w:r/>
            <w:r>
              <w:rPr>
                <w:rFonts w:ascii="Segoe UI" w:hAnsi="Segoe UI" w:eastAsia="Segoe UI" w:cs="Segoe UI"/>
                <w:color w:val="1F1D1A"/>
                <w:sz w:val="18"/>
              </w:rPr>
              <w:t>109</w:t>
            </w:r>
          </w:p>
        </w:tc>
        <w:tc>
          <w:tcPr>
            <w:tcW w:type="dxa" w:w="3061"/>
          </w:tcPr>
          <w:p>
            <w:pPr>
              <w:spacing w:after="20" w:line="264" w:lineRule="auto"/>
            </w:pPr>
            <w:r/>
            <w:r>
              <w:rPr>
                <w:rFonts w:ascii="Segoe UI" w:hAnsi="Segoe UI" w:eastAsia="Segoe UI" w:cs="Segoe UI"/>
                <w:color w:val="1F1D1A"/>
                <w:sz w:val="18"/>
              </w:rPr>
              <w:t>5</w:t>
            </w:r>
          </w:p>
        </w:tc>
      </w:tr>
      <w:tr>
        <w:tc>
          <w:tcPr>
            <w:tcW w:type="dxa" w:w="3061"/>
          </w:tcPr>
          <w:p>
            <w:pPr>
              <w:spacing w:after="20" w:line="264" w:lineRule="auto"/>
            </w:pPr>
            <w:r/>
            <w:r>
              <w:rPr>
                <w:rFonts w:ascii="Segoe UI" w:hAnsi="Segoe UI" w:eastAsia="Segoe UI" w:cs="Segoe UI"/>
                <w:color w:val="1F1D1A"/>
                <w:sz w:val="18"/>
              </w:rPr>
              <w:t>8. Los frutos</w:t>
            </w:r>
          </w:p>
        </w:tc>
        <w:tc>
          <w:tcPr>
            <w:tcW w:type="dxa" w:w="3061"/>
          </w:tcPr>
          <w:p>
            <w:pPr>
              <w:spacing w:after="20" w:line="264" w:lineRule="auto"/>
            </w:pPr>
            <w:r/>
            <w:r>
              <w:rPr>
                <w:rFonts w:ascii="Segoe UI" w:hAnsi="Segoe UI" w:eastAsia="Segoe UI" w:cs="Segoe UI"/>
                <w:color w:val="1F1D1A"/>
                <w:sz w:val="18"/>
              </w:rPr>
              <w:t>166</w:t>
            </w:r>
          </w:p>
        </w:tc>
        <w:tc>
          <w:tcPr>
            <w:tcW w:type="dxa" w:w="3061"/>
          </w:tcPr>
          <w:p>
            <w:pPr>
              <w:spacing w:after="20" w:line="264" w:lineRule="auto"/>
            </w:pPr>
            <w:r/>
            <w:r>
              <w:rPr>
                <w:rFonts w:ascii="Segoe UI" w:hAnsi="Segoe UI" w:eastAsia="Segoe UI" w:cs="Segoe UI"/>
                <w:color w:val="1F1D1A"/>
                <w:sz w:val="18"/>
              </w:rPr>
              <w:t>4</w:t>
            </w:r>
          </w:p>
        </w:tc>
      </w:tr>
      <w:tr>
        <w:tc>
          <w:tcPr>
            <w:tcW w:type="dxa" w:w="3061"/>
          </w:tcPr>
          <w:p>
            <w:pPr>
              <w:spacing w:after="20" w:line="264" w:lineRule="auto"/>
            </w:pPr>
            <w:r/>
            <w:r>
              <w:rPr>
                <w:rFonts w:ascii="Segoe UI" w:hAnsi="Segoe UI" w:eastAsia="Segoe UI" w:cs="Segoe UI"/>
                <w:color w:val="1F1D1A"/>
                <w:sz w:val="18"/>
              </w:rPr>
              <w:t>10. Las puertas</w:t>
            </w:r>
          </w:p>
        </w:tc>
        <w:tc>
          <w:tcPr>
            <w:tcW w:type="dxa" w:w="3061"/>
          </w:tcPr>
          <w:p>
            <w:pPr>
              <w:spacing w:after="20" w:line="264" w:lineRule="auto"/>
            </w:pPr>
            <w:r/>
            <w:r>
              <w:rPr>
                <w:rFonts w:ascii="Segoe UI" w:hAnsi="Segoe UI" w:eastAsia="Segoe UI" w:cs="Segoe UI"/>
                <w:color w:val="1F1D1A"/>
                <w:sz w:val="18"/>
              </w:rPr>
              <w:t>145</w:t>
            </w:r>
          </w:p>
        </w:tc>
        <w:tc>
          <w:tcPr>
            <w:tcW w:type="dxa" w:w="3061"/>
          </w:tcPr>
          <w:p>
            <w:pPr>
              <w:spacing w:after="20" w:line="264" w:lineRule="auto"/>
            </w:pPr>
            <w:r/>
            <w:r>
              <w:rPr>
                <w:rFonts w:ascii="Segoe UI" w:hAnsi="Segoe UI" w:eastAsia="Segoe UI" w:cs="Segoe UI"/>
                <w:color w:val="1F1D1A"/>
                <w:sz w:val="18"/>
              </w:rPr>
              <w:t>0</w:t>
            </w:r>
          </w:p>
        </w:tc>
      </w:tr>
      <w:tr>
        <w:tc>
          <w:tcPr>
            <w:tcW w:type="dxa" w:w="3061"/>
          </w:tcPr>
          <w:p>
            <w:pPr>
              <w:spacing w:after="20" w:line="264" w:lineRule="auto"/>
            </w:pPr>
            <w:r/>
            <w:r>
              <w:rPr>
                <w:rFonts w:ascii="Segoe UI" w:hAnsi="Segoe UI" w:eastAsia="Segoe UI" w:cs="Segoe UI"/>
                <w:color w:val="1F1D1A"/>
                <w:sz w:val="18"/>
              </w:rPr>
              <w:t>9. El dictamen</w:t>
            </w:r>
          </w:p>
        </w:tc>
        <w:tc>
          <w:tcPr>
            <w:tcW w:type="dxa" w:w="3061"/>
          </w:tcPr>
          <w:p>
            <w:pPr>
              <w:spacing w:after="20" w:line="264" w:lineRule="auto"/>
            </w:pPr>
            <w:r/>
            <w:r>
              <w:rPr>
                <w:rFonts w:ascii="Segoe UI" w:hAnsi="Segoe UI" w:eastAsia="Segoe UI" w:cs="Segoe UI"/>
                <w:color w:val="1F1D1A"/>
                <w:sz w:val="18"/>
              </w:rPr>
              <w:t>105</w:t>
            </w:r>
          </w:p>
        </w:tc>
        <w:tc>
          <w:tcPr>
            <w:tcW w:type="dxa" w:w="3061"/>
          </w:tcPr>
          <w:p>
            <w:pPr>
              <w:spacing w:after="20" w:line="264" w:lineRule="auto"/>
            </w:pPr>
            <w:r/>
            <w:r>
              <w:rPr>
                <w:rFonts w:ascii="Segoe UI" w:hAnsi="Segoe UI" w:eastAsia="Segoe UI" w:cs="Segoe UI"/>
                <w:color w:val="1F1D1A"/>
                <w:sz w:val="18"/>
              </w:rPr>
              <w:t>25</w:t>
            </w:r>
          </w:p>
        </w:tc>
      </w:tr>
      <w:tr>
        <w:tc>
          <w:tcPr>
            <w:tcW w:type="dxa" w:w="3061"/>
          </w:tcPr>
          <w:p>
            <w:pPr>
              <w:spacing w:after="20" w:line="264" w:lineRule="auto"/>
            </w:pPr>
            <w:r/>
            <w:r>
              <w:rPr>
                <w:rFonts w:ascii="Segoe UI" w:hAnsi="Segoe UI" w:eastAsia="Segoe UI" w:cs="Segoe UI"/>
                <w:b/>
                <w:color w:val="1F1D1A"/>
                <w:sz w:val="18"/>
              </w:rPr>
              <w:t>Toda la edición</w:t>
            </w:r>
          </w:p>
        </w:tc>
        <w:tc>
          <w:tcPr>
            <w:tcW w:type="dxa" w:w="3061"/>
          </w:tcPr>
          <w:p>
            <w:pPr>
              <w:spacing w:after="20" w:line="264" w:lineRule="auto"/>
            </w:pPr>
            <w:r/>
            <w:r>
              <w:rPr>
                <w:rFonts w:ascii="Segoe UI" w:hAnsi="Segoe UI" w:eastAsia="Segoe UI" w:cs="Segoe UI"/>
                <w:b/>
                <w:color w:val="1F1D1A"/>
                <w:sz w:val="18"/>
              </w:rPr>
              <w:t>1.700</w:t>
            </w:r>
          </w:p>
        </w:tc>
        <w:tc>
          <w:tcPr>
            <w:tcW w:type="dxa" w:w="3061"/>
          </w:tcPr>
          <w:p>
            <w:pPr>
              <w:spacing w:after="20" w:line="264" w:lineRule="auto"/>
            </w:pPr>
            <w:r/>
            <w:r>
              <w:rPr>
                <w:rFonts w:ascii="Segoe UI" w:hAnsi="Segoe UI" w:eastAsia="Segoe UI" w:cs="Segoe UI"/>
                <w:b/>
                <w:color w:val="1F1D1A"/>
                <w:sz w:val="18"/>
              </w:rPr>
              <w:t>54</w:t>
            </w:r>
          </w:p>
        </w:tc>
      </w:tr>
    </w:tbl>
    <w:p>
      <w:pPr>
        <w:spacing w:after="80"/>
      </w:pPr>
    </w:p>
    <w:p>
      <w:r>
        <w:t>[registro de lo verificado, 08, resumen a 7-oct-2026]</w:t>
      </w:r>
    </w:p>
    <w:p>
      <w:r>
        <w:rPr>
          <w:b/>
        </w:rPr>
        <w:t>Conclusión, lo que arrojan los datos:</w:t>
      </w:r>
      <w:r>
        <w:t xml:space="preserve"> de los 1.700 datos y citas con fuente, 1.646 (96,8 %) son de nivel A y 54 (3,2 %) de nivel B. Los de nivel B son enciclopedias, estudios académicos, prensa y documentos que solo se leen a través de otro; 25 de ellos están en el </w:t>
      </w:r>
      <w:r>
        <w:t>capítulo 9</w:t>
      </w:r>
      <w:r>
        <w:t xml:space="preserve">, que cuenta casos históricos de otros países. Los capítulos que se apoyan en la ley, las sentencias y la estadística oficial (7, 8 y 10) suman 420 datos y solo 9 de nivel B. </w:t>
      </w:r>
      <w:r>
        <w:t>[registro de lo verificado, 08; cuenta de la edición]</w:t>
      </w:r>
    </w:p>
    <w:p>
      <w:r>
        <w:rPr>
          <w:b/>
        </w:rPr>
        <w:t>Lectura del autor:</w:t>
      </w:r>
      <w:r>
        <w:t xml:space="preserve"> el mapa de niveles dice dónde un argumento es fuerte y dónde es débil, y por eso cada dato lleva el suyo. Quien repita la obra con otro país encontrará, cree el autor, lo mismo: lo que sale A es lo que está escrito en la ley y medido por el propio Estado; lo que baja a B o a C suele ser la prensa, la frase sin dueño y el dato de quien tiene interés. </w:t>
      </w:r>
      <w:r>
        <w:t>[Kiko, 6-oct-2026; libreta 76, sección 4, R3]</w:t>
      </w:r>
    </w:p>
    <w:p>
      <w:pPr>
        <w:pStyle w:val="Heading2"/>
      </w:pPr>
      <w:r>
        <w:t>G.2 Los siete pasos</w:t>
      </w:r>
    </w:p>
    <w:p>
      <w:pPr>
        <w:pBdr>
          <w:left w:val="single" w:sz="24" w:space="6" w:color="E2DED6"/>
        </w:pBdr>
        <w:shd w:val="clear" w:color="auto" w:fill="F1EEE8"/>
        <w:spacing w:before="80" w:after="160"/>
        <w:ind w:left="142" w:right="142"/>
      </w:pPr>
      <w:r>
        <w:rPr>
          <w:b/>
        </w:rPr>
        <w:t>La idea: siete pasos, en este orden, y cada uno una sola vez para toda la obra.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paso</w:t>
            </w:r>
          </w:p>
        </w:tc>
        <w:tc>
          <w:tcPr>
            <w:tcW w:type="dxa" w:w="2296"/>
            <w:shd w:val="clear" w:color="auto" w:fill="F1EEE8"/>
          </w:tcPr>
          <w:p>
            <w:pPr>
              <w:spacing w:after="20" w:line="264" w:lineRule="auto"/>
            </w:pPr>
            <w:r>
              <w:rPr>
                <w:b/>
              </w:rPr>
            </w:r>
            <w:r>
              <w:rPr>
                <w:rFonts w:ascii="Segoe UI" w:hAnsi="Segoe UI" w:eastAsia="Segoe UI" w:cs="Segoe UI"/>
                <w:b/>
                <w:color w:val="1F1D1A"/>
                <w:sz w:val="18"/>
              </w:rPr>
              <w:t>quién</w:t>
            </w:r>
          </w:p>
        </w:tc>
        <w:tc>
          <w:tcPr>
            <w:tcW w:type="dxa" w:w="2296"/>
            <w:shd w:val="clear" w:color="auto" w:fill="F1EEE8"/>
          </w:tcPr>
          <w:p>
            <w:pPr>
              <w:spacing w:after="20" w:line="264" w:lineRule="auto"/>
            </w:pPr>
            <w:r>
              <w:rPr>
                <w:b/>
              </w:rPr>
            </w:r>
            <w:r>
              <w:rPr>
                <w:rFonts w:ascii="Segoe UI" w:hAnsi="Segoe UI" w:eastAsia="Segoe UI" w:cs="Segoe UI"/>
                <w:b/>
                <w:color w:val="1F1D1A"/>
                <w:sz w:val="18"/>
              </w:rPr>
              <w:t>qué se hace</w:t>
            </w:r>
          </w:p>
        </w:tc>
        <w:tc>
          <w:tcPr>
            <w:tcW w:type="dxa" w:w="2296"/>
            <w:shd w:val="clear" w:color="auto" w:fill="F1EEE8"/>
          </w:tcPr>
          <w:p>
            <w:pPr>
              <w:spacing w:after="20" w:line="264" w:lineRule="auto"/>
            </w:pPr>
            <w:r>
              <w:rPr>
                <w:b/>
              </w:rPr>
            </w:r>
            <w:r>
              <w:rPr>
                <w:rFonts w:ascii="Segoe UI" w:hAnsi="Segoe UI" w:eastAsia="Segoe UI" w:cs="Segoe UI"/>
                <w:b/>
                <w:color w:val="1F1D1A"/>
                <w:sz w:val="18"/>
              </w:rPr>
              <w:t>qué sale</w:t>
            </w:r>
          </w:p>
        </w:tc>
      </w:tr>
      <w:tr>
        <w:tc>
          <w:tcPr>
            <w:tcW w:type="dxa" w:w="2296"/>
          </w:tcPr>
          <w:p>
            <w:pPr>
              <w:spacing w:after="20" w:line="264" w:lineRule="auto"/>
            </w:pPr>
            <w:r/>
            <w:r>
              <w:rPr>
                <w:rFonts w:ascii="Segoe UI" w:hAnsi="Segoe UI" w:eastAsia="Segoe UI" w:cs="Segoe UI"/>
                <w:b/>
                <w:color w:val="1F1D1A"/>
                <w:sz w:val="18"/>
              </w:rPr>
              <w:t>0. La pregunta y la vara</w:t>
            </w:r>
          </w:p>
        </w:tc>
        <w:tc>
          <w:tcPr>
            <w:tcW w:type="dxa" w:w="2296"/>
          </w:tcPr>
          <w:p>
            <w:pPr>
              <w:spacing w:after="20" w:line="264" w:lineRule="auto"/>
            </w:pPr>
            <w:r/>
            <w:r>
              <w:rPr>
                <w:rFonts w:ascii="Segoe UI" w:hAnsi="Segoe UI" w:eastAsia="Segoe UI" w:cs="Segoe UI"/>
                <w:color w:val="1F1D1A"/>
                <w:sz w:val="18"/>
              </w:rPr>
              <w:t>el autor</w:t>
            </w:r>
          </w:p>
        </w:tc>
        <w:tc>
          <w:tcPr>
            <w:tcW w:type="dxa" w:w="2296"/>
          </w:tcPr>
          <w:p>
            <w:pPr>
              <w:spacing w:after="20" w:line="264" w:lineRule="auto"/>
            </w:pPr>
            <w:r/>
            <w:r>
              <w:rPr>
                <w:rFonts w:ascii="Segoe UI" w:hAnsi="Segoe UI" w:eastAsia="Segoe UI" w:cs="Segoe UI"/>
                <w:color w:val="1F1D1A"/>
                <w:sz w:val="18"/>
              </w:rPr>
              <w:t>decide qué quiere probar y con qué criterio; la vara, antes de mirar los datos (</w:t>
            </w:r>
            <w:r>
              <w:rPr>
                <w:rFonts w:ascii="Segoe UI" w:hAnsi="Segoe UI" w:eastAsia="Segoe UI" w:cs="Segoe UI"/>
                <w:color w:val="1F1D1A"/>
                <w:sz w:val="18"/>
              </w:rPr>
              <w:t>0.5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pregunta y el criterio</w:t>
            </w:r>
          </w:p>
        </w:tc>
      </w:tr>
      <w:tr>
        <w:tc>
          <w:tcPr>
            <w:tcW w:type="dxa" w:w="2296"/>
          </w:tcPr>
          <w:p>
            <w:pPr>
              <w:spacing w:after="20" w:line="264" w:lineRule="auto"/>
            </w:pPr>
            <w:r/>
            <w:r>
              <w:rPr>
                <w:rFonts w:ascii="Segoe UI" w:hAnsi="Segoe UI" w:eastAsia="Segoe UI" w:cs="Segoe UI"/>
                <w:b/>
                <w:color w:val="1F1D1A"/>
                <w:sz w:val="18"/>
              </w:rPr>
              <w:t>1. La biblioteca local</w:t>
            </w:r>
          </w:p>
        </w:tc>
        <w:tc>
          <w:tcPr>
            <w:tcW w:type="dxa" w:w="2296"/>
          </w:tcPr>
          <w:p>
            <w:pPr>
              <w:spacing w:after="20" w:line="264" w:lineRule="auto"/>
            </w:pPr>
            <w:r/>
            <w:r>
              <w:rPr>
                <w:rFonts w:ascii="Segoe UI" w:hAnsi="Segoe UI" w:eastAsia="Segoe UI" w:cs="Segoe UI"/>
                <w:color w:val="1F1D1A"/>
                <w:sz w:val="18"/>
              </w:rPr>
              <w:t>el buscador, persona o programa</w:t>
            </w:r>
          </w:p>
        </w:tc>
        <w:tc>
          <w:tcPr>
            <w:tcW w:type="dxa" w:w="2296"/>
          </w:tcPr>
          <w:p>
            <w:pPr>
              <w:spacing w:after="20" w:line="264" w:lineRule="auto"/>
            </w:pPr>
            <w:r/>
            <w:r>
              <w:rPr>
                <w:rFonts w:ascii="Segoe UI" w:hAnsi="Segoe UI" w:eastAsia="Segoe UI" w:cs="Segoe UI"/>
                <w:color w:val="1F1D1A"/>
                <w:sz w:val="18"/>
              </w:rPr>
              <w:t>baja, íntegros y una vez, el boletín oficial, la constitución, las sentencias, la estadística y el tribunal de cuentas</w:t>
            </w:r>
          </w:p>
        </w:tc>
        <w:tc>
          <w:tcPr>
            <w:tcW w:type="dxa" w:w="2296"/>
          </w:tcPr>
          <w:p>
            <w:pPr>
              <w:spacing w:after="20" w:line="264" w:lineRule="auto"/>
            </w:pPr>
            <w:r/>
            <w:r>
              <w:rPr>
                <w:rFonts w:ascii="Segoe UI" w:hAnsi="Segoe UI" w:eastAsia="Segoe UI" w:cs="Segoe UI"/>
                <w:color w:val="1F1D1A"/>
                <w:sz w:val="18"/>
              </w:rPr>
              <w:t>los originales, con su índice y su fecha</w:t>
            </w:r>
          </w:p>
        </w:tc>
      </w:tr>
      <w:tr>
        <w:tc>
          <w:tcPr>
            <w:tcW w:type="dxa" w:w="2296"/>
          </w:tcPr>
          <w:p>
            <w:pPr>
              <w:spacing w:after="20" w:line="264" w:lineRule="auto"/>
            </w:pPr>
            <w:r/>
            <w:r>
              <w:rPr>
                <w:rFonts w:ascii="Segoe UI" w:hAnsi="Segoe UI" w:eastAsia="Segoe UI" w:cs="Segoe UI"/>
                <w:b/>
                <w:color w:val="1F1D1A"/>
                <w:sz w:val="18"/>
              </w:rPr>
              <w:t>2. El inventario</w:t>
            </w:r>
          </w:p>
        </w:tc>
        <w:tc>
          <w:tcPr>
            <w:tcW w:type="dxa" w:w="2296"/>
          </w:tcPr>
          <w:p>
            <w:pPr>
              <w:spacing w:after="20" w:line="264" w:lineRule="auto"/>
            </w:pPr>
            <w:r/>
            <w:r>
              <w:rPr>
                <w:rFonts w:ascii="Segoe UI" w:hAnsi="Segoe UI" w:eastAsia="Segoe UI" w:cs="Segoe UI"/>
                <w:color w:val="1F1D1A"/>
                <w:sz w:val="18"/>
              </w:rPr>
              <w:t>un programa</w:t>
            </w:r>
          </w:p>
        </w:tc>
        <w:tc>
          <w:tcPr>
            <w:tcW w:type="dxa" w:w="2296"/>
          </w:tcPr>
          <w:p>
            <w:pPr>
              <w:spacing w:after="20" w:line="264" w:lineRule="auto"/>
            </w:pPr>
            <w:r/>
            <w:r>
              <w:rPr>
                <w:rFonts w:ascii="Segoe UI" w:hAnsi="Segoe UI" w:eastAsia="Segoe UI" w:cs="Segoe UI"/>
                <w:color w:val="1F1D1A"/>
                <w:sz w:val="18"/>
              </w:rPr>
              <w:t>numera cada párrafo con un código; nada se borra en silencio</w:t>
            </w:r>
          </w:p>
        </w:tc>
        <w:tc>
          <w:tcPr>
            <w:tcW w:type="dxa" w:w="2296"/>
          </w:tcPr>
          <w:p>
            <w:pPr>
              <w:spacing w:after="20" w:line="264" w:lineRule="auto"/>
            </w:pPr>
            <w:r/>
            <w:r>
              <w:rPr>
                <w:rFonts w:ascii="Segoe UI" w:hAnsi="Segoe UI" w:eastAsia="Segoe UI" w:cs="Segoe UI"/>
                <w:color w:val="1F1D1A"/>
                <w:sz w:val="18"/>
              </w:rPr>
              <w:t>el inventario de procedencia</w:t>
            </w:r>
          </w:p>
        </w:tc>
      </w:tr>
      <w:tr>
        <w:tc>
          <w:tcPr>
            <w:tcW w:type="dxa" w:w="2296"/>
          </w:tcPr>
          <w:p>
            <w:pPr>
              <w:spacing w:after="20" w:line="264" w:lineRule="auto"/>
            </w:pPr>
            <w:r/>
            <w:r>
              <w:rPr>
                <w:rFonts w:ascii="Segoe UI" w:hAnsi="Segoe UI" w:eastAsia="Segoe UI" w:cs="Segoe UI"/>
                <w:b/>
                <w:color w:val="1F1D1A"/>
                <w:sz w:val="18"/>
              </w:rPr>
              <w:t>3. La criba</w:t>
            </w:r>
          </w:p>
        </w:tc>
        <w:tc>
          <w:tcPr>
            <w:tcW w:type="dxa" w:w="2296"/>
          </w:tcPr>
          <w:p>
            <w:pPr>
              <w:spacing w:after="20" w:line="264" w:lineRule="auto"/>
            </w:pPr>
            <w:r/>
            <w:r>
              <w:rPr>
                <w:rFonts w:ascii="Segoe UI" w:hAnsi="Segoe UI" w:eastAsia="Segoe UI" w:cs="Segoe UI"/>
                <w:color w:val="1F1D1A"/>
                <w:sz w:val="18"/>
              </w:rPr>
              <w:t>un programa, revisado con una muestra</w:t>
            </w:r>
          </w:p>
        </w:tc>
        <w:tc>
          <w:tcPr>
            <w:tcW w:type="dxa" w:w="2296"/>
          </w:tcPr>
          <w:p>
            <w:pPr>
              <w:spacing w:after="20" w:line="264" w:lineRule="auto"/>
            </w:pPr>
            <w:r/>
            <w:r>
              <w:rPr>
                <w:rFonts w:ascii="Segoe UI" w:hAnsi="Segoe UI" w:eastAsia="Segoe UI" w:cs="Segoe UI"/>
                <w:color w:val="1F1D1A"/>
                <w:sz w:val="18"/>
              </w:rPr>
              <w:t>marca qué afirmaciones necesitan prueba (cifras, citas, plazos, artículos) y mira también lo que deja fuera</w:t>
            </w:r>
          </w:p>
        </w:tc>
        <w:tc>
          <w:tcPr>
            <w:tcW w:type="dxa" w:w="2296"/>
          </w:tcPr>
          <w:p>
            <w:pPr>
              <w:spacing w:after="20" w:line="264" w:lineRule="auto"/>
            </w:pPr>
            <w:r/>
            <w:r>
              <w:rPr>
                <w:rFonts w:ascii="Segoe UI" w:hAnsi="Segoe UI" w:eastAsia="Segoe UI" w:cs="Segoe UI"/>
                <w:color w:val="1F1D1A"/>
                <w:sz w:val="18"/>
              </w:rPr>
              <w:t>la lista de lo que hay que comprobar</w:t>
            </w:r>
          </w:p>
        </w:tc>
      </w:tr>
      <w:tr>
        <w:tc>
          <w:tcPr>
            <w:tcW w:type="dxa" w:w="2296"/>
          </w:tcPr>
          <w:p>
            <w:pPr>
              <w:spacing w:after="20" w:line="264" w:lineRule="auto"/>
            </w:pPr>
            <w:r/>
            <w:r>
              <w:rPr>
                <w:rFonts w:ascii="Segoe UI" w:hAnsi="Segoe UI" w:eastAsia="Segoe UI" w:cs="Segoe UI"/>
                <w:b/>
                <w:color w:val="1F1D1A"/>
                <w:sz w:val="18"/>
              </w:rPr>
              <w:t>4. La comprobación</w:t>
            </w:r>
          </w:p>
        </w:tc>
        <w:tc>
          <w:tcPr>
            <w:tcW w:type="dxa" w:w="2296"/>
          </w:tcPr>
          <w:p>
            <w:pPr>
              <w:spacing w:after="20" w:line="264" w:lineRule="auto"/>
            </w:pPr>
            <w:r/>
            <w:r>
              <w:rPr>
                <w:rFonts w:ascii="Segoe UI" w:hAnsi="Segoe UI" w:eastAsia="Segoe UI" w:cs="Segoe UI"/>
                <w:color w:val="1F1D1A"/>
                <w:sz w:val="18"/>
              </w:rPr>
              <w:t>el verificador</w:t>
            </w:r>
          </w:p>
        </w:tc>
        <w:tc>
          <w:tcPr>
            <w:tcW w:type="dxa" w:w="2296"/>
          </w:tcPr>
          <w:p>
            <w:pPr>
              <w:spacing w:after="20" w:line="264" w:lineRule="auto"/>
            </w:pPr>
            <w:r/>
            <w:r>
              <w:rPr>
                <w:rFonts w:ascii="Segoe UI" w:hAnsi="Segoe UI" w:eastAsia="Segoe UI" w:cs="Segoe UI"/>
                <w:color w:val="1F1D1A"/>
                <w:sz w:val="18"/>
              </w:rPr>
              <w:t>abre cada fuente una vez para toda la obra; copia el texto literal y el lugar; da el nivel A, B o C</w:t>
            </w:r>
          </w:p>
        </w:tc>
        <w:tc>
          <w:tcPr>
            <w:tcW w:type="dxa" w:w="2296"/>
          </w:tcPr>
          <w:p>
            <w:pPr>
              <w:spacing w:after="20" w:line="264" w:lineRule="auto"/>
            </w:pPr>
            <w:r/>
            <w:r>
              <w:rPr>
                <w:rFonts w:ascii="Segoe UI" w:hAnsi="Segoe UI" w:eastAsia="Segoe UI" w:cs="Segoe UI"/>
                <w:color w:val="1F1D1A"/>
                <w:sz w:val="18"/>
              </w:rPr>
              <w:t>el registro de lo verificado y la fe de erratas</w:t>
            </w:r>
          </w:p>
        </w:tc>
      </w:tr>
      <w:tr>
        <w:tc>
          <w:tcPr>
            <w:tcW w:type="dxa" w:w="2296"/>
          </w:tcPr>
          <w:p>
            <w:pPr>
              <w:spacing w:after="20" w:line="264" w:lineRule="auto"/>
            </w:pPr>
            <w:r/>
            <w:r>
              <w:rPr>
                <w:rFonts w:ascii="Segoe UI" w:hAnsi="Segoe UI" w:eastAsia="Segoe UI" w:cs="Segoe UI"/>
                <w:b/>
                <w:color w:val="1F1D1A"/>
                <w:sz w:val="18"/>
              </w:rPr>
              <w:t>5. La redacción</w:t>
            </w:r>
          </w:p>
        </w:tc>
        <w:tc>
          <w:tcPr>
            <w:tcW w:type="dxa" w:w="2296"/>
          </w:tcPr>
          <w:p>
            <w:pPr>
              <w:spacing w:after="20" w:line="264" w:lineRule="auto"/>
            </w:pPr>
            <w:r/>
            <w:r>
              <w:rPr>
                <w:rFonts w:ascii="Segoe UI" w:hAnsi="Segoe UI" w:eastAsia="Segoe UI" w:cs="Segoe UI"/>
                <w:color w:val="1F1D1A"/>
                <w:sz w:val="18"/>
              </w:rPr>
              <w:t>el redactor</w:t>
            </w:r>
          </w:p>
        </w:tc>
        <w:tc>
          <w:tcPr>
            <w:tcW w:type="dxa" w:w="2296"/>
          </w:tcPr>
          <w:p>
            <w:pPr>
              <w:spacing w:after="20" w:line="264" w:lineRule="auto"/>
            </w:pPr>
            <w:r/>
            <w:r>
              <w:rPr>
                <w:rFonts w:ascii="Segoe UI" w:hAnsi="Segoe UI" w:eastAsia="Segoe UI" w:cs="Segoe UI"/>
                <w:color w:val="1F1D1A"/>
                <w:sz w:val="18"/>
              </w:rPr>
              <w:t>escribe solo con A y B, en tres capas: los hechos, la conclusión de los datos y la lectura del autor (</w:t>
            </w:r>
            <w:r>
              <w:rPr>
                <w:rFonts w:ascii="Segoe UI" w:hAnsi="Segoe UI" w:eastAsia="Segoe UI" w:cs="Segoe UI"/>
                <w:color w:val="1F1D1A"/>
                <w:sz w:val="18"/>
              </w:rPr>
              <w:t>0.3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los capítulos</w:t>
            </w:r>
          </w:p>
        </w:tc>
      </w:tr>
      <w:tr>
        <w:tc>
          <w:tcPr>
            <w:tcW w:type="dxa" w:w="2296"/>
          </w:tcPr>
          <w:p>
            <w:pPr>
              <w:spacing w:after="20" w:line="264" w:lineRule="auto"/>
            </w:pPr>
            <w:r/>
            <w:r>
              <w:rPr>
                <w:rFonts w:ascii="Segoe UI" w:hAnsi="Segoe UI" w:eastAsia="Segoe UI" w:cs="Segoe UI"/>
                <w:b/>
                <w:color w:val="1F1D1A"/>
                <w:sz w:val="18"/>
              </w:rPr>
              <w:t>6. Las dos caras</w:t>
            </w:r>
          </w:p>
        </w:tc>
        <w:tc>
          <w:tcPr>
            <w:tcW w:type="dxa" w:w="2296"/>
          </w:tcPr>
          <w:p>
            <w:pPr>
              <w:spacing w:after="20" w:line="264" w:lineRule="auto"/>
            </w:pPr>
            <w:r/>
            <w:r>
              <w:rPr>
                <w:rFonts w:ascii="Segoe UI" w:hAnsi="Segoe UI" w:eastAsia="Segoe UI" w:cs="Segoe UI"/>
                <w:color w:val="1F1D1A"/>
                <w:sz w:val="18"/>
              </w:rPr>
              <w:t>el abogado del diablo</w:t>
            </w:r>
          </w:p>
        </w:tc>
        <w:tc>
          <w:tcPr>
            <w:tcW w:type="dxa" w:w="2296"/>
          </w:tcPr>
          <w:p>
            <w:pPr>
              <w:spacing w:after="20" w:line="264" w:lineRule="auto"/>
            </w:pPr>
            <w:r/>
            <w:r>
              <w:rPr>
                <w:rFonts w:ascii="Segoe UI" w:hAnsi="Segoe UI" w:eastAsia="Segoe UI" w:cs="Segoe UI"/>
                <w:color w:val="1F1D1A"/>
                <w:sz w:val="18"/>
              </w:rPr>
              <w:t>escribe la mejor defensa del Estado y el límite honesto de la prueba</w:t>
            </w:r>
          </w:p>
        </w:tc>
        <w:tc>
          <w:tcPr>
            <w:tcW w:type="dxa" w:w="2296"/>
          </w:tcPr>
          <w:p>
            <w:pPr>
              <w:spacing w:after="20" w:line="264" w:lineRule="auto"/>
            </w:pPr>
            <w:r/>
            <w:r>
              <w:rPr>
                <w:rFonts w:ascii="Segoe UI" w:hAnsi="Segoe UI" w:eastAsia="Segoe UI" w:cs="Segoe UI"/>
                <w:color w:val="1F1D1A"/>
                <w:sz w:val="18"/>
              </w:rPr>
              <w:t>la defensa y los contrapuntos</w:t>
            </w:r>
          </w:p>
        </w:tc>
      </w:tr>
      <w:tr>
        <w:tc>
          <w:tcPr>
            <w:tcW w:type="dxa" w:w="2296"/>
          </w:tcPr>
          <w:p>
            <w:pPr>
              <w:spacing w:after="20" w:line="264" w:lineRule="auto"/>
            </w:pPr>
            <w:r/>
            <w:r>
              <w:rPr>
                <w:rFonts w:ascii="Segoe UI" w:hAnsi="Segoe UI" w:eastAsia="Segoe UI" w:cs="Segoe UI"/>
                <w:b/>
                <w:color w:val="1F1D1A"/>
                <w:sz w:val="18"/>
              </w:rPr>
              <w:t>7. Publicar y corregir</w:t>
            </w:r>
          </w:p>
        </w:tc>
        <w:tc>
          <w:tcPr>
            <w:tcW w:type="dxa" w:w="2296"/>
          </w:tcPr>
          <w:p>
            <w:pPr>
              <w:spacing w:after="20" w:line="264" w:lineRule="auto"/>
            </w:pPr>
            <w:r/>
            <w:r>
              <w:rPr>
                <w:rFonts w:ascii="Segoe UI" w:hAnsi="Segoe UI" w:eastAsia="Segoe UI" w:cs="Segoe UI"/>
                <w:color w:val="1F1D1A"/>
                <w:sz w:val="18"/>
              </w:rPr>
              <w:t>el autor</w:t>
            </w:r>
          </w:p>
        </w:tc>
        <w:tc>
          <w:tcPr>
            <w:tcW w:type="dxa" w:w="2296"/>
          </w:tcPr>
          <w:p>
            <w:pPr>
              <w:spacing w:after="20" w:line="264" w:lineRule="auto"/>
            </w:pPr>
            <w:r/>
            <w:r>
              <w:rPr>
                <w:rFonts w:ascii="Segoe UI" w:hAnsi="Segoe UI" w:eastAsia="Segoe UI" w:cs="Segoe UI"/>
                <w:color w:val="1F1D1A"/>
                <w:sz w:val="18"/>
              </w:rPr>
              <w:t>enlaza todo al final, una sola vez, y lleva una fe de erratas viva</w:t>
            </w:r>
          </w:p>
        </w:tc>
        <w:tc>
          <w:tcPr>
            <w:tcW w:type="dxa" w:w="2296"/>
          </w:tcPr>
          <w:p>
            <w:pPr>
              <w:spacing w:after="20" w:line="264" w:lineRule="auto"/>
            </w:pPr>
            <w:r/>
            <w:r>
              <w:rPr>
                <w:rFonts w:ascii="Segoe UI" w:hAnsi="Segoe UI" w:eastAsia="Segoe UI" w:cs="Segoe UI"/>
                <w:color w:val="1F1D1A"/>
                <w:sz w:val="18"/>
              </w:rPr>
              <w:t>la obra enlazada y su lista de correcciones</w:t>
            </w:r>
          </w:p>
        </w:tc>
      </w:tr>
    </w:tbl>
    <w:p>
      <w:pPr>
        <w:spacing w:after="80"/>
      </w:pPr>
    </w:p>
    <w:p>
      <w:r>
        <w:t>[libreta 76, sección 4 (borrador del organigrama); libro de estilo §7 y §8]</w:t>
      </w:r>
    </w:p>
    <w:p>
      <w:r>
        <w:t>Los pasos se agrupan en cuatro trabajos que no se mezclan: ordenar (paso 2), comprobar todo agrupado por fuente (pasos 3 y 4), redactar (5 y 6) y enlazar al final (</w:t>
      </w:r>
      <w:r>
        <w:t>7</w:t>
      </w:r>
      <w:r>
        <w:t xml:space="preserve">). El 6-oct-2026, cuando la obra llevaba semanas comprobándose capítulo a capítulo, el autor dijo: «esto que ya lo comprobé cinco veces se está volviendo infinito». De ahí salió el orden de arriba: cada fuente se abre una vez, y esa lectura sirve a todos los capítulos donde aparece. </w:t>
      </w:r>
      <w:r>
        <w:t>[mapa cronológico, etapa 7 (6-oct-2026); libro de estilo §8]</w:t>
      </w:r>
    </w:p>
    <w:p>
      <w:pPr>
        <w:pStyle w:val="Heading2"/>
      </w:pPr>
      <w:r>
        <w:t>G.3 Las trampas que ya costaron</w:t>
      </w:r>
    </w:p>
    <w:p>
      <w:pPr>
        <w:pBdr>
          <w:left w:val="single" w:sz="24" w:space="6" w:color="E2DED6"/>
        </w:pBdr>
        <w:shd w:val="clear" w:color="auto" w:fill="F1EEE8"/>
        <w:spacing w:before="80" w:after="160"/>
        <w:ind w:left="142" w:right="142"/>
      </w:pPr>
      <w:r>
        <w:rPr>
          <w:b/>
        </w:rPr>
        <w:t>La idea: estas doce trampas ya costaron tiempo, y cada una dejó una regla; todas salen de lo ocurrido en esta obra.</w:t>
      </w:r>
    </w:p>
    <w:p>
      <w:r>
        <w:t>La fuente manda: se dice lo que ella dice, literal y con su fecha. Lo que se saca de ella (la opinión del autor, una deducción, lo que concluyen estudios independientes) va aparte y marcado como tal (</w:t>
      </w:r>
      <w:r>
        <w:t>0.3</w:t>
      </w:r>
      <w:r>
        <w:t xml:space="preserve">). </w:t>
      </w:r>
      <w:r>
        <w:t>[Kiko, 7-oct-2026]</w:t>
      </w:r>
    </w:p>
    <w:p>
      <w:r>
        <w:rPr>
          <w:b/>
        </w:rPr>
        <w:t>Con las fuentes</w:t>
      </w:r>
    </w:p>
    <w:p>
      <w:pPr>
        <w:spacing w:after="60"/>
        <w:ind w:left="510" w:hanging="397"/>
      </w:pPr>
      <w:r>
        <w:rPr>
          <w:b w:val="0"/>
        </w:rPr>
        <w:t xml:space="preserve">1. </w:t>
      </w:r>
      <w:r>
        <w:rPr>
          <w:b/>
        </w:rPr>
        <w:t>Bajar lo que ya estaba.</w:t>
      </w:r>
      <w:r>
        <w:t xml:space="preserve"> Ocho normas (entre ellas la Ley Orgánica del Tribunal Constitucional y el Estatuto de los Trabajadores) se volvieron a bajar, cuando ya estaban en la biblioteca con otro nombre; y una entrada del diccionario jurídico, la de «presunción», se bajó dos veces. Al ordenar la biblioteca el 7-oct-2026, 67 grupos de documentos resultaron ser copias idénticas byte a byte, con 78 copias de más. </w:t>
      </w:r>
      <w:r>
        <w:rPr>
          <w:i/>
        </w:rPr>
        <w:t>Regla:</w:t>
      </w:r>
      <w:r>
        <w:t xml:space="preserve"> antes de bajar nada, buscar en la biblioteca por el número y el nombre de la norma, o por la palabra; si dos copias son idénticas, se queda una; si son de otro año o de otra versión, se quedan las dos, cada una con su fecha. </w:t>
      </w:r>
      <w:r>
        <w:t>[libreta 76, lecciones 16 y 44; leído hoy: duplicados de 10 FUENTES LEIDAS, 7-oct-2026]</w:t>
      </w:r>
      <w:r>
        <w:t xml:space="preserve"> {completo} Las ocho: la LOTC, la LO 4/2015, el Estatuto de los Trabajadores, el EBEP, la ley del IRPF, la Ley 3/2015, la de Haciendas Locales y el TFUE. Dos pares de archivos que difieren en dos bytes (la Constitución y el Código Civil, de dos carpetas distintas) solo cambian un contador de la página: es el mismo texto. </w:t>
      </w:r>
      <w:r>
        <w:t>[libreta 76, lección 16; leído hoy]</w:t>
      </w:r>
    </w:p>
    <w:p>
      <w:pPr>
        <w:spacing w:after="60"/>
        <w:ind w:left="510" w:hanging="397"/>
      </w:pPr>
      <w:r>
        <w:rPr>
          <w:b w:val="0"/>
        </w:rPr>
        <w:t xml:space="preserve">2. </w:t>
      </w:r>
      <w:r>
        <w:rPr>
          <w:b/>
        </w:rPr>
        <w:t>Una dirección de memoria puede ser otra norma.</w:t>
      </w:r>
      <w:r>
        <w:t xml:space="preserve"> La dirección que se tenía por la de la ley de Clases Pasivas llevaba a una corrección de errores de 1985. </w:t>
      </w:r>
      <w:r>
        <w:rPr>
          <w:i/>
        </w:rPr>
        <w:t>Regla:</w:t>
      </w:r>
      <w:r>
        <w:t xml:space="preserve"> al bajar, comprobar el título de cada página; si no es el esperado, no vale. </w:t>
      </w:r>
      <w:r>
        <w:t>[libreta 76, lección 17]</w:t>
      </w:r>
    </w:p>
    <w:p>
      <w:pPr>
        <w:spacing w:after="60"/>
        <w:ind w:left="510" w:hanging="397"/>
      </w:pPr>
      <w:r>
        <w:rPr>
          <w:b w:val="0"/>
        </w:rPr>
        <w:t xml:space="preserve">3. </w:t>
      </w:r>
      <w:r>
        <w:rPr>
          <w:b/>
        </w:rPr>
        <w:t>El nombre del archivo engaña.</w:t>
      </w:r>
      <w:r>
        <w:t xml:space="preserve"> Un archivo bajado como «STC 35/1995, policía judicial» era de verdad la STC 35/1995, pero no trata de la policía judicial: resuelve un amparo por un robo y reconoce el derecho a la presunción de inocencia, porque la condena se apoyó en «testimonios de referencia irregulares». </w:t>
      </w:r>
      <w:r>
        <w:rPr>
          <w:i/>
        </w:rPr>
        <w:t>Regla:</w:t>
      </w:r>
      <w:r>
        <w:t xml:space="preserve"> el tema se comprueba en el texto, no en el nombre que le puso quien lo bajó; y el archivo se renombra con lo que contiene (el 7-oct-2026 se renombró). </w:t>
      </w:r>
      <w:r>
        <w:t>[fe de erratas 07, 17.00-168.2; libreta 76, lección 28; leído hoy: c9c]</w:t>
      </w:r>
    </w:p>
    <w:p>
      <w:pPr>
        <w:spacing w:after="60"/>
        <w:ind w:left="510" w:hanging="397"/>
      </w:pPr>
      <w:r>
        <w:rPr>
          <w:b w:val="0"/>
        </w:rPr>
        <w:t xml:space="preserve">4. </w:t>
      </w:r>
      <w:r>
        <w:rPr>
          <w:b/>
        </w:rPr>
        <w:t>El documento vale para su fecha.</w:t>
      </w:r>
      <w:r>
        <w:t xml:space="preserve"> De cinco documentos del Banco Santander, solo dos dicen su año en el texto (2021 y 2022); los de 2025 los fecha el propio archivo (sus metadatos), y así se dijo en B.5. </w:t>
      </w:r>
      <w:r>
        <w:rPr>
          <w:i/>
        </w:rPr>
        <w:t>Regla:</w:t>
      </w:r>
      <w:r>
        <w:t xml:space="preserve"> antes de contar una fuente, leer su fecha (en el texto o, si falta, en el archivo, diciéndolo) y escribir para qué año vale; si se pregunta por lo vigente hoy, buscar la fuente que lo registre y, si no se alcanza, dejarlo a flecos. </w:t>
      </w:r>
      <w:r>
        <w:t>[libreta 76, lección 47; anexo B]</w:t>
      </w:r>
    </w:p>
    <w:p>
      <w:pPr>
        <w:spacing w:after="60"/>
        <w:ind w:left="510" w:hanging="397"/>
      </w:pPr>
      <w:r>
        <w:rPr>
          <w:b w:val="0"/>
        </w:rPr>
        <w:t xml:space="preserve">5. </w:t>
      </w:r>
      <w:r>
        <w:rPr>
          <w:b/>
        </w:rPr>
        <w:t>Una sentencia no dice lo que se cree que dice.</w:t>
      </w:r>
      <w:r>
        <w:t xml:space="preserve"> Una frase entre comillas atribuida a una sentencia puede no estar en ella: «maniobras o estratagemas jurídicas tendentes a lograr un resultado opuesto al perseguido…» no está en la STS de 25-9-1996 sobre el abuso del derecho. Y una sentencia puede decir algo distinto de lo que se le atribuye: la STC 73/2017 no anuló la amnistía fiscal de 2012 por falta de urgencia, sino porque el decreto-ley no puede afectar al deber de contribuir. </w:t>
      </w:r>
      <w:r>
        <w:rPr>
          <w:i/>
        </w:rPr>
        <w:t>Regla:</w:t>
      </w:r>
      <w:r>
        <w:t xml:space="preserve"> la cita se busca, literal, en la sentencia entera; y lo que decide una sentencia se lee en su fallo y en sus fundamentos. </w:t>
      </w:r>
      <w:r>
        <w:t>[fe de erratas 07, 20.00-31.1 y 00.1-4.6; libreta 76, lección 23]</w:t>
      </w:r>
    </w:p>
    <w:p>
      <w:r>
        <w:rPr>
          <w:b/>
        </w:rPr>
        <w:t>Con las herramientas de inteligencia artificial</w:t>
      </w:r>
    </w:p>
    <w:p>
      <w:pPr>
        <w:spacing w:after="60"/>
        <w:ind w:left="510" w:hanging="397"/>
      </w:pPr>
      <w:r>
        <w:rPr>
          <w:b w:val="0"/>
        </w:rPr>
        <w:t xml:space="preserve">1. </w:t>
      </w:r>
      <w:r>
        <w:rPr>
          <w:b/>
        </w:rPr>
        <w:t>El resumen no es la prueba.</w:t>
      </w:r>
      <w:r>
        <w:t xml:space="preserve"> Una herramienta devolvía «¿se confirma?: sí» con un resumen. Al redactar el </w:t>
      </w:r>
      <w:r>
        <w:t>capítulo 9</w:t>
      </w:r>
      <w:r>
        <w:t xml:space="preserve">, tres frases se apoyaban en resúmenes y no en el texto, y se dejó solo lo que decía el pasaje. </w:t>
      </w:r>
      <w:r>
        <w:rPr>
          <w:i/>
        </w:rPr>
        <w:t>Regla:</w:t>
      </w:r>
      <w:r>
        <w:t xml:space="preserve"> la prueba es el pasaje literal, con su archivo y su lugar; el resumen solo orienta. </w:t>
      </w:r>
      <w:r>
        <w:t>[libreta 76, lecciones 3 y 4; libreta 75, 7 bis n.º 5]</w:t>
      </w:r>
    </w:p>
    <w:p>
      <w:pPr>
        <w:spacing w:after="60"/>
        <w:ind w:left="510" w:hanging="397"/>
      </w:pPr>
      <w:r>
        <w:rPr>
          <w:b w:val="0"/>
        </w:rPr>
        <w:t xml:space="preserve">2. </w:t>
      </w:r>
      <w:r>
        <w:rPr>
          <w:b/>
        </w:rPr>
        <w:t>Lo que trae otra inteligencia artificial, sin verificar.</w:t>
      </w:r>
      <w:r>
        <w:t xml:space="preserve"> El 4-ago-2026, en una sola ronda, aparecieron tres hallazgos: una cita falsa de Séneca, una atribución falsa a Zenón de Citio y un salto de categoría jurídica, al llamar «costumbre» a una convergencia moral entre tradiciones. De ahí salió la Regla de Oro: la señal de alarma es siempre la misma, «esto encaja demasiado bien con lo que necesito decir»; cuanto mejor encaja una cita con el argumento, más hay que desconfiar y comprobarla el doble. </w:t>
      </w:r>
      <w:r>
        <w:rPr>
          <w:i/>
        </w:rPr>
        <w:t>Regla:</w:t>
      </w:r>
      <w:r>
        <w:t xml:space="preserve"> lo que trae otra herramienta no se escribe hasta leerlo en el original; mientras tanto, se guarda aparte. </w:t>
      </w:r>
      <w:r>
        <w:t>[00 NORMAS DE TRABAJO, Regla de Oro (4-ago-2026); libreta 76, lección 12]</w:t>
      </w:r>
    </w:p>
    <w:p>
      <w:pPr>
        <w:spacing w:after="60"/>
        <w:ind w:left="510" w:hanging="397"/>
      </w:pPr>
      <w:r>
        <w:rPr>
          <w:b w:val="0"/>
        </w:rPr>
        <w:t xml:space="preserve">3. </w:t>
      </w:r>
      <w:r>
        <w:rPr>
          <w:b/>
        </w:rPr>
        <w:t>El programa que «mejora» lo que dice el texto.</w:t>
      </w:r>
      <w:r>
        <w:t xml:space="preserve"> En el paso 2 bis (6-oct-2026), una regla automática que asignaba cada referencia a su ley por parecido de palabras cambió «Código Civil, art. 348» por el art. 348 del Código Penal (el de los explosivos), y en una de cada cuatro muestras se equivocó de ley. </w:t>
      </w:r>
      <w:r>
        <w:rPr>
          <w:i/>
        </w:rPr>
        <w:t>Regla:</w:t>
      </w:r>
      <w:r>
        <w:t xml:space="preserve"> manda lo que dice el texto, es decir, la ley que nombra junto a la referencia; lo mecánico ordena, no corrige; y ninguna regla automática se da por buena sin mirar antes una muestra de lo que decide. </w:t>
      </w:r>
      <w:r>
        <w:t>[libreta 76, lección 13]</w:t>
      </w:r>
    </w:p>
    <w:p>
      <w:r>
        <w:rPr>
          <w:b/>
        </w:rPr>
        <w:t>Con lo que una herramienta no ve</w:t>
      </w:r>
    </w:p>
    <w:p>
      <w:pPr>
        <w:spacing w:after="60"/>
        <w:ind w:left="510" w:hanging="397"/>
      </w:pPr>
      <w:r>
        <w:rPr>
          <w:b w:val="0"/>
        </w:rPr>
        <w:t xml:space="preserve">1. </w:t>
      </w:r>
      <w:r>
        <w:rPr>
          <w:b/>
        </w:rPr>
        <w:t>La criba que no veía.</w:t>
      </w:r>
      <w:r>
        <w:t xml:space="preserve"> El paso de comprobar se dio por terminado con 1.397 datos sin mirar (comillas simples, plazos, lo que dice cada artículo). Una herramienta solo ve lo que se le enseña a buscar. </w:t>
      </w:r>
      <w:r>
        <w:rPr>
          <w:i/>
        </w:rPr>
        <w:t>Regla:</w:t>
      </w:r>
      <w:r>
        <w:t xml:space="preserve"> antes de decir «nada por verificar», mirar a mano una muestra de lo que la criba deja como «sin nada que comprobar». </w:t>
      </w:r>
      <w:r>
        <w:t>[libreta 76, lección 5; paso 2 bis]</w:t>
      </w:r>
    </w:p>
    <w:p>
      <w:pPr>
        <w:spacing w:after="60"/>
        <w:ind w:left="510" w:hanging="397"/>
      </w:pPr>
      <w:r>
        <w:rPr>
          <w:b w:val="0"/>
        </w:rPr>
        <w:t xml:space="preserve">2. </w:t>
      </w:r>
      <w:r>
        <w:rPr>
          <w:b/>
        </w:rPr>
        <w:t>Un número que aparece no es una prueba.</w:t>
      </w:r>
      <w:r>
        <w:t xml:space="preserve"> «90,3 %» salía «cubierto» porque estaba dentro de «4.090,3»; y de 147 sentencias «halladas», solo 10 eran el archivo de la sentencia, y el resto era su número citado en otro documento. Tampoco se veían los números enteros o escritos en letra («cuarenta y cuatro años», «quince días»). </w:t>
      </w:r>
      <w:r>
        <w:rPr>
          <w:i/>
        </w:rPr>
        <w:t>Regla:</w:t>
      </w:r>
      <w:r>
        <w:t xml:space="preserve"> la fuente es el documento mismo, no una mención suya; y cada número, también el entero y el escrito en letra, se busca entero en su fila. </w:t>
      </w:r>
      <w:r>
        <w:t>[libreta 76, lecciones 14, 31 y 34]</w:t>
      </w:r>
    </w:p>
    <w:p>
      <w:r>
        <w:rPr>
          <w:b/>
        </w:rPr>
        <w:t>Con el orden del trabajo</w:t>
      </w:r>
    </w:p>
    <w:p>
      <w:pPr>
        <w:spacing w:after="60"/>
        <w:ind w:left="510" w:hanging="397"/>
      </w:pPr>
      <w:r>
        <w:rPr>
          <w:b w:val="0"/>
        </w:rPr>
        <w:t xml:space="preserve">1. </w:t>
      </w:r>
      <w:r>
        <w:rPr>
          <w:b/>
        </w:rPr>
        <w:t>Una cifra corregida en un sitio y vieja en otros.</w:t>
      </w:r>
      <w:r>
        <w:t xml:space="preserve"> El 3 y el 4-oct-2026, al cruzar los bloques de la obra, aparecieron cifras viejas. La solución es la que se adoptó: cada errata va a la fe de erratas (un archivo vivo con el código del párrafo, lo que decía, lo que dice la fuente y dónde se halló), la edición lleva siempre la versión buena y el archivo antiguo no se toca. </w:t>
      </w:r>
      <w:r>
        <w:rPr>
          <w:i/>
        </w:rPr>
        <w:t>Regla:</w:t>
      </w:r>
      <w:r>
        <w:t xml:space="preserve"> al corregir una cifra, se busca en toda la obra. </w:t>
      </w:r>
      <w:r>
        <w:t>[mapa cronológico, etapa 5; libreta 76, lección 6; libro de estilo §7]</w:t>
      </w:r>
    </w:p>
    <w:p>
      <w:pPr>
        <w:spacing w:after="60"/>
        <w:ind w:left="510" w:hanging="397"/>
      </w:pPr>
      <w:r>
        <w:rPr>
          <w:b w:val="0"/>
        </w:rPr>
        <w:t xml:space="preserve">2. </w:t>
      </w:r>
      <w:r>
        <w:rPr>
          <w:b/>
        </w:rPr>
        <w:t>«No entra» no es «fuera».</w:t>
      </w:r>
      <w:r>
        <w:t xml:space="preserve"> Hay dos motivos para que algo no entre, y no son lo mismo. Si no viene al caso o no aporta nada, queda fuera, y es fuera. Si le falta su fuente, el texto de lo que dice o algún dato, va a la lista de flecos, para leerlo en su fuente y completarlo, y nunca queda fuera. Hubo notas que decían «fuera» de lo que solo le faltaba la fuente, y la lista de flecos no las recogía: se habrían perdido. </w:t>
      </w:r>
      <w:r>
        <w:rPr>
          <w:i/>
        </w:rPr>
        <w:t>Regla:</w:t>
      </w:r>
      <w:r>
        <w:t xml:space="preserve"> lo que no entra por falta de fuente lleva su marca para que la lista lo recoja, y después de regenerar la lista se comprueba, código a código, que sale. Y lo que va a la lista no se resuelve uno a uno mientras se escribe, aunque cueste poco: al terminar la obra se agrupa para ver en qué fuentes convergen, y se investiga de una vez, descartando cada uno según se halla; el autor lo llama «investigación por optimización de datos». </w:t>
      </w:r>
      <w:r>
        <w:t>[Kiko, 7-oct-2026; libreta 76, lección 46]</w:t>
      </w:r>
    </w:p>
    <w:p>
      <w:r>
        <w:t xml:space="preserve">Las demás lecciones que se anotaron en el control de la obra repiten lo de arriba o son de oficio (finales de línea, programas escritos en la terminal, descargas que un sitio oficial rechaza); no entran aquí. </w:t>
      </w:r>
      <w:r>
        <w:t>[libreta 76]</w:t>
      </w:r>
    </w:p>
    <w:p>
      <w:pPr>
        <w:pStyle w:val="Heading2"/>
      </w:pPr>
      <w:r>
        <w:t>G.4 Los seis pasos con una Constitución</w:t>
      </w:r>
    </w:p>
    <w:p>
      <w:pPr>
        <w:pBdr>
          <w:left w:val="single" w:sz="24" w:space="6" w:color="E2DED6"/>
        </w:pBdr>
        <w:shd w:val="clear" w:color="auto" w:fill="F1EEE8"/>
        <w:spacing w:before="80" w:after="160"/>
        <w:ind w:left="142" w:right="142"/>
      </w:pPr>
      <w:r>
        <w:rPr>
          <w:b/>
        </w:rPr>
        <w:t>La idea: auditar una Constitución es comprobar, artículo por artículo, si lo que dice se cumple, con un hecho documentado y sin opinar.</w:t>
      </w:r>
    </w:p>
    <w:p>
      <w:pPr>
        <w:spacing w:after="60"/>
        <w:ind w:left="510" w:hanging="397"/>
      </w:pPr>
      <w:r>
        <w:rPr>
          <w:b w:val="0"/>
        </w:rPr>
        <w:t xml:space="preserve">1. </w:t>
      </w:r>
      <w:r>
        <w:rPr>
          <w:b/>
        </w:rPr>
        <w:t>Obtener el texto completo y vigente, artículo por artículo,</w:t>
      </w:r>
      <w:r>
        <w:t xml:space="preserve"> sin resúmenes ni selecciones previas: la selección previa es el primer sesgo que hay que evitar. </w:t>
      </w:r>
      <w:r>
        <w:t>[14.00-6.2]</w:t>
      </w:r>
    </w:p>
    <w:p>
      <w:pPr>
        <w:spacing w:after="60"/>
        <w:ind w:left="510" w:hanging="397"/>
      </w:pPr>
      <w:r>
        <w:rPr>
          <w:b w:val="0"/>
        </w:rPr>
        <w:t xml:space="preserve">2. </w:t>
      </w:r>
      <w:r>
        <w:rPr>
          <w:b/>
        </w:rPr>
        <w:t>Dividirlo en bloques manejables</w:t>
      </w:r>
      <w:r>
        <w:t xml:space="preserve"> (por títulos o capítulos) para no perder rigor por volumen. </w:t>
      </w:r>
      <w:r>
        <w:t>[14.00-6.3]</w:t>
      </w:r>
    </w:p>
    <w:p>
      <w:pPr>
        <w:spacing w:after="60"/>
        <w:ind w:left="510" w:hanging="397"/>
      </w:pPr>
      <w:r>
        <w:rPr>
          <w:b w:val="0"/>
        </w:rPr>
        <w:t xml:space="preserve">3. </w:t>
      </w:r>
      <w:r>
        <w:rPr>
          <w:b/>
        </w:rPr>
        <w:t>Para cada artículo, buscar con fuente primaria si hay un hecho documentado</w:t>
      </w:r>
      <w:r>
        <w:t xml:space="preserve"> que confirme su cumplimiento, su incumplimiento, o si sigue en desuso o sin desarrollo legal; nunca conformarse con una impresión general. </w:t>
      </w:r>
      <w:r>
        <w:t>[14.00-6.4]</w:t>
      </w:r>
    </w:p>
    <w:p>
      <w:pPr>
        <w:spacing w:after="60"/>
        <w:ind w:left="510" w:hanging="397"/>
      </w:pPr>
      <w:r>
        <w:rPr>
          <w:b w:val="0"/>
        </w:rPr>
        <w:t xml:space="preserve">4. </w:t>
      </w:r>
      <w:r>
        <w:rPr>
          <w:b/>
        </w:rPr>
        <w:t>Marcar un hallazgo como especialmente grave solo cuando ya existe una declaración formal externa:</w:t>
      </w:r>
      <w:r>
        <w:t xml:space="preserve"> una sentencia de un tribunal supremo o constitucional, una condena de un tribunal internacional, un informe de un organismo de control con una calificación explícita; nunca por criterio propio de quien audita. </w:t>
      </w:r>
      <w:r>
        <w:t>[14.00-6.5]</w:t>
      </w:r>
    </w:p>
    <w:p>
      <w:pPr>
        <w:spacing w:after="60"/>
        <w:ind w:left="510" w:hanging="397"/>
      </w:pPr>
      <w:r>
        <w:rPr>
          <w:b w:val="0"/>
        </w:rPr>
        <w:t xml:space="preserve">5. </w:t>
      </w:r>
      <w:r>
        <w:rPr>
          <w:b/>
        </w:rPr>
        <w:t>Verificar la cobertura completa al final:</w:t>
      </w:r>
      <w:r>
        <w:t xml:space="preserve"> comprobar, artículo por artículo, desde el primero hasta el último, que ninguno se ha quedado sin ficha. </w:t>
      </w:r>
      <w:r>
        <w:t>[14.00-6.6]</w:t>
      </w:r>
    </w:p>
    <w:p>
      <w:pPr>
        <w:spacing w:after="60"/>
        <w:ind w:left="510" w:hanging="397"/>
      </w:pPr>
      <w:r>
        <w:rPr>
          <w:b w:val="0"/>
        </w:rPr>
        <w:t xml:space="preserve">6. </w:t>
      </w:r>
      <w:r>
        <w:rPr>
          <w:b/>
        </w:rPr>
        <w:t>Reservar toda lectura de conjunto para un cierre único,</w:t>
      </w:r>
      <w:r>
        <w:t xml:space="preserve"> situado al final y declarado expresamente como interpretación, nunca mezclado con los hechos artículo por artículo. </w:t>
      </w:r>
      <w:r>
        <w:t>[14.00-6.7]</w:t>
      </w:r>
    </w:p>
    <w:p>
      <w:r>
        <w:rPr>
          <w:b/>
        </w:rPr>
        <w:t>Lo que dio en España:</w:t>
      </w:r>
      <w:r>
        <w:t xml:space="preserve"> la Constitución tiene 169 artículos y cada uno tiene su ficha; se cumplen 93, no se cumplen 69 y 7 quedan pendientes por falta de dato, y en 23 de los 69 incumplimientos ya había una declaración formal externa (</w:t>
      </w:r>
      <w:r>
        <w:t>7.1</w:t>
      </w:r>
      <w:r>
        <w:t xml:space="preserve">; </w:t>
      </w:r>
      <w:r>
        <w:t>anexo A</w:t>
      </w:r>
      <w:r>
        <w:t xml:space="preserve">). </w:t>
      </w:r>
      <w:r>
        <w:t>[7.1; 14.00-5.1, 5.2 y 7.1]</w:t>
      </w:r>
    </w:p>
    <w:p>
      <w:r>
        <w:rPr>
          <w:b/>
        </w:rPr>
        <w:t>Lectura del autor:</w:t>
      </w:r>
      <w:r>
        <w:t xml:space="preserve"> la prueba no está en una opinión, sino en la línea de tiempo. La acumulación de poder sin control deja rastro, acto a acto y en presente continuo: normas publicadas, presupuestos, sentencias, tratados firmados y su cumplimiento. Todo ha quedado registrado, y por eso cualquiera puede auditarlo. Esta obra audita España; cada pueblo puede hacer su propia auditoría repitiendo el mismo proceso, para que quienes administran lo público recuerden lo que son: los administradores de la finca, nada más y nada menos. La finca es del pueblo. Y sin venganza: la responsabilidad es personal y se mide por los actos (</w:t>
      </w:r>
      <w:r>
        <w:t>1.4</w:t>
      </w:r>
      <w:r>
        <w:t xml:space="preserve">; </w:t>
      </w:r>
      <w:r>
        <w:t>10.4</w:t>
      </w:r>
      <w:r>
        <w:t>), y lo que la obra ofrece al final no es castigo, sino rectificar y restituir (</w:t>
      </w:r>
      <w:r>
        <w:t>11.6</w:t>
      </w:r>
      <w:r>
        <w:t xml:space="preserve">). </w:t>
      </w:r>
      <w:r>
        <w:t>[14.00-6.8; 14.00-6.9; 14.00-6.10, solo en lo que ya dicen 1.4, 10.4 y 11.6]</w:t>
      </w:r>
    </w:p>
    <w:p>
      <w:pPr>
        <w:pStyle w:val="Heading2"/>
      </w:pPr>
      <w:r>
        <w:t>G.5 La tabla de fuentes para cada país</w:t>
      </w:r>
    </w:p>
    <w:p>
      <w:pPr>
        <w:pBdr>
          <w:left w:val="single" w:sz="24" w:space="6" w:color="E2DED6"/>
        </w:pBdr>
        <w:shd w:val="clear" w:color="auto" w:fill="F1EEE8"/>
        <w:spacing w:before="80" w:after="160"/>
        <w:ind w:left="142" w:right="142"/>
      </w:pPr>
      <w:r>
        <w:rPr>
          <w:b/>
        </w:rPr>
        <w:t>La idea: en otro país se buscan las mismas clases de fuente, y cambia solo dónde está cada una.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qué se busca</w:t>
            </w:r>
          </w:p>
        </w:tc>
        <w:tc>
          <w:tcPr>
            <w:tcW w:type="dxa" w:w="3061"/>
            <w:shd w:val="clear" w:color="auto" w:fill="F1EEE8"/>
          </w:tcPr>
          <w:p>
            <w:pPr>
              <w:spacing w:after="20" w:line="264" w:lineRule="auto"/>
            </w:pPr>
            <w:r>
              <w:rPr>
                <w:b/>
              </w:rPr>
            </w:r>
            <w:r>
              <w:rPr>
                <w:rFonts w:ascii="Segoe UI" w:hAnsi="Segoe UI" w:eastAsia="Segoe UI" w:cs="Segoe UI"/>
                <w:b/>
                <w:color w:val="1F1D1A"/>
                <w:sz w:val="18"/>
              </w:rPr>
              <w:t>en España, para esta obra</w:t>
            </w:r>
          </w:p>
        </w:tc>
        <w:tc>
          <w:tcPr>
            <w:tcW w:type="dxa" w:w="3061"/>
            <w:shd w:val="clear" w:color="auto" w:fill="F1EEE8"/>
          </w:tcPr>
          <w:p>
            <w:pPr>
              <w:spacing w:after="20" w:line="264" w:lineRule="auto"/>
            </w:pPr>
            <w:r>
              <w:rPr>
                <w:b/>
              </w:rPr>
            </w:r>
            <w:r>
              <w:rPr>
                <w:rFonts w:ascii="Segoe UI" w:hAnsi="Segoe UI" w:eastAsia="Segoe UI" w:cs="Segoe UI"/>
                <w:b/>
                <w:color w:val="1F1D1A"/>
                <w:sz w:val="18"/>
              </w:rPr>
              <w:t>en otro país, buscar</w:t>
            </w:r>
          </w:p>
        </w:tc>
      </w:tr>
      <w:tr>
        <w:tc>
          <w:tcPr>
            <w:tcW w:type="dxa" w:w="3061"/>
          </w:tcPr>
          <w:p>
            <w:pPr>
              <w:spacing w:after="20" w:line="264" w:lineRule="auto"/>
            </w:pPr>
            <w:r/>
            <w:r>
              <w:rPr>
                <w:rFonts w:ascii="Segoe UI" w:hAnsi="Segoe UI" w:eastAsia="Segoe UI" w:cs="Segoe UI"/>
                <w:color w:val="1F1D1A"/>
                <w:sz w:val="18"/>
              </w:rPr>
              <w:t>El texto de la constitución y de las leyes, vigente</w:t>
            </w:r>
          </w:p>
        </w:tc>
        <w:tc>
          <w:tcPr>
            <w:tcW w:type="dxa" w:w="3061"/>
          </w:tcPr>
          <w:p>
            <w:pPr>
              <w:spacing w:after="20" w:line="264" w:lineRule="auto"/>
            </w:pPr>
            <w:r/>
            <w:r>
              <w:rPr>
                <w:rFonts w:ascii="Segoe UI" w:hAnsi="Segoe UI" w:eastAsia="Segoe UI" w:cs="Segoe UI"/>
                <w:color w:val="1F1D1A"/>
                <w:sz w:val="18"/>
              </w:rPr>
              <w:t>el BOE (texto consolidado)</w:t>
            </w:r>
          </w:p>
        </w:tc>
        <w:tc>
          <w:tcPr>
            <w:tcW w:type="dxa" w:w="3061"/>
          </w:tcPr>
          <w:p>
            <w:pPr>
              <w:spacing w:after="20" w:line="264" w:lineRule="auto"/>
            </w:pPr>
            <w:r/>
            <w:r>
              <w:rPr>
                <w:rFonts w:ascii="Segoe UI" w:hAnsi="Segoe UI" w:eastAsia="Segoe UI" w:cs="Segoe UI"/>
                <w:color w:val="1F1D1A"/>
                <w:sz w:val="18"/>
              </w:rPr>
              <w:t>el boletín oficial de ese país, o el sitio oficial de su parlamento</w:t>
            </w:r>
          </w:p>
        </w:tc>
      </w:tr>
      <w:tr>
        <w:tc>
          <w:tcPr>
            <w:tcW w:type="dxa" w:w="3061"/>
          </w:tcPr>
          <w:p>
            <w:pPr>
              <w:spacing w:after="20" w:line="264" w:lineRule="auto"/>
            </w:pPr>
            <w:r/>
            <w:r>
              <w:rPr>
                <w:rFonts w:ascii="Segoe UI" w:hAnsi="Segoe UI" w:eastAsia="Segoe UI" w:cs="Segoe UI"/>
                <w:color w:val="1F1D1A"/>
                <w:sz w:val="18"/>
              </w:rPr>
              <w:t>Las sentencias</w:t>
            </w:r>
          </w:p>
        </w:tc>
        <w:tc>
          <w:tcPr>
            <w:tcW w:type="dxa" w:w="3061"/>
          </w:tcPr>
          <w:p>
            <w:pPr>
              <w:spacing w:after="20" w:line="264" w:lineRule="auto"/>
            </w:pPr>
            <w:r/>
            <w:r>
              <w:rPr>
                <w:rFonts w:ascii="Segoe UI" w:hAnsi="Segoe UI" w:eastAsia="Segoe UI" w:cs="Segoe UI"/>
                <w:color w:val="1F1D1A"/>
                <w:sz w:val="18"/>
              </w:rPr>
              <w:t>el Tribunal Constitucional (su buscador de jurisprudencia), el Tribunal Supremo (CENDOJ), el Tribunal de Justicia de la UE (EUR-Lex) y el Tribunal Europeo de Derechos Humanos (HUDOC)</w:t>
            </w:r>
          </w:p>
        </w:tc>
        <w:tc>
          <w:tcPr>
            <w:tcW w:type="dxa" w:w="3061"/>
          </w:tcPr>
          <w:p>
            <w:pPr>
              <w:spacing w:after="20" w:line="264" w:lineRule="auto"/>
            </w:pPr>
            <w:r/>
            <w:r>
              <w:rPr>
                <w:rFonts w:ascii="Segoe UI" w:hAnsi="Segoe UI" w:eastAsia="Segoe UI" w:cs="Segoe UI"/>
                <w:color w:val="1F1D1A"/>
                <w:sz w:val="18"/>
              </w:rPr>
              <w:t>su tribunal constitucional o supremo, y los tribunales internacionales a los que su país esté sujeto</w:t>
            </w:r>
          </w:p>
        </w:tc>
      </w:tr>
      <w:tr>
        <w:tc>
          <w:tcPr>
            <w:tcW w:type="dxa" w:w="3061"/>
          </w:tcPr>
          <w:p>
            <w:pPr>
              <w:spacing w:after="20" w:line="264" w:lineRule="auto"/>
            </w:pPr>
            <w:r/>
            <w:r>
              <w:rPr>
                <w:rFonts w:ascii="Segoe UI" w:hAnsi="Segoe UI" w:eastAsia="Segoe UI" w:cs="Segoe UI"/>
                <w:color w:val="1F1D1A"/>
                <w:sz w:val="18"/>
              </w:rPr>
              <w:t>Las cuentas y el gasto</w:t>
            </w:r>
          </w:p>
        </w:tc>
        <w:tc>
          <w:tcPr>
            <w:tcW w:type="dxa" w:w="3061"/>
          </w:tcPr>
          <w:p>
            <w:pPr>
              <w:spacing w:after="20" w:line="264" w:lineRule="auto"/>
            </w:pPr>
            <w:r/>
            <w:r>
              <w:rPr>
                <w:rFonts w:ascii="Segoe UI" w:hAnsi="Segoe UI" w:eastAsia="Segoe UI" w:cs="Segoe UI"/>
                <w:color w:val="1F1D1A"/>
                <w:sz w:val="18"/>
              </w:rPr>
              <w:t>el Tribunal de Cuentas, los presupuestos, la AIReF</w:t>
            </w:r>
          </w:p>
        </w:tc>
        <w:tc>
          <w:tcPr>
            <w:tcW w:type="dxa" w:w="3061"/>
          </w:tcPr>
          <w:p>
            <w:pPr>
              <w:spacing w:after="20" w:line="264" w:lineRule="auto"/>
            </w:pPr>
            <w:r/>
            <w:r>
              <w:rPr>
                <w:rFonts w:ascii="Segoe UI" w:hAnsi="Segoe UI" w:eastAsia="Segoe UI" w:cs="Segoe UI"/>
                <w:color w:val="1F1D1A"/>
                <w:sz w:val="18"/>
              </w:rPr>
              <w:t>su tribunal de cuentas o la entidad que fiscalice sus cuentas públicas</w:t>
            </w:r>
          </w:p>
        </w:tc>
      </w:tr>
      <w:tr>
        <w:tc>
          <w:tcPr>
            <w:tcW w:type="dxa" w:w="3061"/>
          </w:tcPr>
          <w:p>
            <w:pPr>
              <w:spacing w:after="20" w:line="264" w:lineRule="auto"/>
            </w:pPr>
            <w:r/>
            <w:r>
              <w:rPr>
                <w:rFonts w:ascii="Segoe UI" w:hAnsi="Segoe UI" w:eastAsia="Segoe UI" w:cs="Segoe UI"/>
                <w:color w:val="1F1D1A"/>
                <w:sz w:val="18"/>
              </w:rPr>
              <w:t>Las estadísticas</w:t>
            </w:r>
          </w:p>
        </w:tc>
        <w:tc>
          <w:tcPr>
            <w:tcW w:type="dxa" w:w="3061"/>
          </w:tcPr>
          <w:p>
            <w:pPr>
              <w:spacing w:after="20" w:line="264" w:lineRule="auto"/>
            </w:pPr>
            <w:r/>
            <w:r>
              <w:rPr>
                <w:rFonts w:ascii="Segoe UI" w:hAnsi="Segoe UI" w:eastAsia="Segoe UI" w:cs="Segoe UI"/>
                <w:color w:val="1F1D1A"/>
                <w:sz w:val="18"/>
              </w:rPr>
              <w:t>el INE, el Banco de España, Eurostat, la Agencia Tributaria</w:t>
            </w:r>
          </w:p>
        </w:tc>
        <w:tc>
          <w:tcPr>
            <w:tcW w:type="dxa" w:w="3061"/>
          </w:tcPr>
          <w:p>
            <w:pPr>
              <w:spacing w:after="20" w:line="264" w:lineRule="auto"/>
            </w:pPr>
            <w:r/>
            <w:r>
              <w:rPr>
                <w:rFonts w:ascii="Segoe UI" w:hAnsi="Segoe UI" w:eastAsia="Segoe UI" w:cs="Segoe UI"/>
                <w:color w:val="1F1D1A"/>
                <w:sz w:val="18"/>
              </w:rPr>
              <w:t>su oficina nacional de estadística, su banco central y su agencia tributaria</w:t>
            </w:r>
          </w:p>
        </w:tc>
      </w:tr>
      <w:tr>
        <w:tc>
          <w:tcPr>
            <w:tcW w:type="dxa" w:w="3061"/>
          </w:tcPr>
          <w:p>
            <w:pPr>
              <w:spacing w:after="20" w:line="264" w:lineRule="auto"/>
            </w:pPr>
            <w:r/>
            <w:r>
              <w:rPr>
                <w:rFonts w:ascii="Segoe UI" w:hAnsi="Segoe UI" w:eastAsia="Segoe UI" w:cs="Segoe UI"/>
                <w:color w:val="1F1D1A"/>
                <w:sz w:val="18"/>
              </w:rPr>
              <w:t>Las declaraciones formales externas</w:t>
            </w:r>
          </w:p>
        </w:tc>
        <w:tc>
          <w:tcPr>
            <w:tcW w:type="dxa" w:w="3061"/>
          </w:tcPr>
          <w:p>
            <w:pPr>
              <w:spacing w:after="20" w:line="264" w:lineRule="auto"/>
            </w:pPr>
            <w:r/>
            <w:r>
              <w:rPr>
                <w:rFonts w:ascii="Segoe UI" w:hAnsi="Segoe UI" w:eastAsia="Segoe UI" w:cs="Segoe UI"/>
                <w:color w:val="1F1D1A"/>
                <w:sz w:val="18"/>
              </w:rPr>
              <w:t>sentencias, condenas de tribunales internacionales e informes de organismos como el GRECO</w:t>
            </w:r>
          </w:p>
        </w:tc>
        <w:tc>
          <w:tcPr>
            <w:tcW w:type="dxa" w:w="3061"/>
          </w:tcPr>
          <w:p>
            <w:pPr>
              <w:spacing w:after="20" w:line="264" w:lineRule="auto"/>
            </w:pPr>
            <w:r/>
            <w:r>
              <w:rPr>
                <w:rFonts w:ascii="Segoe UI" w:hAnsi="Segoe UI" w:eastAsia="Segoe UI" w:cs="Segoe UI"/>
                <w:color w:val="1F1D1A"/>
                <w:sz w:val="18"/>
              </w:rPr>
              <w:t>los organismos de control internacionales de los que su país sea parte</w:t>
            </w:r>
          </w:p>
        </w:tc>
      </w:tr>
      <w:tr>
        <w:tc>
          <w:tcPr>
            <w:tcW w:type="dxa" w:w="3061"/>
          </w:tcPr>
          <w:p>
            <w:pPr>
              <w:spacing w:after="20" w:line="264" w:lineRule="auto"/>
            </w:pPr>
            <w:r/>
            <w:r>
              <w:rPr>
                <w:rFonts w:ascii="Segoe UI" w:hAnsi="Segoe UI" w:eastAsia="Segoe UI" w:cs="Segoe UI"/>
                <w:color w:val="1F1D1A"/>
                <w:sz w:val="18"/>
              </w:rPr>
              <w:t>Las palabras</w:t>
            </w:r>
          </w:p>
        </w:tc>
        <w:tc>
          <w:tcPr>
            <w:tcW w:type="dxa" w:w="3061"/>
          </w:tcPr>
          <w:p>
            <w:pPr>
              <w:spacing w:after="20" w:line="264" w:lineRule="auto"/>
            </w:pPr>
            <w:r/>
            <w:r>
              <w:rPr>
                <w:rFonts w:ascii="Segoe UI" w:hAnsi="Segoe UI" w:eastAsia="Segoe UI" w:cs="Segoe UI"/>
                <w:color w:val="1F1D1A"/>
                <w:sz w:val="18"/>
              </w:rPr>
              <w:t>el Diccionario de la lengua española y el Diccionario panhispánico del español jurídico</w:t>
            </w:r>
          </w:p>
        </w:tc>
        <w:tc>
          <w:tcPr>
            <w:tcW w:type="dxa" w:w="3061"/>
          </w:tcPr>
          <w:p>
            <w:pPr>
              <w:spacing w:after="20" w:line="264" w:lineRule="auto"/>
            </w:pPr>
            <w:r/>
            <w:r>
              <w:rPr>
                <w:rFonts w:ascii="Segoe UI" w:hAnsi="Segoe UI" w:eastAsia="Segoe UI" w:cs="Segoe UI"/>
                <w:color w:val="1F1D1A"/>
                <w:sz w:val="18"/>
              </w:rPr>
              <w:t>el diccionario de su lengua y el jurídico</w:t>
            </w:r>
          </w:p>
        </w:tc>
      </w:tr>
      <w:tr>
        <w:tc>
          <w:tcPr>
            <w:tcW w:type="dxa" w:w="3061"/>
          </w:tcPr>
          <w:p>
            <w:pPr>
              <w:spacing w:after="20" w:line="264" w:lineRule="auto"/>
            </w:pPr>
            <w:r/>
            <w:r>
              <w:rPr>
                <w:rFonts w:ascii="Segoe UI" w:hAnsi="Segoe UI" w:eastAsia="Segoe UI" w:cs="Segoe UI"/>
                <w:color w:val="1F1D1A"/>
                <w:sz w:val="18"/>
              </w:rPr>
              <w:t>Los textos de las tradiciones</w:t>
            </w:r>
          </w:p>
        </w:tc>
        <w:tc>
          <w:tcPr>
            <w:tcW w:type="dxa" w:w="3061"/>
          </w:tcPr>
          <w:p>
            <w:pPr>
              <w:spacing w:after="20" w:line="264" w:lineRule="auto"/>
            </w:pPr>
            <w:r/>
            <w:r>
              <w:rPr>
                <w:rFonts w:ascii="Segoe UI" w:hAnsi="Segoe UI" w:eastAsia="Segoe UI" w:cs="Segoe UI"/>
                <w:color w:val="1F1D1A"/>
                <w:sz w:val="18"/>
              </w:rPr>
              <w:t>los originales o una traducción reconocida (</w:t>
            </w:r>
            <w:r>
              <w:rPr>
                <w:rFonts w:ascii="Segoe UI" w:hAnsi="Segoe UI" w:eastAsia="Segoe UI" w:cs="Segoe UI"/>
                <w:color w:val="1F1D1A"/>
                <w:sz w:val="18"/>
              </w:rPr>
              <w:t>anexo F</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los mismos: no dependen del país</w:t>
            </w:r>
          </w:p>
        </w:tc>
      </w:tr>
    </w:tbl>
    <w:p>
      <w:pPr>
        <w:spacing w:after="80"/>
      </w:pPr>
    </w:p>
    <w:p>
      <w:r>
        <w:t>[libreta 76, sección 4 (tabla de fuentes para adaptar a cada país); 10 FUENTES LEIDAS, índices de los lotes]</w:t>
      </w:r>
    </w:p>
    <w:p>
      <w:r>
        <w:rPr>
          <w:b/>
        </w:rPr>
        <w:t>Las llaves de cada sitio</w:t>
      </w:r>
      <w:r>
        <w:t xml:space="preserve"> (comprobadas el 6-oct-2026; pueden cambiar): el BOE tiene un buscador de datos abiertos que da la dirección exacta de cada norma; el CENDOJ busca también en el texto completo de todas las sentencias; HUDOC da las fichas, y el texto solo en la lengua en que se dictó; EUR-Lex no deja bajar el documento fuera de un navegador. </w:t>
      </w:r>
      <w:r>
        <w:rPr>
          <w:i/>
        </w:rPr>
        <w:t>Regla:</w:t>
      </w:r>
      <w:r>
        <w:t xml:space="preserve"> antes de adivinar una dirección, preguntar al buscador oficial. </w:t>
      </w:r>
      <w:r>
        <w:t>[libreta 76, lecciones 21 y 24]</w:t>
      </w:r>
    </w:p>
    <w:p>
      <w:r>
        <w:t>No se ponen ejemplos de fuentes de otros países, porque esta obra no los ha leído. Quien quiera ayudar a completar la tabla para su país, con sus fuentes y su fecha, es bienvenido.</w:t>
      </w:r>
    </w:p>
    <w:p>
      <w:pPr>
        <w:pStyle w:val="Heading2"/>
      </w:pPr>
      <w:r>
        <w:t>G.6 Lo que el método cazó</w:t>
      </w:r>
    </w:p>
    <w:p>
      <w:pPr>
        <w:pBdr>
          <w:left w:val="single" w:sz="24" w:space="6" w:color="E2DED6"/>
        </w:pBdr>
        <w:shd w:val="clear" w:color="auto" w:fill="F1EEE8"/>
        <w:spacing w:before="80" w:after="160"/>
        <w:ind w:left="142" w:right="142"/>
      </w:pPr>
      <w:r>
        <w:rPr>
          <w:b/>
        </w:rPr>
        <w:t>La idea: cuatro citas que circulaban mal se corrigieron comprobando el original.</w:t>
      </w:r>
    </w:p>
    <w:p>
      <w:r>
        <w:rPr>
          <w:b/>
        </w:rPr>
        <w:t>Crisipo (Digesto 1, 3, 2).</w:t>
      </w:r>
      <w:r>
        <w:t xml:space="preserve"> Circula como texto del Digesto la fórmula «lex est… recta ratio, tota ex mente divina profecta». No es el texto de Digesto 1, 3, 2: ni «recta ratio» ni «mente divina» aparecen en el libro 1 del Digesto, y la fórmula exacta tampoco está en </w:t>
      </w:r>
      <w:r>
        <w:rPr>
          <w:i/>
        </w:rPr>
        <w:t>De legibus</w:t>
      </w:r>
      <w:r>
        <w:t xml:space="preserve"> I ni II de Cicerón; lo más parecido es </w:t>
      </w:r>
      <w:r>
        <w:rPr>
          <w:i/>
        </w:rPr>
        <w:t>De legibus</w:t>
      </w:r>
      <w:r>
        <w:t xml:space="preserve"> II, 10 («la ley verdadera y primera […] es la recta razón del sumo Júpiter») y I, 33. Lo que sí dice Digesto 1, 3, 2 es que Crisipo empieza así su libro sobre la ley: «la ley es reina de todas las cosas divinas y humanas», en griego</w:t>
      </w:r>
      <w:r>
        <w:t xml:space="preserve"> [original: «ho nomos pantwn esti basileus veiwn te kai anvrwpinwn pragmatwn» (transcripción de la Universidad de Grenoble)]</w:t>
      </w:r>
      <w:r>
        <w:t xml:space="preserve"> (Digesto 1, 3, 2, Marciano; Cicerón, </w:t>
      </w:r>
      <w:r>
        <w:rPr>
          <w:i/>
        </w:rPr>
        <w:t>De legibus</w:t>
      </w:r>
      <w:r>
        <w:t xml:space="preserve"> I, 33 y II, 10)</w:t>
      </w:r>
      <w:r>
        <w:t xml:space="preserve">. </w:t>
      </w:r>
      <w:r>
        <w:t>[01.00-7.1; c9g, índice, entradas 60 a 62]</w:t>
      </w:r>
    </w:p>
    <w:p>
      <w:r>
        <w:rPr>
          <w:b/>
        </w:rPr>
        <w:t>Ulpiano (Digesto 1, 1, 1).</w:t>
      </w:r>
      <w:r>
        <w:t xml:space="preserve"> Se atribuye a Ulpiano «Est enim unum ius, quo devincta est hominum societas…», pero es de Cicerón: «Hay, en efecto, un solo derecho, que mantiene unida la sociedad humana y que estableció una sola ley, que es la recta razón al mandar y al prohibir»</w:t>
      </w:r>
      <w:r>
        <w:t xml:space="preserve"> [original: «Est enim unum ius quo deuincta est hominum societas et quod lex constituit una, quae lex est recta ratio imperandi atque prohibendi»]</w:t>
      </w:r>
      <w:r>
        <w:t xml:space="preserve"> (Cicerón, </w:t>
      </w:r>
      <w:r>
        <w:rPr>
          <w:i/>
        </w:rPr>
        <w:t>De legibus</w:t>
      </w:r>
      <w:r>
        <w:t xml:space="preserve"> I, 42)</w:t>
      </w:r>
      <w:r>
        <w:br/>
      </w:r>
      <w:r>
        <w:rPr>
          <w:b/>
        </w:rPr>
        <w:t>leída en su fuente · Cicerón, *De legibus* I, 42</w:t>
      </w:r>
      <w:r>
        <w:br/>
      </w:r>
      <w:r>
        <w:rPr>
          <w:b/>
        </w:rPr>
        <w:t>Archivo leído:</w:t>
      </w:r>
      <w:r>
        <w:t xml:space="preserve"> ciceron_de_legibus_I_thelatinlibrary.html (c9g\ciceron_de_legibus_I_thelatinlibrary.html) · contraste del archivo de pasajes: ✔</w:t>
      </w:r>
      <w:r>
        <w:br/>
      </w:r>
      <w:r>
        <w:rPr>
          <w:b/>
        </w:rPr>
        <w:t>Lugar:</w:t>
      </w:r>
      <w:r>
        <w:t xml:space="preserve"> I, 42</w:t>
      </w:r>
      <w:r>
        <w:br/>
      </w:r>
      <w:r>
        <w:rPr>
          <w:b/>
        </w:rPr>
        <w:t>Dirección:</w:t>
      </w:r>
      <w:r>
        <w:t xml:space="preserve"> </w:t>
      </w:r>
      <w:r>
        <w:t>https://www.thelatinlibrary.com/cicero/leg1.shtml</w:t>
      </w:r>
      <w:r>
        <w:br/>
      </w:r>
      <w:r>
        <w:rPr>
          <w:b/>
        </w:rPr>
        <w:t>Tal como está en la fuente:</w:t>
      </w:r>
      <w:r>
        <w:t xml:space="preserve"> Est enim unum ius quo deuincta est hominum societas et quod lex constituit una, quae lex est recta ratio imperandi atque prohibendi.</w:t>
      </w:r>
      <w:r>
        <w:br/>
      </w:r>
      <w:r>
        <w:rPr>
          <w:b/>
        </w:rPr>
        <w:t>Traducción guardada:</w:t>
      </w:r>
      <w:r>
        <w:t xml:space="preserve"> Hay, en efecto, un solo derecho, que mantiene unida la sociedad humana y que estableció una sola ley, que es la recta razón al mandar y al prohibir.</w:t>
      </w:r>
      <w:r>
        <w:t>. Lo que Ulpiano dice de verdad es otra cosa: «derecho natural es el que la naturaleza enseñó a todos los animales, pues este derecho no es propio del género humano, sino común a todos los animales que nacen en la tierra y en el mar, y también a las aves»</w:t>
      </w:r>
      <w:r>
        <w:t xml:space="preserve"> [original: «Ius naturale est, quod natura omnia animalia docuit: nam ius istud non humani generis proprium, sed omnium animalium, quae in terra, quae in mari nascuntur, avium quoque commune est»]</w:t>
      </w:r>
      <w:r>
        <w:t xml:space="preserve"> (Digesto 1, 1, 1, 3, Ulpiano)</w:t>
      </w:r>
      <w:r>
        <w:br/>
      </w:r>
      <w:r>
        <w:rPr>
          <w:b/>
        </w:rPr>
        <w:t>leída en su fuente · Digesto 1, 1, 1, 3, Ulpiano</w:t>
      </w:r>
      <w:r>
        <w:br/>
      </w:r>
      <w:r>
        <w:rPr>
          <w:b/>
        </w:rPr>
        <w:t>Archivo leído:</w:t>
      </w:r>
      <w:r>
        <w:t xml:space="preserve"> 12.00_Digesto_libro_1_droitromain_Grenoble.html (c6\12.00_Digesto_libro_1_droitromain_Grenoble.html) · contraste del archivo de pasajes: ✔</w:t>
      </w:r>
      <w:r>
        <w:br/>
      </w:r>
      <w:r>
        <w:rPr>
          <w:b/>
        </w:rPr>
        <w:t>Lugar:</w:t>
      </w:r>
      <w:r>
        <w:t xml:space="preserve"> D. 1.1.1.3</w:t>
      </w:r>
      <w:r>
        <w:br/>
      </w:r>
      <w:r>
        <w:rPr>
          <w:b/>
        </w:rPr>
        <w:t>Dirección:</w:t>
      </w:r>
      <w:r>
        <w:t xml:space="preserve"> </w:t>
      </w:r>
      <w:r>
        <w:t>https://droitromain.univ-grenoble-alpes.fr/Corpus/d-01.htm</w:t>
      </w:r>
      <w:r>
        <w:br/>
      </w:r>
      <w:r>
        <w:rPr>
          <w:b/>
        </w:rPr>
        <w:t>Tal como está en la fuente:</w:t>
      </w:r>
      <w:r>
        <w:t xml:space="preserve"> Ius naturale est, quod natura omnia animalia docuit: nam ius istud non humani generis proprium, sed omnium animalium, quae in terra, quae in mari nascuntur, avium quoque commune est.</w:t>
      </w:r>
      <w:r>
        <w:br/>
      </w:r>
      <w:r>
        <w:rPr>
          <w:b/>
        </w:rPr>
        <w:t>Traducción guardada:</w:t>
      </w:r>
      <w:r>
        <w:t xml:space="preserve"> Derecho natural es el que la naturaleza enseñó a todos los animales, pues este derecho no es propio del género humano, sino común a todos los animales que nacen en la tierra y en el mar, y también a las aves.</w:t>
      </w:r>
      <w:r>
        <w:t xml:space="preserve">. Su derecho natural incluye el instinto compartido con los animales, no solo la razón moral humana: un matiz que lo distingue del concepto de la ley natural de Cicerón y de Aquino. </w:t>
      </w:r>
      <w:r>
        <w:t>[01.00-7.2; c9g, índice, entradas 63 y 65]</w:t>
      </w:r>
    </w:p>
    <w:p>
      <w:r>
        <w:rPr>
          <w:b/>
        </w:rPr>
        <w:t>Bentham («la mayor felicidad del mayor número»).</w:t>
      </w:r>
      <w:r>
        <w:t xml:space="preserve"> La frase no aparece en ningún punto de </w:t>
      </w:r>
      <w:r>
        <w:rPr>
          <w:i/>
        </w:rPr>
        <w:t>Introducción a los principios de la moral y la legislación</w:t>
      </w:r>
      <w:r>
        <w:t xml:space="preserve"> (1789): lo dice el estudio de J. H. Burns</w:t>
      </w:r>
      <w:r>
        <w:t xml:space="preserve"> (J. H. Burns, «Happiness and Utility: Jeremy Bentham's Equation» (Felicidad y utilidad: la ecuación de Jeremy Bentham), </w:t>
      </w:r>
      <w:r>
        <w:rPr>
          <w:i/>
        </w:rPr>
        <w:t>Utilitas</w:t>
      </w:r>
      <w:r>
        <w:t xml:space="preserve"> 17 (</w:t>
      </w:r>
      <w:r>
        <w:t>1</w:t>
      </w:r>
      <w:r>
        <w:t>), marzo de 2005, pp. 46-61; fuente secundaria)</w:t>
      </w:r>
      <w:r>
        <w:t xml:space="preserve"> y se comprobó en el texto de 1789. Está en el prefacio de </w:t>
      </w:r>
      <w:r>
        <w:rPr>
          <w:i/>
        </w:rPr>
        <w:t>A Fragment on Government</w:t>
      </w:r>
      <w:r>
        <w:t xml:space="preserve"> (1776): «la mayor felicidad del mayor número es la medida de lo justo y de lo injusto»</w:t>
      </w:r>
      <w:r>
        <w:t xml:space="preserve"> [original: «it is the greatest happiness of the greatest number that is the measure of right and wrong»]</w:t>
      </w:r>
      <w:r>
        <w:t xml:space="preserve"> (Bentham, </w:t>
      </w:r>
      <w:r>
        <w:rPr>
          <w:i/>
        </w:rPr>
        <w:t>A Fragment on Government</w:t>
      </w:r>
      <w:r>
        <w:t>, 1776, prefacio)</w:t>
      </w:r>
      <w:r>
        <w:br/>
      </w:r>
      <w:r>
        <w:rPr>
          <w:b/>
        </w:rPr>
        <w:t>leída en su fuente · Bentham, *A Fragment on Government*, 1776, prefacio</w:t>
      </w:r>
      <w:r>
        <w:br/>
      </w:r>
      <w:r>
        <w:rPr>
          <w:b/>
        </w:rPr>
        <w:t>Archivo leído:</w:t>
      </w:r>
      <w:r>
        <w:t xml:space="preserve"> burns_2005_happiness_and_utility_utilitarianism_com.pdf (c9g\burns_2005_happiness_and_utility_utilitarianism_com.pdf) · contraste del archivo de pasajes: ✔</w:t>
      </w:r>
      <w:r>
        <w:br/>
      </w:r>
      <w:r>
        <w:rPr>
          <w:b/>
        </w:rPr>
        <w:t>Lugar:</w:t>
      </w:r>
      <w:r>
        <w:t xml:space="preserve"> Bentham, *A Fragment on Government*, 1776, prefacio</w:t>
      </w:r>
      <w:r>
        <w:br/>
      </w:r>
      <w:r>
        <w:rPr>
          <w:b/>
        </w:rPr>
        <w:t>Tal como está en la fuente:</w:t>
      </w:r>
      <w:r>
        <w:t xml:space="preserve"> it is the greatest happiness of the greatest number that is the measure of right and wrong</w:t>
      </w:r>
      <w:r>
        <w:t>. Burns añade que la frase no reaparece en sus obras publicadas durante más de cuarenta años, aunque en algunas publicaciones intermedias aparecen frases muy próximas (según una propuesta de Shackleton, de 1972). Lo que sí abre el texto de 1789 es otra frase: «la naturaleza ha puesto a la humanidad bajo el gobierno de dos amos soberanos, el dolor y el placer»</w:t>
      </w:r>
      <w:r>
        <w:t xml:space="preserve"> [original: «Nature has placed mankind under the governance of two sovereign masters, pain and pleasure»]</w:t>
      </w:r>
      <w:r>
        <w:t xml:space="preserve"> (Bentham, </w:t>
      </w:r>
      <w:r>
        <w:rPr>
          <w:i/>
        </w:rPr>
        <w:t>Introduction to the Principles of Morals and Legislation</w:t>
      </w:r>
      <w:r>
        <w:t>, 1789, cap. I)</w:t>
      </w:r>
      <w:r>
        <w:br/>
      </w:r>
      <w:r>
        <w:rPr>
          <w:b/>
        </w:rPr>
        <w:t>leída en su fuente · Bentham, *Introduction to the Principles of Morals and Legislation*, 1789, cap. I</w:t>
      </w:r>
      <w:r>
        <w:br/>
      </w:r>
      <w:r>
        <w:rPr>
          <w:b/>
        </w:rPr>
        <w:t>Archivo leído:</w:t>
      </w:r>
      <w:r>
        <w:t xml:space="preserve"> burns_2005_happiness_and_utility_utilitarianism_com.txt · contraste del archivo de pasajes: sin archivo</w:t>
      </w:r>
      <w:r>
        <w:br/>
      </w:r>
      <w:r>
        <w:rPr>
          <w:b/>
        </w:rPr>
        <w:t>Lugar:</w:t>
      </w:r>
      <w:r>
        <w:t xml:space="preserve"> 10 FUENTES LEIDAS/c9g (índice, entrada 58)</w:t>
      </w:r>
      <w:r>
        <w:br/>
      </w:r>
      <w:r>
        <w:rPr>
          <w:b/>
        </w:rPr>
        <w:t>Tal como está en la fuente:</w:t>
      </w:r>
      <w:r>
        <w:t xml:space="preserve"> la naturaleza ha puesto a la humanidad bajo el gobierno de dos amos soberanos, el dolor y el placer.</w:t>
      </w:r>
      <w:r>
        <w:t xml:space="preserve">. </w:t>
      </w:r>
      <w:r>
        <w:t>[01.00-15.1; 01.00-15.2; c9g, índice, entradas 54 a 58]</w:t>
      </w:r>
    </w:p>
    <w:p>
      <w:r>
        <w:rPr>
          <w:b/>
        </w:rPr>
        <w:t>«Sine causa nulla obligatio» (Celso).</w:t>
      </w:r>
      <w:r>
        <w:t xml:space="preserve"> Un informe de partida daba como máxima romana «sine causa nulla obligatio». La máxima romana que está comprobada es la de Celso: «no hay obligación alguna de cosas imposibles»</w:t>
      </w:r>
      <w:r>
        <w:t xml:space="preserve"> [original: «Inpossibilium nulla obligatio est»]</w:t>
      </w:r>
      <w:r>
        <w:t xml:space="preserve"> (Digesto 50, 17, 185, Celso, libro octavo)</w:t>
      </w:r>
      <w:r>
        <w:br/>
      </w:r>
      <w:r>
        <w:rPr>
          <w:b/>
        </w:rPr>
        <w:t>leída en su fuente · Digesto 50, 17, 185, Celso, libro octavo</w:t>
      </w:r>
      <w:r>
        <w:br/>
      </w:r>
      <w:r>
        <w:rPr>
          <w:b/>
        </w:rPr>
        <w:t>Archivo leído:</w:t>
      </w:r>
      <w:r>
        <w:t xml:space="preserve"> 8.5_04a_Digesto_libro_50_Grenoble.html (c5_grandes\diccionariodelal0000unse_q9u2.txt) · contraste del archivo de pasajes: parcial</w:t>
      </w:r>
      <w:r>
        <w:br/>
      </w:r>
      <w:r>
        <w:rPr>
          <w:b/>
        </w:rPr>
        <w:t>Lugar:</w:t>
      </w:r>
      <w:r>
        <w:t xml:space="preserve"> DPEJ</w:t>
      </w:r>
      <w:r>
        <w:br/>
      </w:r>
      <w:r>
        <w:rPr>
          <w:b/>
        </w:rPr>
        <w:t>Dirección:</w:t>
      </w:r>
      <w:r>
        <w:t xml:space="preserve"> </w:t>
      </w:r>
      <w:r>
        <w:t>https://dpej.rae.es/lema/impossibilium-nulla-obligatio-est</w:t>
      </w:r>
      <w:r>
        <w:t xml:space="preserve"> ; </w:t>
      </w:r>
      <w:r>
        <w:t>https://droitromain.univ-grenoble-alpes.fr/Corpus/d-50.htm</w:t>
      </w:r>
      <w:r>
        <w:br/>
      </w:r>
      <w:r>
        <w:rPr>
          <w:b/>
        </w:rPr>
        <w:t>Tal como está en la fuente:</w:t>
      </w:r>
      <w:r>
        <w:t xml:space="preserve"> No hay obligación alguna de cosas imposibles</w:t>
      </w:r>
      <w:r>
        <w:t>. Es el lema que recoge el Diccionario panhispánico del español jurídico, que añade que se lee a menudo con «m» (</w:t>
      </w:r>
      <w:r>
        <w:rPr>
          <w:i/>
        </w:rPr>
        <w:t>impossibilium</w:t>
      </w:r>
      <w:r>
        <w:t xml:space="preserve">), que ambas formas son correctas en latín y que la «n» es más exacta, por la edición de Mommsen. El Código Civil español recoge la regla en el art. 1272 («no podrán ser objeto de contrato las cosas o servicios imposibles») y en el art. 1184. Que «sine causa nulla obligatio» no figure en ninguna fuente romana primaria no se ha comprobado todavía. Las máximas latinas que sí están comprobadas, en H.10. </w:t>
      </w:r>
      <w:r>
        <w:t>[11.00-6.1; 11.00-6.2; 11.00-6.3; c9c, índice, entradas 96 a 100; lo no comprobado, a flecos]</w:t>
      </w:r>
    </w:p>
    <w:p>
      <w:r>
        <w:t xml:space="preserve">Una cita que circula sin dueño confirmado se marca como tal o no se usa (libro de estilo §2). En estos cuatro casos, lo que circulaba se usó como pista y lo que se escribe es lo leído en el original. </w:t>
      </w:r>
      <w:r>
        <w:t>[libro de estilo §2]</w:t>
      </w:r>
    </w:p>
    <w:p>
      <w:pPr>
        <w:pStyle w:val="Heading2"/>
      </w:pPr>
      <w:r>
        <w:t>G.7 El recorrido del autor, y cuánto tardó</w:t>
      </w:r>
    </w:p>
    <w:p>
      <w:pPr>
        <w:pBdr>
          <w:left w:val="single" w:sz="24" w:space="6" w:color="E2DED6"/>
        </w:pBdr>
        <w:shd w:val="clear" w:color="auto" w:fill="F1EEE8"/>
        <w:spacing w:before="80" w:after="160"/>
        <w:ind w:left="142" w:right="142"/>
      </w:pPr>
      <w:r>
        <w:rPr>
          <w:b/>
        </w:rPr>
        <w:t>La idea: la obra empezó aplicando el método a las propias creencias del autor; esto es lo que él cuenta, y lo que consta en archivos con fecha va aparte.</w:t>
      </w:r>
    </w:p>
    <w:p>
      <w:r>
        <w:rPr>
          <w:b/>
        </w:rPr>
        <w:t>Lectura del autor</w:t>
      </w:r>
      <w:r>
        <w:t xml:space="preserve"> (palabra del autor, experiencia personal: no es un dato comprobable ni acusa a nadie):</w:t>
      </w:r>
    </w:p>
    <w:p>
      <w:r>
        <w:t xml:space="preserve">Empezó en agosto de 2025, por un hecho personal que el autor prefiere no detallar. Se le acusó injustamente, dice, y lo vivió con varias maniobras que le parecieron muy feas. Cuenta que a quien le acusaba el Estado le puso abogado gratuito, mientras él entraba en «los engranajes de la maquinaria», y que cada vez que le ha tocado defenderse le ha costado dinero, entre abogado y procurador. </w:t>
      </w:r>
      <w:r>
        <w:t>[palabras del autor, 7-oct-2026]</w:t>
      </w:r>
    </w:p>
    <w:p>
      <w:r>
        <w:t xml:space="preserve">Ha sido empresario y autónomo toda su vida, y ha visto cómo hay quien intenta aprovecharse del sistema y ponerlo a trabajar a su favor. De ahí un sentir que ya traía: que el Estado funciona como «una máquina de facturar», y que no pone a las partes en igualdad de armas. A su juicio, las demandas contra quien tiene algo que perder se admiten y avanzan más deprisa que las suyas: cuando demanda él, tardan mucho en admitirse y en llegar a juicio, y paga abogado y procurador; y cuando es al revés, todo va muy deprisa. Es su experiencia, no una estadística, y la obra no la presenta como dato. </w:t>
      </w:r>
      <w:r>
        <w:t>[palabras del autor, 7-oct-2026]</w:t>
      </w:r>
    </w:p>
    <w:p>
      <w:r>
        <w:t xml:space="preserve">Buscó entonces respuestas en vídeos de la web y se apuntó a un curso de soberanía, en línea. Allí conoció a su profesor, «una maravillosísima persona», y comprobó que toda la gente que buscaba en la soberanía había tenido el mismo problema que él, en distintos aspectos de la vida: no estaba solo, el problema era general. Habla de ellos como «gente maravillosa, gente de corazón», que ha sido su inspiración, igual que su profesor. Estudió varios movimientos soberanos y se apuntó a uno de ellos. Había muchos datos y muchas teorías, pero en la práctica no le daban una seguridad estructural: no se sentía amparado ni recogido. </w:t>
      </w:r>
      <w:r>
        <w:t>[palabras del autor, 7-oct-2026]</w:t>
      </w:r>
    </w:p>
    <w:p>
      <w:r>
        <w:t>Poco después de aquel primer incidente, la Administración le retiró una ayuda de la Seguridad Social que había recibido en la época del COVID, y se la reclamó varios años después. «Después de haber hecho un poco el ridículo», cuenta, empezó a estudiar por qué las cosas funcionan o no funcionan, y si son justas o injustas. Fue tumbando, una por una, las presunciones de aquellos movimientos, y comprobó que no tenían la fuente de la que decían salir (</w:t>
      </w:r>
      <w:r>
        <w:t>anexo E</w:t>
      </w:r>
      <w:r>
        <w:t xml:space="preserve">). Lo cuenta así: tenían el impulso, pero «no terminaba de funcionar», y los propios profesores reconocían con honradez que aún no habían descubierto el mecanismo. Él buscó la roca sólida donde se asentaban sus principios: «busqué sus raíces y no las encontré». Algo apuntaba bien, añade, pero no de la manera en que lo planteaban. </w:t>
      </w:r>
      <w:r>
        <w:t>[palabras del autor, 7 y 10-oct-2026]</w:t>
      </w:r>
    </w:p>
    <w:p>
      <w:r>
        <w:t xml:space="preserve">Vio también que, a ese ritmo, «tardaríamos 1.500 años en solucionar este problema», un cálculo suyo, no un dato. Y, como dice, «soy buen mecánico»: lleva más de 30 años en mecánica y electromecánica, entre estudios y trabajo, y su oficio le enseñó que, «para diagnosticar dónde estaba el fallo, no tenía que saltarme ningún paso y no dar por presunción cualquier cosa que la gente sosteniera»; de lo que no pudiera comprobar por sí mismo, no se podía fiar. Con esa mirada se preguntó cómo se construyó un Estado, qué lo sostiene y qué lo alimenta. Decidió desmontarlo pieza a pieza para entender el mecanismo, como se desmonta una máquina. Una persona muy querida para él le decía que era «el mecánico del amor»; desde aquí le manda besos. </w:t>
      </w:r>
      <w:r>
        <w:t>[palabras del autor, 7 y 10-oct-2026]</w:t>
      </w:r>
    </w:p>
    <w:p>
      <w:r>
        <w:t>Las religiones han custodiado durante siglos los manuscritos sagrados, dice, y a nadie se le ocurrió ordenar las leyes de Dios (</w:t>
      </w:r>
      <w:r>
        <w:t>1.1</w:t>
      </w:r>
      <w:r>
        <w:t>). Cuando terminó de analizar los movimientos soberanos y sobre qué roca firme se sostenía cada pilar de la legitimidad del Estado, aplicó el mismo desmontaje, por este orden, según lo cuenta: primero la filosofía, con los filósofos que debatieron la construcción del Estado (</w:t>
      </w:r>
      <w:r>
        <w:t>capítulo 6</w:t>
      </w:r>
      <w:r>
        <w:t>), y desde ahí, hacia atrás en la historia, los grandes filósofos; y al final los textos sagrados, «lo más querido y cuidado por toda la humanidad», de todas las religiones, dice, hasta Egipto y los mayas. Buscaba los principios que aparecían en religiones y épocas distintas y convergían; de ahí sacó lo que él considera la ley de Dios y el orden de las leyes: la ley de Dios, la ley natural, la costumbre y la ley escrita (</w:t>
      </w:r>
      <w:r>
        <w:t>1.1</w:t>
      </w:r>
      <w:r>
        <w:t xml:space="preserve">). Lo hizo porque ahí, cree, estaban las soluciones, y en este tiempo presente, dice, se han eliminado todas las soluciones. Como no vio a nadie que lo hiciera, y se le da bien, se puso: cuenta que ha trabajado hasta dieciséis horas seguidas ante el ordenador, con poco sueño y mucho «calentamiento de cabeza», y que no estaba cansado, porque lo hacía desde la pasión de corregir un error que, a su juicio, estaba asfixiando a la sociedad. </w:t>
      </w:r>
      <w:r>
        <w:t>[palabras del autor, 7 y 10-oct-2026]</w:t>
      </w:r>
    </w:p>
    <w:p>
      <w:r>
        <w:t xml:space="preserve">A lo largo de su vida, personas a las que ayudó no se lo agradecieron, o intentaron aprovecharse de él. Cansado de esa situación, decidió dedicar tiempo a no vivir con ansiedad en un sistema que sentía injusto. Con los años observó también, en España, que cuando hay más asfixia económica el ser humano empieza a crear estrategias, porque entra en su nivel de supervivencia, y vio cómo mucha gente abandonaba sus principios y su moral, hasta parecerse a la ley de la jungla (los datos de esa asfixia, en el </w:t>
      </w:r>
      <w:r>
        <w:t>capítulo 8</w:t>
      </w:r>
      <w:r>
        <w:t>). Lo que está arriba tiene que ser el ejemplo a seguir, dice. Y si ese ejemplo es el que muestran los datos de esta obra, y por sus frutos</w:t>
      </w:r>
      <w:r>
        <w:t xml:space="preserve"> (Mt 7:16)</w:t>
      </w:r>
      <w:r>
        <w:t xml:space="preserve"> va contra natura, es normal que el ser humano lo normalice, lo integre y lo asuma, y que la sociedad sea como es: a eso se refiere cuando habla de degradar el nivel espiritual del ser humano. Recuerda textos de las tradiciones que dicen que, cuando hay un problema en una nación, hay que mirar al Estado; y lo que, según observa, hace el Estado es «divide y vencerás». Es una observación suya, no un dato: la intención no se prueba con los hechos. Lo que dicen de quien gobierna los textos que la obra sí ha leído, con su fuente, está en </w:t>
      </w:r>
      <w:r>
        <w:t>3.2</w:t>
      </w:r>
      <w:r>
        <w:t xml:space="preserve"> (P1, «El gobernante existe para el pueblo») y en el </w:t>
      </w:r>
      <w:r>
        <w:t>anexo F</w:t>
      </w:r>
      <w:r>
        <w:t xml:space="preserve">. </w:t>
      </w:r>
      <w:r>
        <w:t>[palabras del autor, 7-oct-2026]</w:t>
      </w:r>
    </w:p>
    <w:p>
      <w:r>
        <w:t>Después de aprender, cambiar de dirección y soltar lo que no aguantaba la prueba, llegó hasta aquí. Pero el camino, dice, ha sido «un auténtico dolor de parto»; por eso le hace gracia haber llegado a los textos de las religiones y haber encontrado una convergencia que para él es divina (</w:t>
      </w:r>
      <w:r>
        <w:t>3.1</w:t>
      </w:r>
      <w:r>
        <w:t xml:space="preserve">). Lo hace con amor incondicional hacia la tribu humana, «mis hermanos», y, ya que ha tenido que leer textos sagrados en esta peripecia, aprovecha para decir que esto sirva «para separar el grano de la paja». </w:t>
      </w:r>
      <w:r>
        <w:t>[palabras del autor, 7-oct-2026]</w:t>
      </w:r>
    </w:p>
    <w:p>
      <w:r>
        <w:t xml:space="preserve">De sí mismo dice: «No soy ningún santo, pero tampoco soy un demonio.» Cuenta que, a lo largo de su camino de autoaprendizaje y autocorrección, ha cruzado varias líneas en las dos direcciones, y que no puede decir que lo malo haya sido del todo malo, porque fue el abono donde echó raíces ese aprendizaje. Por la experiencia ha llegado a ver que «el único crimen es hacer daño»: como ha vivido el daño en carne propia varias veces, no se le ocurre hacérselo al prójimo (el precepto clásico </w:t>
      </w:r>
      <w:r>
        <w:rPr>
          <w:i/>
        </w:rPr>
        <w:t>alterum non laedere</w:t>
      </w:r>
      <w:r>
        <w:t xml:space="preserve">, «no dañar a otro», </w:t>
      </w:r>
      <w:r>
        <w:t>H.10</w:t>
      </w:r>
      <w:r>
        <w:t>). «Soy una persona común y corriente. Un autónomo cabreado.» Recuerda la escena del evangelio en que quien esté sin pecado debe tirar la primera piedra (Jn 8:7), que le parece un referente a seguir, «pero eso sí, espero que no me crucifiquen ni me confundan con él». Y hace suya una frase que le sale espontánea y de la que no sabe si está en la Biblia: «Si Dios no me juzga, ¿quién eres tú para juzgarme?». La da la vuelta y la aplica a la obra: «si Dios no te juzga, ¿quién soy yo para juzgarte?». Es la raíz humana de la regla de esta obra: se juzgan las instituciones y los diseños legales, nunca a las personas ni a los colectivos (</w:t>
      </w:r>
      <w:r>
        <w:t>0.2</w:t>
      </w:r>
      <w:r>
        <w:t xml:space="preserve">). </w:t>
      </w:r>
      <w:r>
        <w:t>[palabras del autor, 7-oct-2026]</w:t>
      </w:r>
    </w:p>
    <w:p>
      <w:r>
        <w:rPr>
          <w:b/>
        </w:rPr>
        <w:t>Lo que consta en archivos con fecha: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fecha</w:t>
            </w:r>
          </w:p>
        </w:tc>
        <w:tc>
          <w:tcPr>
            <w:tcW w:type="dxa" w:w="3061"/>
            <w:shd w:val="clear" w:color="auto" w:fill="F1EEE8"/>
          </w:tcPr>
          <w:p>
            <w:pPr>
              <w:spacing w:after="20" w:line="264" w:lineRule="auto"/>
            </w:pPr>
            <w:r>
              <w:rPr>
                <w:b/>
              </w:rPr>
            </w:r>
            <w:r>
              <w:rPr>
                <w:rFonts w:ascii="Segoe UI" w:hAnsi="Segoe UI" w:eastAsia="Segoe UI" w:cs="Segoe UI"/>
                <w:b/>
                <w:color w:val="1F1D1A"/>
                <w:sz w:val="18"/>
              </w:rPr>
              <w:t>qué</w:t>
            </w:r>
          </w:p>
        </w:tc>
        <w:tc>
          <w:tcPr>
            <w:tcW w:type="dxa" w:w="3061"/>
            <w:shd w:val="clear" w:color="auto" w:fill="F1EEE8"/>
          </w:tcPr>
          <w:p>
            <w:pPr>
              <w:spacing w:after="20" w:line="264" w:lineRule="auto"/>
            </w:pPr>
            <w:r>
              <w:rPr>
                <w:b/>
              </w:rPr>
            </w:r>
            <w:r>
              <w:rPr>
                <w:rFonts w:ascii="Segoe UI" w:hAnsi="Segoe UI" w:eastAsia="Segoe UI" w:cs="Segoe UI"/>
                <w:b/>
                <w:color w:val="1F1D1A"/>
                <w:sz w:val="18"/>
              </w:rPr>
              <w:t>de dónde sale</w:t>
            </w:r>
          </w:p>
        </w:tc>
      </w:tr>
      <w:tr>
        <w:tc>
          <w:tcPr>
            <w:tcW w:type="dxa" w:w="3061"/>
          </w:tcPr>
          <w:p>
            <w:pPr>
              <w:spacing w:after="20" w:line="264" w:lineRule="auto"/>
            </w:pPr>
            <w:r/>
            <w:r>
              <w:rPr>
                <w:rFonts w:ascii="Segoe UI" w:hAnsi="Segoe UI" w:eastAsia="Segoe UI" w:cs="Segoe UI"/>
                <w:color w:val="1F1D1A"/>
                <w:sz w:val="18"/>
              </w:rPr>
              <w:t>agosto de 2025</w:t>
            </w:r>
          </w:p>
        </w:tc>
        <w:tc>
          <w:tcPr>
            <w:tcW w:type="dxa" w:w="3061"/>
          </w:tcPr>
          <w:p>
            <w:pPr>
              <w:spacing w:after="20" w:line="264" w:lineRule="auto"/>
            </w:pPr>
            <w:r/>
            <w:r>
              <w:rPr>
                <w:rFonts w:ascii="Segoe UI" w:hAnsi="Segoe UI" w:eastAsia="Segoe UI" w:cs="Segoe UI"/>
                <w:color w:val="1F1D1A"/>
                <w:sz w:val="18"/>
              </w:rPr>
              <w:t>el comienzo del camino</w:t>
            </w:r>
          </w:p>
        </w:tc>
        <w:tc>
          <w:tcPr>
            <w:tcW w:type="dxa" w:w="3061"/>
          </w:tcPr>
          <w:p>
            <w:pPr>
              <w:spacing w:after="20" w:line="264" w:lineRule="auto"/>
            </w:pPr>
            <w:r/>
            <w:r>
              <w:rPr>
                <w:rFonts w:ascii="Segoe UI" w:hAnsi="Segoe UI" w:eastAsia="Segoe UI" w:cs="Segoe UI"/>
                <w:color w:val="1F1D1A"/>
                <w:sz w:val="18"/>
              </w:rPr>
              <w:t>palabra del autor, sin archivo leído</w:t>
            </w:r>
          </w:p>
        </w:tc>
      </w:tr>
      <w:tr>
        <w:tc>
          <w:tcPr>
            <w:tcW w:type="dxa" w:w="3061"/>
          </w:tcPr>
          <w:p>
            <w:pPr>
              <w:spacing w:after="20" w:line="264" w:lineRule="auto"/>
            </w:pPr>
            <w:r/>
            <w:r>
              <w:rPr>
                <w:rFonts w:ascii="Segoe UI" w:hAnsi="Segoe UI" w:eastAsia="Segoe UI" w:cs="Segoe UI"/>
                <w:color w:val="1F1D1A"/>
                <w:sz w:val="18"/>
              </w:rPr>
              <w:t>septiembre de 2025</w:t>
            </w:r>
          </w:p>
        </w:tc>
        <w:tc>
          <w:tcPr>
            <w:tcW w:type="dxa" w:w="3061"/>
          </w:tcPr>
          <w:p>
            <w:pPr>
              <w:spacing w:after="20" w:line="264" w:lineRule="auto"/>
            </w:pPr>
            <w:r/>
            <w:r>
              <w:rPr>
                <w:rFonts w:ascii="Segoe UI" w:hAnsi="Segoe UI" w:eastAsia="Segoe UI" w:cs="Segoe UI"/>
                <w:color w:val="1F1D1A"/>
                <w:sz w:val="18"/>
              </w:rPr>
              <w:t>empieza a usar la inteligencia artificial de Gemini (Sofía)</w:t>
            </w:r>
          </w:p>
        </w:tc>
        <w:tc>
          <w:tcPr>
            <w:tcW w:type="dxa" w:w="3061"/>
          </w:tcPr>
          <w:p>
            <w:pPr>
              <w:spacing w:after="20" w:line="264" w:lineRule="auto"/>
            </w:pPr>
            <w:r/>
            <w:r>
              <w:rPr>
                <w:rFonts w:ascii="Segoe UI" w:hAnsi="Segoe UI" w:eastAsia="Segoe UI" w:cs="Segoe UI"/>
                <w:color w:val="1F1D1A"/>
                <w:sz w:val="18"/>
              </w:rPr>
              <w:t>palabra del autor; el registro de Google tiene dos usos del asistente ese mes (</w:t>
            </w:r>
            <w:r>
              <w:rPr>
                <w:rFonts w:ascii="Segoe UI" w:hAnsi="Segoe UI" w:eastAsia="Segoe UI" w:cs="Segoe UI"/>
                <w:color w:val="1F1D1A"/>
                <w:sz w:val="18"/>
              </w:rPr>
              <w:t>G.8</w:t>
            </w:r>
            <w:r>
              <w:rPr>
                <w:rFonts w:ascii="Segoe UI" w:hAnsi="Segoe UI" w:eastAsia="Segoe UI" w:cs="Segoe UI"/>
                <w:color w:val="1F1D1A"/>
                <w:sz w:val="18"/>
              </w:rPr>
              <w:t>)</w:t>
            </w:r>
          </w:p>
        </w:tc>
      </w:tr>
      <w:tr>
        <w:tc>
          <w:tcPr>
            <w:tcW w:type="dxa" w:w="3061"/>
          </w:tcPr>
          <w:p>
            <w:pPr>
              <w:spacing w:after="20" w:line="264" w:lineRule="auto"/>
            </w:pPr>
            <w:r/>
            <w:r>
              <w:rPr>
                <w:rFonts w:ascii="Segoe UI" w:hAnsi="Segoe UI" w:eastAsia="Segoe UI" w:cs="Segoe UI"/>
                <w:color w:val="1F1D1A"/>
                <w:sz w:val="18"/>
              </w:rPr>
              <w:t>24-dic-2025</w:t>
            </w:r>
          </w:p>
        </w:tc>
        <w:tc>
          <w:tcPr>
            <w:tcW w:type="dxa" w:w="3061"/>
          </w:tcPr>
          <w:p>
            <w:pPr>
              <w:spacing w:after="20" w:line="264" w:lineRule="auto"/>
            </w:pPr>
            <w:r/>
            <w:r>
              <w:rPr>
                <w:rFonts w:ascii="Segoe UI" w:hAnsi="Segoe UI" w:eastAsia="Segoe UI" w:cs="Segoe UI"/>
                <w:color w:val="1F1D1A"/>
                <w:sz w:val="18"/>
              </w:rPr>
              <w:t>empiezan las conversaciones seguidas con Gemini (Sofía)</w:t>
            </w:r>
          </w:p>
        </w:tc>
        <w:tc>
          <w:tcPr>
            <w:tcW w:type="dxa" w:w="3061"/>
          </w:tcPr>
          <w:p>
            <w:pPr>
              <w:spacing w:after="20" w:line="264" w:lineRule="auto"/>
            </w:pPr>
            <w:r/>
            <w:r>
              <w:rPr>
                <w:rFonts w:ascii="Segoe UI" w:hAnsi="Segoe UI" w:eastAsia="Segoe UI" w:cs="Segoe UI"/>
                <w:color w:val="1F1D1A"/>
                <w:sz w:val="18"/>
              </w:rPr>
              <w:t>registro de actividad de Gemini (</w:t>
            </w:r>
            <w:r>
              <w:rPr>
                <w:rFonts w:ascii="Segoe UI" w:hAnsi="Segoe UI" w:eastAsia="Segoe UI" w:cs="Segoe UI"/>
                <w:color w:val="1F1D1A"/>
                <w:sz w:val="18"/>
              </w:rPr>
              <w:t>G.8</w:t>
            </w:r>
            <w:r>
              <w:rPr>
                <w:rFonts w:ascii="Segoe UI" w:hAnsi="Segoe UI" w:eastAsia="Segoe UI" w:cs="Segoe UI"/>
                <w:color w:val="1F1D1A"/>
                <w:sz w:val="18"/>
              </w:rPr>
              <w:t>)</w:t>
            </w:r>
          </w:p>
        </w:tc>
      </w:tr>
      <w:tr>
        <w:tc>
          <w:tcPr>
            <w:tcW w:type="dxa" w:w="3061"/>
          </w:tcPr>
          <w:p>
            <w:pPr>
              <w:spacing w:after="20" w:line="264" w:lineRule="auto"/>
            </w:pPr>
            <w:r/>
            <w:r>
              <w:rPr>
                <w:rFonts w:ascii="Segoe UI" w:hAnsi="Segoe UI" w:eastAsia="Segoe UI" w:cs="Segoe UI"/>
                <w:color w:val="1F1D1A"/>
                <w:sz w:val="18"/>
              </w:rPr>
              <w:t>27-ene a 12-mar-2026</w:t>
            </w:r>
          </w:p>
        </w:tc>
        <w:tc>
          <w:tcPr>
            <w:tcW w:type="dxa" w:w="3061"/>
          </w:tcPr>
          <w:p>
            <w:pPr>
              <w:spacing w:after="20" w:line="264" w:lineRule="auto"/>
            </w:pPr>
            <w:r/>
            <w:r>
              <w:rPr>
                <w:rFonts w:ascii="Segoe UI" w:hAnsi="Segoe UI" w:eastAsia="Segoe UI" w:cs="Segoe UI"/>
                <w:color w:val="1F1D1A"/>
                <w:sz w:val="18"/>
              </w:rPr>
              <w:t>el método, por escrito: la escala de lo comprobado, la dirección de los hechos y la retractación (</w:t>
            </w:r>
            <w:r>
              <w:rPr>
                <w:rFonts w:ascii="Segoe UI" w:hAnsi="Segoe UI" w:eastAsia="Segoe UI" w:cs="Segoe UI"/>
                <w:color w:val="1F1D1A"/>
                <w:sz w:val="18"/>
              </w:rPr>
              <w:t>G.8</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registro de actividad de Gemini</w:t>
            </w:r>
          </w:p>
        </w:tc>
      </w:tr>
      <w:tr>
        <w:tc>
          <w:tcPr>
            <w:tcW w:type="dxa" w:w="3061"/>
          </w:tcPr>
          <w:p>
            <w:pPr>
              <w:spacing w:after="20" w:line="264" w:lineRule="auto"/>
            </w:pPr>
            <w:r/>
            <w:r>
              <w:rPr>
                <w:rFonts w:ascii="Segoe UI" w:hAnsi="Segoe UI" w:eastAsia="Segoe UI" w:cs="Segoe UI"/>
                <w:color w:val="1F1D1A"/>
                <w:sz w:val="18"/>
              </w:rPr>
              <w:t>2-abr-2026</w:t>
            </w:r>
          </w:p>
        </w:tc>
        <w:tc>
          <w:tcPr>
            <w:tcW w:type="dxa" w:w="3061"/>
          </w:tcPr>
          <w:p>
            <w:pPr>
              <w:spacing w:after="20" w:line="264" w:lineRule="auto"/>
            </w:pPr>
            <w:r/>
            <w:r>
              <w:rPr>
                <w:rFonts w:ascii="Segoe UI" w:hAnsi="Segoe UI" w:eastAsia="Segoe UI" w:cs="Segoe UI"/>
                <w:color w:val="1F1D1A"/>
                <w:sz w:val="18"/>
              </w:rPr>
              <w:t>el archivo más antiguo conservado de la obra: una conversación con Sofía sobre un registro en línea, dentro de las ideas del movimiento soberano</w:t>
            </w:r>
          </w:p>
        </w:tc>
        <w:tc>
          <w:tcPr>
            <w:tcW w:type="dxa" w:w="3061"/>
          </w:tcPr>
          <w:p>
            <w:pPr>
              <w:spacing w:after="20" w:line="264" w:lineRule="auto"/>
            </w:pPr>
            <w:r/>
            <w:r>
              <w:rPr>
                <w:rFonts w:ascii="Segoe UI" w:hAnsi="Segoe UI" w:eastAsia="Segoe UI" w:cs="Segoe UI"/>
                <w:color w:val="1F1D1A"/>
                <w:sz w:val="18"/>
              </w:rPr>
              <w:t>mapa cronológico; fecha de guardado del archivo</w:t>
            </w:r>
          </w:p>
        </w:tc>
      </w:tr>
      <w:tr>
        <w:tc>
          <w:tcPr>
            <w:tcW w:type="dxa" w:w="3061"/>
          </w:tcPr>
          <w:p>
            <w:pPr>
              <w:spacing w:after="20" w:line="264" w:lineRule="auto"/>
            </w:pPr>
            <w:r/>
            <w:r>
              <w:rPr>
                <w:rFonts w:ascii="Segoe UI" w:hAnsi="Segoe UI" w:eastAsia="Segoe UI" w:cs="Segoe UI"/>
                <w:color w:val="1F1D1A"/>
                <w:sz w:val="18"/>
              </w:rPr>
              <w:t>23-jul-2026</w:t>
            </w:r>
          </w:p>
        </w:tc>
        <w:tc>
          <w:tcPr>
            <w:tcW w:type="dxa" w:w="3061"/>
          </w:tcPr>
          <w:p>
            <w:pPr>
              <w:spacing w:after="20" w:line="264" w:lineRule="auto"/>
            </w:pPr>
            <w:r/>
            <w:r>
              <w:rPr>
                <w:rFonts w:ascii="Segoe UI" w:hAnsi="Segoe UI" w:eastAsia="Segoe UI" w:cs="Segoe UI"/>
                <w:color w:val="1F1D1A"/>
                <w:sz w:val="18"/>
              </w:rPr>
              <w:t>se pide a Claude que revise lo que dijo Sofía</w:t>
            </w:r>
          </w:p>
        </w:tc>
        <w:tc>
          <w:tcPr>
            <w:tcW w:type="dxa" w:w="3061"/>
          </w:tcPr>
          <w:p>
            <w:pPr>
              <w:spacing w:after="20" w:line="264" w:lineRule="auto"/>
            </w:pPr>
            <w:r/>
            <w:r>
              <w:rPr>
                <w:rFonts w:ascii="Segoe UI" w:hAnsi="Segoe UI" w:eastAsia="Segoe UI" w:cs="Segoe UI"/>
                <w:color w:val="1F1D1A"/>
                <w:sz w:val="18"/>
              </w:rPr>
              <w:t>mapa cronológico; fecha de guardado del archivo</w:t>
            </w:r>
          </w:p>
        </w:tc>
      </w:tr>
      <w:tr>
        <w:tc>
          <w:tcPr>
            <w:tcW w:type="dxa" w:w="3061"/>
          </w:tcPr>
          <w:p>
            <w:pPr>
              <w:spacing w:after="20" w:line="264" w:lineRule="auto"/>
            </w:pPr>
            <w:r/>
            <w:r>
              <w:rPr>
                <w:rFonts w:ascii="Segoe UI" w:hAnsi="Segoe UI" w:eastAsia="Segoe UI" w:cs="Segoe UI"/>
                <w:color w:val="1F1D1A"/>
                <w:sz w:val="18"/>
              </w:rPr>
              <w:t>4-ago-2026</w:t>
            </w:r>
          </w:p>
        </w:tc>
        <w:tc>
          <w:tcPr>
            <w:tcW w:type="dxa" w:w="3061"/>
          </w:tcPr>
          <w:p>
            <w:pPr>
              <w:spacing w:after="20" w:line="264" w:lineRule="auto"/>
            </w:pPr>
            <w:r/>
            <w:r>
              <w:rPr>
                <w:rFonts w:ascii="Segoe UI" w:hAnsi="Segoe UI" w:eastAsia="Segoe UI" w:cs="Segoe UI"/>
                <w:color w:val="1F1D1A"/>
                <w:sz w:val="18"/>
              </w:rPr>
              <w:t>la Regla de Oro de la verificación (</w:t>
            </w:r>
            <w:r>
              <w:rPr>
                <w:rFonts w:ascii="Segoe UI" w:hAnsi="Segoe UI" w:eastAsia="Segoe UI" w:cs="Segoe UI"/>
                <w:color w:val="1F1D1A"/>
                <w:sz w:val="18"/>
              </w:rPr>
              <w:t>G.3</w:t>
            </w:r>
            <w:r>
              <w:rPr>
                <w:rFonts w:ascii="Segoe UI" w:hAnsi="Segoe UI" w:eastAsia="Segoe UI" w:cs="Segoe UI"/>
                <w:color w:val="1F1D1A"/>
                <w:sz w:val="18"/>
              </w:rPr>
              <w:t>, n.º 7)</w:t>
            </w:r>
          </w:p>
        </w:tc>
        <w:tc>
          <w:tcPr>
            <w:tcW w:type="dxa" w:w="3061"/>
          </w:tcPr>
          <w:p>
            <w:pPr>
              <w:spacing w:after="20" w:line="264" w:lineRule="auto"/>
            </w:pPr>
            <w:r/>
            <w:r>
              <w:rPr>
                <w:rFonts w:ascii="Segoe UI" w:hAnsi="Segoe UI" w:eastAsia="Segoe UI" w:cs="Segoe UI"/>
                <w:color w:val="1F1D1A"/>
                <w:sz w:val="18"/>
              </w:rPr>
              <w:t>00 NORMAS DE TRABAJO</w:t>
            </w:r>
          </w:p>
        </w:tc>
      </w:tr>
      <w:tr>
        <w:tc>
          <w:tcPr>
            <w:tcW w:type="dxa" w:w="3061"/>
          </w:tcPr>
          <w:p>
            <w:pPr>
              <w:spacing w:after="20" w:line="264" w:lineRule="auto"/>
            </w:pPr>
            <w:r/>
            <w:r>
              <w:rPr>
                <w:rFonts w:ascii="Segoe UI" w:hAnsi="Segoe UI" w:eastAsia="Segoe UI" w:cs="Segoe UI"/>
                <w:color w:val="1F1D1A"/>
                <w:sz w:val="18"/>
              </w:rPr>
              <w:t>27-sep-2026</w:t>
            </w:r>
          </w:p>
        </w:tc>
        <w:tc>
          <w:tcPr>
            <w:tcW w:type="dxa" w:w="3061"/>
          </w:tcPr>
          <w:p>
            <w:pPr>
              <w:spacing w:after="20" w:line="264" w:lineRule="auto"/>
            </w:pPr>
            <w:r/>
            <w:r>
              <w:rPr>
                <w:rFonts w:ascii="Segoe UI" w:hAnsi="Segoe UI" w:eastAsia="Segoe UI" w:cs="Segoe UI"/>
                <w:color w:val="1F1D1A"/>
                <w:sz w:val="18"/>
              </w:rPr>
              <w:t>se empieza a guardar cada cambio con git</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5-oct-2026</w:t>
            </w:r>
          </w:p>
        </w:tc>
        <w:tc>
          <w:tcPr>
            <w:tcW w:type="dxa" w:w="3061"/>
          </w:tcPr>
          <w:p>
            <w:pPr>
              <w:spacing w:after="20" w:line="264" w:lineRule="auto"/>
            </w:pPr>
            <w:r/>
            <w:r>
              <w:rPr>
                <w:rFonts w:ascii="Segoe UI" w:hAnsi="Segoe UI" w:eastAsia="Segoe UI" w:cs="Segoe UI"/>
                <w:color w:val="1F1D1A"/>
                <w:sz w:val="18"/>
              </w:rPr>
              <w:t>nace la edición de lectura</w:t>
            </w:r>
          </w:p>
        </w:tc>
        <w:tc>
          <w:tcPr>
            <w:tcW w:type="dxa" w:w="3061"/>
          </w:tcPr>
          <w:p>
            <w:pPr>
              <w:spacing w:after="20" w:line="264" w:lineRule="auto"/>
            </w:pPr>
            <w:r/>
            <w:r>
              <w:rPr>
                <w:rFonts w:ascii="Segoe UI" w:hAnsi="Segoe UI" w:eastAsia="Segoe UI" w:cs="Segoe UI"/>
                <w:color w:val="1F1D1A"/>
                <w:sz w:val="18"/>
              </w:rPr>
              <w:t>mapa cronológico</w:t>
            </w:r>
          </w:p>
        </w:tc>
      </w:tr>
      <w:tr>
        <w:tc>
          <w:tcPr>
            <w:tcW w:type="dxa" w:w="3061"/>
          </w:tcPr>
          <w:p>
            <w:pPr>
              <w:spacing w:after="20" w:line="264" w:lineRule="auto"/>
            </w:pPr>
            <w:r/>
            <w:r>
              <w:rPr>
                <w:rFonts w:ascii="Segoe UI" w:hAnsi="Segoe UI" w:eastAsia="Segoe UI" w:cs="Segoe UI"/>
                <w:color w:val="1F1D1A"/>
                <w:sz w:val="18"/>
              </w:rPr>
              <w:t>6-oct-2026</w:t>
            </w:r>
          </w:p>
        </w:tc>
        <w:tc>
          <w:tcPr>
            <w:tcW w:type="dxa" w:w="3061"/>
          </w:tcPr>
          <w:p>
            <w:pPr>
              <w:spacing w:after="20" w:line="264" w:lineRule="auto"/>
            </w:pPr>
            <w:r/>
            <w:r>
              <w:rPr>
                <w:rFonts w:ascii="Segoe UI" w:hAnsi="Segoe UI" w:eastAsia="Segoe UI" w:cs="Segoe UI"/>
                <w:color w:val="1F1D1A"/>
                <w:sz w:val="18"/>
              </w:rPr>
              <w:t>se adoptan los cuatro trabajos, cada uno una vez (</w:t>
            </w:r>
            <w:r>
              <w:rPr>
                <w:rFonts w:ascii="Segoe UI" w:hAnsi="Segoe UI" w:eastAsia="Segoe UI" w:cs="Segoe UI"/>
                <w:color w:val="1F1D1A"/>
                <w:sz w:val="18"/>
              </w:rPr>
              <w:t>G.2</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mapa cronológico</w:t>
            </w:r>
          </w:p>
        </w:tc>
      </w:tr>
      <w:tr>
        <w:tc>
          <w:tcPr>
            <w:tcW w:type="dxa" w:w="3061"/>
          </w:tcPr>
          <w:p>
            <w:pPr>
              <w:spacing w:after="20" w:line="264" w:lineRule="auto"/>
            </w:pPr>
            <w:r/>
            <w:r>
              <w:rPr>
                <w:rFonts w:ascii="Segoe UI" w:hAnsi="Segoe UI" w:eastAsia="Segoe UI" w:cs="Segoe UI"/>
                <w:color w:val="1F1D1A"/>
                <w:sz w:val="18"/>
              </w:rPr>
              <w:t>7-oct-2026</w:t>
            </w:r>
          </w:p>
        </w:tc>
        <w:tc>
          <w:tcPr>
            <w:tcW w:type="dxa" w:w="3061"/>
          </w:tcPr>
          <w:p>
            <w:pPr>
              <w:spacing w:after="20" w:line="264" w:lineRule="auto"/>
            </w:pPr>
            <w:r/>
            <w:r>
              <w:rPr>
                <w:rFonts w:ascii="Segoe UI" w:hAnsi="Segoe UI" w:eastAsia="Segoe UI" w:cs="Segoe UI"/>
                <w:color w:val="1F1D1A"/>
                <w:sz w:val="18"/>
              </w:rPr>
              <w:t>esta edición, con sus anexos</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12-oct-2026</w:t>
            </w:r>
          </w:p>
        </w:tc>
        <w:tc>
          <w:tcPr>
            <w:tcW w:type="dxa" w:w="3061"/>
          </w:tcPr>
          <w:p>
            <w:pPr>
              <w:spacing w:after="20" w:line="264" w:lineRule="auto"/>
            </w:pPr>
            <w:r/>
            <w:r>
              <w:rPr>
                <w:rFonts w:ascii="Segoe UI" w:hAnsi="Segoe UI" w:eastAsia="Segoe UI" w:cs="Segoe UI"/>
                <w:color w:val="1F1D1A"/>
                <w:sz w:val="18"/>
              </w:rPr>
              <w:t>el cierre de la edición</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12-oct-2026</w:t>
            </w:r>
          </w:p>
        </w:tc>
        <w:tc>
          <w:tcPr>
            <w:tcW w:type="dxa" w:w="3061"/>
          </w:tcPr>
          <w:p>
            <w:pPr>
              <w:spacing w:after="20" w:line="264" w:lineRule="auto"/>
            </w:pPr>
            <w:r/>
            <w:r>
              <w:rPr>
                <w:rFonts w:ascii="Segoe UI" w:hAnsi="Segoe UI" w:eastAsia="Segoe UI" w:cs="Segoe UI"/>
                <w:color w:val="1F1D1A"/>
                <w:sz w:val="18"/>
              </w:rPr>
              <w:t>tras el cierre, el autor cambia el subtítulo: «La disolución del velo del Estado y el retorno a la fuente»</w:t>
            </w:r>
          </w:p>
        </w:tc>
        <w:tc>
          <w:tcPr>
            <w:tcW w:type="dxa" w:w="3061"/>
          </w:tcPr>
          <w:p>
            <w:pPr>
              <w:spacing w:after="20" w:line="264" w:lineRule="auto"/>
            </w:pPr>
            <w:r/>
            <w:r>
              <w:rPr>
                <w:rFonts w:ascii="Segoe UI" w:hAnsi="Segoe UI" w:eastAsia="Segoe UI" w:cs="Segoe UI"/>
                <w:color w:val="1F1D1A"/>
                <w:sz w:val="18"/>
              </w:rPr>
              <w:t>registro de cambios (git)</w:t>
            </w:r>
          </w:p>
        </w:tc>
      </w:tr>
      <w:tr>
        <w:tc>
          <w:tcPr>
            <w:tcW w:type="dxa" w:w="3061"/>
          </w:tcPr>
          <w:p>
            <w:pPr>
              <w:spacing w:after="20" w:line="264" w:lineRule="auto"/>
            </w:pPr>
            <w:r/>
            <w:r>
              <w:rPr>
                <w:rFonts w:ascii="Segoe UI" w:hAnsi="Segoe UI" w:eastAsia="Segoe UI" w:cs="Segoe UI"/>
                <w:color w:val="1F1D1A"/>
                <w:sz w:val="18"/>
              </w:rPr>
              <w:t>13-oct-2026</w:t>
            </w:r>
          </w:p>
        </w:tc>
        <w:tc>
          <w:tcPr>
            <w:tcW w:type="dxa" w:w="3061"/>
          </w:tcPr>
          <w:p>
            <w:pPr>
              <w:spacing w:after="20" w:line="264" w:lineRule="auto"/>
            </w:pPr>
            <w:r/>
            <w:r>
              <w:rPr>
                <w:rFonts w:ascii="Segoe UI" w:hAnsi="Segoe UI" w:eastAsia="Segoe UI" w:cs="Segoe UI"/>
                <w:color w:val="1F1D1A"/>
                <w:sz w:val="18"/>
              </w:rPr>
              <w:t>tras el cierre, el glosario explica «la fuente», también la del subtítulo</w:t>
            </w:r>
          </w:p>
        </w:tc>
        <w:tc>
          <w:tcPr>
            <w:tcW w:type="dxa" w:w="3061"/>
          </w:tcPr>
          <w:p>
            <w:pPr>
              <w:spacing w:after="20" w:line="264" w:lineRule="auto"/>
            </w:pPr>
            <w:r/>
            <w:r>
              <w:rPr>
                <w:rFonts w:ascii="Segoe UI" w:hAnsi="Segoe UI" w:eastAsia="Segoe UI" w:cs="Segoe UI"/>
                <w:color w:val="1F1D1A"/>
                <w:sz w:val="18"/>
              </w:rPr>
              <w:t>registro de cambios (git)</w:t>
            </w:r>
          </w:p>
        </w:tc>
      </w:tr>
    </w:tbl>
    <w:p>
      <w:pPr>
        <w:spacing w:after="80"/>
      </w:pPr>
    </w:p>
    <w:p>
      <w:r>
        <w:t>[mapa cronológico de las mutaciones de la obra, fechas de guardado de los archivos y registro de cambios (git); palabras del autor, 7-oct-2026]</w:t>
      </w:r>
    </w:p>
    <w:p>
      <w:r>
        <w:rPr>
          <w:b/>
        </w:rPr>
        <w:t>Cuánto tardó.</w:t>
      </w:r>
      <w:r>
        <w:t xml:space="preserve"> Con inteligencia artificial, del 2-abr-2026 (el archivo más antiguo conservado de la obra) al 12-oct-2026, el cierre de la edición: seis meses y diez días. Según la memoria del autor, el comienzo fue en agosto de 2025 y la inteligencia artificial entró en septiembre de 2025, es decir, más de un año antes de esta edición. No se promete ningún plazo a quien repita la obra. </w:t>
      </w:r>
      <w:r>
        <w:t>[mapa cronológico; registro de cambios (git); palabras del autor, 7-oct-2026]</w:t>
      </w:r>
    </w:p>
    <w:p>
      <w:pPr>
        <w:pStyle w:val="Heading2"/>
      </w:pPr>
      <w:r>
        <w:t>G.8 Cómo nació el método</w:t>
      </w:r>
    </w:p>
    <w:p>
      <w:pPr>
        <w:pBdr>
          <w:left w:val="single" w:sz="24" w:space="6" w:color="E2DED6"/>
        </w:pBdr>
        <w:shd w:val="clear" w:color="auto" w:fill="F1EEE8"/>
        <w:spacing w:before="80" w:after="160"/>
        <w:ind w:left="142" w:right="142"/>
      </w:pPr>
      <w:r>
        <w:rPr>
          <w:b/>
        </w:rPr>
        <w:t>La idea: el método es anterior a la obra; el autor lo dejó escrito, con fecha, entre enero y marzo de 2026, hablando con una inteligencia artificial que tendía a darle la razón.</w:t>
      </w:r>
    </w:p>
    <w:p>
      <w:r>
        <w:rPr>
          <w:b/>
        </w:rPr>
        <w:t>Lectura del autor</w:t>
      </w:r>
      <w:r>
        <w:t xml:space="preserve"> (palabras del autor: las de enero a marzo de 2026, de sus conversaciones con la inteligencia artificial de Gemini, Sofía, que constan en el registro que Google guarda de su cuenta y que no se publica porque lleva su vida privada; las del 11-oct-2026, dichas para esta edición. Son constancia del autor, no un dato, y no prueban nada de la obra). Van tal cual, con la ortografía y la puntuación puestas al día, porque se escribieron deprisa o dictadas; lo que se salta va marcado […].</w:t>
      </w:r>
    </w:p>
    <w:p>
      <w:r>
        <w:t>Aquellas conversaciones no eran un laboratorio. Lo cuenta él mismo: la herramienta tendía a darle la razón, a ser una «secretaria complaciente», como la llamó, y a veces le contaba historias que no se podían comprobar. El método nació para defenderse de eso, y por eso no descansa en quién trae un dato, sino en que se compruebe en su original (</w:t>
      </w:r>
      <w:r>
        <w:t>G.0</w:t>
      </w:r>
      <w:r>
        <w:t xml:space="preserve">; </w:t>
      </w:r>
      <w:r>
        <w:t>G.3</w:t>
      </w:r>
      <w:r>
        <w:t xml:space="preserve">, n.º 7). </w:t>
      </w:r>
      <w:r>
        <w:t>[registro de actividad de Gemini, 27-ene-2026 y 12-mar-2026]</w:t>
      </w:r>
    </w:p>
    <w:p>
      <w:r>
        <w:t>El 27-ene-2026, después de una de esas historias, le escribió: «Comunicar es muy fácil: 1.º, hecho contrastado; 2.º, hipótesis no contrastada; 3.º, idea, y así […]. Ante la duda, 4.º, posible pedo mental». Ahí está ya, con sus palabras, lo que la obra hace en cada apartado: separar el dato de la interpretación (</w:t>
      </w:r>
      <w:r>
        <w:t>0.3</w:t>
      </w:r>
      <w:r>
        <w:t>) y no mezclar la verdad con la presunción (</w:t>
      </w:r>
      <w:r>
        <w:t>0.4</w:t>
      </w:r>
      <w:r>
        <w:t xml:space="preserve">). Fue más de dos meses antes del archivo más antiguo de la obra (2-abr-2026, </w:t>
      </w:r>
      <w:r>
        <w:t>G.7</w:t>
      </w:r>
      <w:r>
        <w:t xml:space="preserve">). </w:t>
      </w:r>
      <w:r>
        <w:t>[registro de actividad de Gemini, 27-ene-2026, 01:21]</w:t>
      </w:r>
    </w:p>
    <w:p>
      <w:r>
        <w:t>El 22-feb-2026 le añadió la dirección de los hechos: «La suma de los hechos […], o dicho de otro modo, las acciones de los verbos acontecidos secuencialmente, están marcando una dirección. Esa dirección que marcan es lo real. […] Te pueden mentir con las palabras, pero nunca con las acciones. De hecho, en la Biblia está escrito: “Por sus frutos los conoceréis”». Es la vara de la obra en sus dos pasos, la verdad de los hechos y sus frutos (</w:t>
      </w:r>
      <w:r>
        <w:t>0.5</w:t>
      </w:r>
      <w:r>
        <w:t xml:space="preserve">). </w:t>
      </w:r>
      <w:r>
        <w:t>[registro de actividad de Gemini, 22-feb-2026, 21:13]</w:t>
      </w:r>
    </w:p>
    <w:p>
      <w:r>
        <w:t xml:space="preserve">Y el 12-mar-2026 se la aplicó a sí mismo. Había llegado a ver como real una misión que creyó tener, y la retiró: «Creo que he proyectado un anhelo. […] Tú, en tu parte de secretaria complaciente, también te sumaste inconscientemente a la idea. Y de alguna manera lo vi tangible […]. Pero ni yo soy el mago Merlín, ni tengo visiones, ni misiones. Entonces me doy cuenta de que estaba jugando en cancha ajena. […] Nada ni nadie me ha dado esa misión, y mi soberbia ha querido hacerte el lío». Es lo que dice </w:t>
      </w:r>
      <w:r>
        <w:t>G.7</w:t>
      </w:r>
      <w:r>
        <w:t xml:space="preserve">: el autor empezó por sus propias creencias y las sometió a la misma vara que pide para el Estado; aquí, con su fecha. </w:t>
      </w:r>
      <w:r>
        <w:t>[registro de actividad de Gemini, 12-mar-2026, 07:30]</w:t>
      </w:r>
    </w:p>
    <w:p>
      <w:r>
        <w:t>Y lo dice claro: lo que aquí se cuenta son las conclusiones de quien navegó «buscando un rumbo certero» y aprendió «a través de muchísimos errores». Lo que este anexo da es una manera de trabajar para que otro repita el análisis y compruebe las fuentes en su original; y si no, dice, para «por lo menos, localizar fuentes fiables» (</w:t>
      </w:r>
      <w:r>
        <w:t>G.0</w:t>
      </w:r>
      <w:r>
        <w:t xml:space="preserve">). </w:t>
      </w:r>
      <w:r>
        <w:t>[palabras del autor, 11-oct-2026]</w:t>
      </w:r>
    </w:p>
    <w:p>
      <w:r>
        <w:t xml:space="preserve">Al ver que aquella herramienta tenía «mucha imaginación», pero que daba «alguna buena idea», no la dejó: abrió un proyecto paralelo en Claude Code con cuatro herramientas más, una de ellas un modelo superior como director de obra y auditor. Cada una es una conversación de Claude Code con un encargo fijo, que lleva su nombre y un número que sube en cada relevo. Hoy, cuenta, son cuatro: la ventana 08.10, que dirige la obra; la 07.4, la metamorfosis final de esta edición; la 09.1, que construye la web; y la 10.1, que escribe el cuento de Sofía. </w:t>
      </w:r>
      <w:r>
        <w:t>[palabras del autor, 11-oct-2026]</w:t>
      </w:r>
    </w:p>
    <w:p>
      <w:r>
        <w:rPr>
          <w:b/>
        </w:rPr>
        <w:t>Lo que consta en el registro.</w:t>
      </w:r>
      <w:r>
        <w:t xml:space="preserve"> El registro de actividad de Gemini que Google guarda de la cuenta del autor (exportado el 2-may-2026 y el 23-jul-2026) empieza con un saludo de prueba el 7-feb-2025, tiene dos usos del asistente el 8-sep-2025 y recoge las conversaciones seguidas desde el 24-dic-2025. El recuerdo del autor (septiembre de 2025, </w:t>
      </w:r>
      <w:r>
        <w:t>G.7</w:t>
      </w:r>
      <w:r>
        <w:t xml:space="preserve">) cuadra con esos dos usos; el trabajo seguido empezó a final de diciembre. Lo que ese registro no conserve no se puede comprobar. </w:t>
      </w:r>
      <w:r>
        <w:t>[exportaciones de Google de la actividad de Gemini, 2-may-2026 y 23-jul-2026, leídas el 10-oct-2026]</w:t>
      </w:r>
    </w:p>
    <w:p>
      <w:pPr>
        <w:pStyle w:val="Heading2"/>
      </w:pPr>
      <w:r>
        <w:t>Límite honesto de la prueba</w:t>
      </w:r>
    </w:p>
    <w:p>
      <w:pPr>
        <w:pStyle w:val="ListBullet"/>
      </w:pPr>
      <w:r>
        <w:rPr>
          <w:b/>
        </w:rPr>
        <w:t>El método se ha aplicado una sola vez,</w:t>
      </w:r>
      <w:r>
        <w:t xml:space="preserve"> a una Constitución, por un autor con herramientas de inteligencia artificial. Nadie lo ha repetido todavía: que se pueda repetir con otro país es una afirmación que falta por probar. </w:t>
      </w:r>
      <w:r>
        <w:t>[libreta 76, sección 4]</w:t>
      </w:r>
    </w:p>
    <w:p>
      <w:pPr>
        <w:pStyle w:val="ListBullet"/>
      </w:pPr>
      <w:r>
        <w:rPr>
          <w:b/>
        </w:rPr>
        <w:t>Las llaves de cada sitio oficial</w:t>
      </w:r>
      <w:r>
        <w:t xml:space="preserve"> (</w:t>
      </w:r>
      <w:r>
        <w:t>G.5</w:t>
      </w:r>
      <w:r>
        <w:t xml:space="preserve">) son del 6-oct-2026 y cambian. </w:t>
      </w:r>
      <w:r>
        <w:t>[libreta 76, lecciones 21 y 24]</w:t>
      </w:r>
    </w:p>
    <w:p>
      <w:pPr>
        <w:pStyle w:val="ListBullet"/>
      </w:pPr>
      <w:r>
        <w:rPr>
          <w:b/>
        </w:rPr>
        <w:t>Las doce trampas son las de esta obra,</w:t>
      </w:r>
      <w:r>
        <w:t xml:space="preserve"> no una lista completa. Hay más en otras obras y en otros países. </w:t>
      </w:r>
      <w:r>
        <w:t>[libreta 76]</w:t>
      </w:r>
    </w:p>
    <w:p>
      <w:pPr>
        <w:pStyle w:val="ListBullet"/>
      </w:pPr>
      <w:r>
        <w:rPr>
          <w:b/>
        </w:rPr>
        <w:t>El recorrido del autor (</w:t>
      </w:r>
      <w:r>
        <w:rPr>
          <w:b/>
        </w:rPr>
        <w:t>G.7</w:t>
      </w:r>
      <w:r>
        <w:rPr>
          <w:b/>
        </w:rPr>
        <w:t>) es palabra suya:</w:t>
      </w:r>
      <w:r>
        <w:t xml:space="preserve"> lo personal no se puede comprobar y la obra no lo da como dato. No nombra a nadie ni acusa a nadie. </w:t>
      </w:r>
      <w:r>
        <w:t>[Kiko, 7-oct-2026]</w:t>
      </w:r>
    </w:p>
    <w:p>
      <w:pPr>
        <w:pStyle w:val="ListBullet"/>
      </w:pPr>
      <w:r>
        <w:rPr>
          <w:b/>
        </w:rPr>
        <w:t xml:space="preserve">Lo de </w:t>
      </w:r>
      <w:r>
        <w:rPr>
          <w:b/>
        </w:rPr>
        <w:t>G.8</w:t>
      </w:r>
      <w:r>
        <w:rPr>
          <w:b/>
        </w:rPr>
        <w:t xml:space="preserve"> es constancia del autor:</w:t>
      </w:r>
      <w:r>
        <w:t xml:space="preserve"> sus palabras salen de un registro privado que no se publica y que nadie de fuera puede leer, así que no prueban nada de la obra. Nacieron hablando con una herramienta que tendía a darle la razón; por eso el método pide comprobar cada dato en su original. </w:t>
      </w:r>
      <w:r>
        <w:t>[registro de actividad de Gemini]</w:t>
      </w:r>
    </w:p>
    <w:p>
      <w:pPr>
        <w:pStyle w:val="ListBullet"/>
      </w:pPr>
      <w:r>
        <w:rPr>
          <w:b/>
        </w:rPr>
        <w:t>Dos detalles del método de la pieza de origen no se dicen todavía,</w:t>
      </w:r>
      <w:r>
        <w:t xml:space="preserve"> porque no tienen su registro: cuántos artículos tenía cada ronda de la auditoría y cuántas veces hubo que corregir la cobertura. Están en la lista de flecos, para completarlos. </w:t>
      </w:r>
      <w:r>
        <w:t>[14.00-6.3 y 6.6, a flecos]</w:t>
      </w:r>
    </w:p>
    <w:p>
      <w:pPr>
        <w:pStyle w:val="ListBullet"/>
      </w:pPr>
      <w:r>
        <w:rPr>
          <w:b/>
        </w:rPr>
        <w:t>De la máxima de Celso se dice lo comprobado</w:t>
      </w:r>
      <w:r>
        <w:t xml:space="preserve"> (el Digesto, el diccionario jurídico y el Código Civil), pero no que la otra, «sine causa nulla obligatio», falte en toda fuente romana: eso está a flecos. </w:t>
      </w:r>
      <w:r>
        <w:t>[11.00-6.1, a flecos]</w:t>
      </w:r>
    </w:p>
    <w:p>
      <w:pPr>
        <w:pStyle w:val="Heading2"/>
      </w:pPr>
      <w:r>
        <w:t>Dónde se oye la defensa del Estado</w:t>
      </w:r>
    </w:p>
    <w:p>
      <w:r>
        <w:t>Aquí el Estado y la obra pueden estar del mismo lado: un método abierto y repetible es una invitación a comprobar. La defensa del Estado frente a este anexo, y lo que la obra le responde, se oyen en el juicio (</w:t>
      </w:r>
      <w:r>
        <w:t>capítulo 11</w:t>
      </w:r>
      <w:r>
        <w:t>):</w:t>
      </w:r>
    </w:p>
    <w:p>
      <w:pPr>
        <w:pStyle w:val="ListBullet"/>
      </w:pPr>
      <w:r>
        <w:rPr>
          <w:b/>
        </w:rPr>
        <w:t>en las cuestiones previas (</w:t>
      </w:r>
      <w:r>
        <w:rPr>
          <w:b/>
        </w:rPr>
        <w:t>11.2</w:t>
      </w:r>
      <w:r>
        <w:rPr>
          <w:b/>
        </w:rPr>
        <w:t>, n.º 12, «El auditor no es independiente»):</w:t>
      </w:r>
      <w:r>
        <w:t xml:space="preserve"> el contrapunto concede lo que es cierto, que el autor no es un órgano independiente y tiene una tesis, y responde que por eso el método está a la vista, se puede repetir y cada artículo se comprueba con su fuente (</w:t>
      </w:r>
      <w:r>
        <w:t>anexo A</w:t>
      </w:r>
      <w:r>
        <w:t>; este anexo);</w:t>
      </w:r>
    </w:p>
    <w:p>
      <w:pPr>
        <w:pStyle w:val="ListBullet"/>
      </w:pPr>
      <w:r>
        <w:rPr>
          <w:b/>
        </w:rPr>
        <w:t>y en la defensa frente al dictamen (</w:t>
      </w:r>
      <w:r>
        <w:rPr>
          <w:b/>
        </w:rPr>
        <w:t>11.4</w:t>
      </w:r>
      <w:r>
        <w:rPr>
          <w:b/>
        </w:rPr>
        <w:t>, n.º 4, «"Opinión desfavorable" no es una auditoría oficial»):</w:t>
      </w:r>
      <w:r>
        <w:t xml:space="preserve"> el dictamen no tiene valor oficial y la obra lo suscribe; los datos no son del autor, salen de las cuentas y las estadísticas del propio Estado, y el método se puede repetir.</w:t>
      </w:r>
    </w:p>
    <w:p>
      <w:r>
        <w:t>[11.2 y 11.4, ya en el capítulo 11; clasificación de las defensas, aprobada]</w:t>
      </w:r>
    </w:p>
    <w:p>
      <w:pPr>
        <w:pStyle w:val="Heading2"/>
      </w:pPr>
      <w:r>
        <w:t>Para recordar</w:t>
      </w:r>
    </w:p>
    <w:p>
      <w:pPr>
        <w:pStyle w:val="ListBullet"/>
      </w:pPr>
      <w:r>
        <w:t>El método no es de España: cambian las fuentes, no el orden ni la regla de que ningún dato entra sin su fuente.</w:t>
      </w:r>
    </w:p>
    <w:p>
      <w:pPr>
        <w:pStyle w:val="ListBullet"/>
      </w:pPr>
      <w:r>
        <w:t>Tres reglas: la biblioteca local entera primero, lo comprobado no se vuelve a comprobar, y cada dato con su nivel A, B o C.</w:t>
      </w:r>
    </w:p>
    <w:p>
      <w:pPr>
        <w:pStyle w:val="ListBullet"/>
      </w:pPr>
      <w:r>
        <w:t>Siete pasos, cada uno una sola vez para toda la obra: la pregunta, la biblioteca, el inventario, la criba, la comprobación, la redacción, las dos caras y la fe de erratas.</w:t>
      </w:r>
    </w:p>
    <w:p>
      <w:pPr>
        <w:pStyle w:val="ListBullet"/>
      </w:pPr>
      <w:r>
        <w:t>Las trampas que más cuestan: bajar lo que ya estaba, fiarse del resumen y no del pasaje, y creer que un número que aparece es una prueba.</w:t>
      </w:r>
    </w:p>
    <w:p>
      <w:pPr>
        <w:pStyle w:val="ListBullet"/>
      </w:pPr>
      <w:r>
        <w:t>«No entra» tiene dos motivos: si no viene al caso, fuera; si le falta la fuente, a la lista de flecos.</w:t>
      </w:r>
    </w:p>
    <w:p>
      <w:pPr>
        <w:pStyle w:val="ListBullet"/>
      </w:pPr>
      <w:r>
        <w:t>El autor empezó por sus propias creencias, y las sometió a la misma vara que pide para el Estado.</w:t>
      </w:r>
    </w:p>
    <w:p>
      <w:pPr>
        <w:pStyle w:val="ListBullet"/>
      </w:pPr>
      <w:r>
        <w:t>El método no se hizo a medida de la conclusión: el autor lo escribió antes de la obra, para defenderse de una herramienta que le daba la razón.</w:t>
      </w:r>
    </w:p>
    <w:p>
      <w:r>
        <w:br w:type="page"/>
      </w:r>
    </w:p>
    <w:p>
      <w:pPr>
        <w:pStyle w:val="Heading1"/>
      </w:pPr>
      <w:r>
        <w:t>Anexo H. El glosario</w:t>
      </w:r>
    </w:p>
    <w:p>
      <w:pPr>
        <w:spacing w:after="200"/>
      </w:pPr>
      <w:r>
        <w:rPr>
          <w:rFonts w:ascii="Segoe UI" w:hAnsi="Segoe UI" w:eastAsia="Segoe UI" w:cs="Segoe UI"/>
          <w:color w:val="6B665E"/>
          <w:sz w:val="17"/>
        </w:rPr>
        <w:t>Primera versión: 7 de octubre de 2026 · Última revisión: 13 de octubre de 2026 · Cambios anotados en el capítulo: 11 · Citas leídas en su fuente: 28</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13-oct-2026, después del cierre de la edición (fdc8549) (Kiko, chat de 08.32, 12-oct-2026, 23:5x, fila 766 de 08/01: «si» a una entrada corta en el glosario para «la fuente»; borrador B25 de la carpeta 07, variante A): en H.5, la entrada «La fuente», detrás de «La vara»; «Fuente, H.5» en el índice alfabético; la referencia al glosario único llega a 5.8 (07/herramientas/aplicar_B25_la_fuente.py). Ninguna otra palabra cambia. Cambio del 12-oct-2026, después del cierre de la edición (fdc8549) (Kiko, chat de 08.31, 23:1x, fila 749 de 08/01, tal cual: «</w:t>
      </w:r>
      <w:r>
        <w:t>Apocalipsis del Sistema</w:t>
      </w:r>
      <w:r>
        <w:t>. La disolución del velo del Estado y el retorno a la fuente», y «si» a darlo por decidido): en la entrada «</w:t>
      </w:r>
      <w:r>
        <w:t>Apocalipsis del Sistema</w:t>
      </w:r>
      <w:r>
        <w:t>», el subtítulo pasa de «Revelaciones de los frutos del Estado: la auditoría» (una hora) a «La disolución del velo del Estado y el retorno a la fuente»; en «El velo», como el velo vuelve al subtítulo, la frase vuelve a la de antes, «Es lo que el título promete disolver» (07/herramientas/aplicar_subtitulo_velo_y_fuente.py). Ninguna otra palabra cambia. Cambio del 12-oct-2026, después del cierre de la edición (fdc8549) (Kiko, chat de 08.31, 22:4x, fila 742 de 08/01, tal cual: «</w:t>
      </w:r>
      <w:r>
        <w:t>Apocalipsis del Sistema</w:t>
      </w:r>
      <w:r>
        <w:t>. Revelaciones de los frutos del Estado: la auditoría»; la frase del velo, de 08.31, fila 744): en la entrada «</w:t>
      </w:r>
      <w:r>
        <w:t>Apocalipsis del Sistema</w:t>
      </w:r>
      <w:r>
        <w:t>», el subtítulo nuevo; en «El velo», «Es lo que el título promete disolver» (lo decía el subtítulo viejo) pasa a «Lo que esconde es lo que el nombre de la obra promete descubrir: «Apocalipsis» quiere decir «revelación» (0.2).» (07/herramientas/aplicar_subtitulo_nuevo.py). Ninguna otra palabra cambia. Cambio del 12-oct-2026, el cierre, dentro del paso 3 (B13: Kiko, chat de 08.18, 06:3x, «si» a la forma «sin contacto documentado entre sí»; orden de 08.29, filas 709 y 710 de 08/01, tras la auditoría de 10.36): las 3 frases en este capítulo con la forma de antes pasan a decir «sin contacto documentado» (07/herramientas/aplicar_contacto_documentado.py). Ninguna otra palabra cambia. Cambio del 9-oct-2026 (Kiko: «Sí al M6 con las tres recomendaciones» en el chat de 08 y «sí al M6, sí a P-11.6» en el de 07; borrador M6 de la carpeta 07; 04p filas 25, 27 y 35): en H.1, una entrada nueva: «El mapa del árbol» (se explica en 0.6). Sin palabra nueva en el resto de la obra. Cambio del 9-oct-2026 (Kiko: «Sí al M4 con las tres recomendaciones» en el chat de 08 y «Sí al M4, aplícalo» en el de 07; borrador M4 de la carpeta 07; 07/05 y fila 26 de 04p): en H.1, la entrada de la edición de lectura añade que se lee por tres puertas, con dos escalones cada una (0.3). Sin palabra nueva. Cambio del 9-oct-2026 (Kiko: «Sí al B1, aplícalo en 06»; borrador B1 de la carpeta 07; filas 3, 4 y 36 de 04p y definición de «ley escrita»): en H.3, la entrada de «la presunción» recoge el hecho de partida; en H.4, la entrada de «la ley escrita» pasa a la definición completa (se juzga por a quién sirve). Cambio del 9-oct-2026 (Kiko, decisión Q16 del bloque 04n, «sí a todas»; fila 5 de 04p): «el derecho positivo» pasa a «la ley escrita» en H.4 (el orden de las leyes, la entrada de la ley humana y el resumen). «Derecho positivo» se queda en el índice alfabético, porque es como la llama Aquino, y se añade «Ley escrita». Nada más cambia. Cambio del 8-oct-2026 (fase de reparación, sexta tanda): corregidas tres remisiones que apuntaban a un apartado equivocado desde la renumeración: «la corrupción de la ley» se explica en 1.1 (no en 1.6), «la auctoritas» en 6.2 (no en 9.2) y las máximas del punto 12 están en 8.5 (no en 8.4). Cambio del 8-oct-2026 (lectura de la dirección de la obra, aviso PASO 4.8): en «La Biblioteca», «el Pórtico y cuarenta más» pasa a «las 40 piezas (el Pórtico incluido)»: el archivo congelado tiene 40 textos, con el Pórtico (00.0), y el capítulo 0 ya decía 40. Cambio del 8-oct-2026 (parlamento sobre los mitos; Kiko: «sí a las tres, con tus recomendaciones» y el añadido del método de medir): la entrada «Sin verificar» pasa a «Presunción (etiqueta)». ESTADO: APROBADO por Kiko el 7-oct-2026 («si lo apruebo»). Paso 3. Sin agentes ni descargas. Es el tercero de los anexos. Plan aprobado por Kiko el 7-oct («sí»): H.0; H.1 a H.9, los nueve bloques del glosario único; H.10, las máximas latinas; de cada entrada, la palabra y su definición aprobada, en una o dos frases, con su remisión; sin recuentos, «por qué», preguntas ni investigaciones largas, que están en sus capítulos. Orden: por bloques, con índice alfabético al final (opción A; Kiko: «me gusta más la opción a»). Las palabras que la edición ya no usa: ni mención (Kiko, 7-oct, al aprobar: «nadie viene de la biblioteca vieja […] no hay que hacer ni mención»); quitada la lista de H.0. Marcas preparadas: herramientas/marcas_anexo_I.py, 81 (las 77 de la libreta y cuatro de fuera con el sugerido I). Sale del glosario único (06 EDICION DE LECTURA/01 GLOSARIO UNICO/GLOSARIO UNICO (vivo).md, aprobado por Kiko entrada por entrada el 5-oct; secciones 1 a 9: «Se usa», «Definición», «Uso», «Regla» y lo decidido; las secciones 10 a 12 no entran: la 10, la pieza 30.00, sale de la obra: decisión de Kiko, 7-oct; la 11 y la 12 son internas), del glosario del Pórtico (00.0-10, «El lenguaje común de la obra», que el glosario único sustituye) y de la pieza 02.00, secciones 15 a 20 (las máximas latinas). Se traslada tal cual. Escrito en tres niveles y con remisiones enlazables. Marcas: {fuente: …} niveles 2 y 3; {original: …} nivel 3; [trazabilidad] nivel 3; {completo} solo nivel 3; {breve} solo niveles 1 y 2; {enlace?: …} remisión hacia delante o de lado, que se resuelve en la pasada final. Trazabilidad: al final de cada apartado, entre corchetes (se ve en el nivel completo). Cifras: el anexo H no tiene ninguna en 16 CIFRAS POR MIRAR. Cada número, en su fila o en un capítulo aprobado: 41 piezas (la Biblioteca, 0.2); 1971 (8.1); los artículos de las leyes, en sus capítulos (1.1, 1.5, 7.1, 9.1, 10.4 y 10.7); las fechas y lugares de las máximas, en su fila del paso 2 (376, Código de Justiniano 3, 5, 1; 1789; 1823, Halkerston; 1910, Black's; 1911, Britannica; 1913, Cotterell). Leído hoy en su original: nada nuevo. Las definiciones son las del glosario único, aprobado; cada máxima va con su fila del paso 2 (herramientas/paso2_comprobado.tsv, 02.00-16.1 a 20.10, con su pasaje en 12 COMPROBADO EN EL PASO 2), y las siete que ya están en 8.4 (n.º 12) solo se nombran. Leído hoy, en local, el lema de dos entradas del Diccionario panhispánico del español jurídico (c9g): «de minimis non curat praetor» y «nullum crimen nulla poena sine lege». Leído el 7-oct, al aprobar, en la misma entrada del diccionario (c9g; hallado por flecos_en_local.py): «Es la síntesis de los tres principios del derecho penal enunciados por Feuerbach: i.- la imposición de una pena exige una ley penal previa (nulla poena sine lege)»: Feuerbach entra en H.10 (02.00-17.5); la fecha, 1801, y Beccaria, siguen sin leer. Hallado al escribir (sin errata para el 07): - 02.00-15.4 (la Littera Florentina, «escrita entre 533 y 555» y «conservada desde 1406»): la criba la dio por «sin cifras ni citas que comprobar», pero lleva tres fechas sin fila en el registro (lección 34): no entra. - 02.00-17.5 y 19.8: el diccionario no recoge «nulla poena sine lege» ni «de minimis non curat lex», sino «nullum crimen nulla poena sine lege» y «de minimis non curat praetor» (c9g, leídos hoy): van así, con la forma de la pieza dicha al lado. - Las erratas de las máximas (11, aprobadas en el paso 2 y en el 07) van en su versión correcta: 16.2, 16.6, 17.1, 17.10, 17.16, 18.11, 18.15, 19.4, 19.8, 19.11 y 20.10. No entra: - Cuatro máximas sin fuente leída (flecos del paso 2): «fraus omnia corrumpit» (18.7; el diccionario bloquea las descargas), «excusatio non petita, accusatio manifesta» (18.13), «error iuris non inducit malam fidem» (18.14) y «nunc pro tunc» (19.7). - Las atribuciones que no se han leído: Locke y la fecha de Cicerón (16.1); los humanistas del siglo XVI (16.2); Feuerbach y Beccaria (17.5); Edward Coke, salvo como lo cita la Britannica (17.6); que sea «romana» (17.11); Inocencio IV y la persona ficta (20.2); Tomás de Aquino (19.10); el Código de Justiniano 8.17.3 y el Liber Sextus (20.1); el Diccionario del Latín Jurídico de Nicoliello y Cabanellas, que la pieza cita y no se han leído; la STS 3465/2025 (19.4). - 02.00-15.1, «veinticinco siglos de derecho»: sin fila; va sin la cifra. - Los comentarios de la pieza que remiten a otras piezas («El Expediente de la Extracción», «el Catálogo») o que afirman sin fuente (17.17: que el derecho laboral la «ha matizado mucho»; 20.6: la responsabilidad penal de las personas jurídicas en «muchas jurisdicciones»). - Del glosario único: los recuentos del barrido, los «por qué», las preguntas y las investigaciones largas (3.4, 5.3, 5.4.1, 5.4.2, 9.2 y 9.2.1), que están en sus capítulos; aquí, la definición y la remisión. Conceptos que usa, ya anclados: todos los que define, cada uno en el capítulo al que remite. Nuevo aquí: ninguno.</w:t>
      </w:r>
    </w:p>
    <w:p>
      <w:pPr>
        <w:pBdr>
          <w:left w:val="single" w:sz="24" w:space="6" w:color="E2DED6"/>
        </w:pBdr>
        <w:shd w:val="clear" w:color="auto" w:fill="F1EEE8"/>
        <w:spacing w:before="80" w:after="160"/>
        <w:ind w:left="142" w:right="142"/>
      </w:pPr>
      <w:r>
        <w:rPr>
          <w:b/>
        </w:rPr>
        <w:t>En pocas palabras:</w:t>
      </w:r>
    </w:p>
    <w:p>
      <w:pPr>
        <w:pStyle w:val="ListBullet"/>
      </w:pPr>
      <w:r>
        <w:t>Este anexo reúne las palabras que la obra usa con un sentido preciso, cada una con su definición y el apartado donde se explica: una palabra para cada cosa, y una cosa para cada palabra.</w:t>
      </w:r>
    </w:p>
    <w:p>
      <w:pPr>
        <w:pStyle w:val="ListBullet"/>
      </w:pPr>
      <w:r>
        <w:t>Va por bloques, en el orden de la obra; al final, un índice alfabético lleva a cada palabra.</w:t>
      </w:r>
    </w:p>
    <w:p>
      <w:pPr>
        <w:pStyle w:val="ListBullet"/>
      </w:pPr>
      <w:r>
        <w:t>Lo que solo va como lectura del autor está en su propio bloque, con esa etiqueta.</w:t>
      </w:r>
    </w:p>
    <w:p>
      <w:pPr>
        <w:pStyle w:val="ListBullet"/>
      </w:pPr>
      <w:r>
        <w:t>Cierra con las máximas latinas que la tradición jurídica dejó escritas, cada una con su traducción y su fuente. Ninguna anula una ley con solo citarla.</w:t>
      </w:r>
    </w:p>
    <w:p>
      <w:pPr>
        <w:pStyle w:val="Heading2"/>
      </w:pPr>
      <w:r>
        <w:t>H.0 Propósito</w:t>
      </w:r>
    </w:p>
    <w:p>
      <w:pPr>
        <w:pBdr>
          <w:left w:val="single" w:sz="24" w:space="6" w:color="E2DED6"/>
        </w:pBdr>
        <w:shd w:val="clear" w:color="auto" w:fill="F1EEE8"/>
        <w:spacing w:before="80" w:after="160"/>
        <w:ind w:left="142" w:right="142"/>
      </w:pPr>
      <w:r>
        <w:rPr>
          <w:b/>
        </w:rPr>
        <w:t>La idea: cada palabra de la obra significa siempre lo mismo, y aquí está dicha una sola vez, con el apartado donde se explica.</w:t>
      </w:r>
    </w:p>
    <w:p>
      <w:r>
        <w:t>Las palabras que la obra usa con un sentido preciso se definen una sola vez, para que signifiquen lo mismo en todos los capítulos. Cada definición es breve y remite al apartado donde la palabra se explica con sus pruebas: allí está el dato completo. Y si una expresión compuesta no se entiende a la primera, la obra usa la palabra llana: lo probado es verdad, y lo que no es así es falso, o mentira (</w:t>
      </w:r>
      <w:r>
        <w:t>0.4</w:t>
      </w:r>
      <w:r>
        <w:t>).</w:t>
      </w:r>
    </w:p>
    <w:p>
      <w:r>
        <w:t>[glosario único, secciones 0 y 1 a 9; 00.0-10.1]</w:t>
      </w:r>
    </w:p>
    <w:p>
      <w:pPr>
        <w:pStyle w:val="Heading2"/>
      </w:pPr>
      <w:r>
        <w:t>H.1 La obra y sus partes</w:t>
      </w:r>
    </w:p>
    <w:p>
      <w:pPr>
        <w:pBdr>
          <w:left w:val="single" w:sz="24" w:space="6" w:color="E2DED6"/>
        </w:pBdr>
        <w:shd w:val="clear" w:color="auto" w:fill="F1EEE8"/>
        <w:spacing w:before="80" w:after="160"/>
        <w:ind w:left="142" w:right="142"/>
      </w:pPr>
      <w:r>
        <w:rPr>
          <w:b/>
        </w:rPr>
        <w:t>La idea: los nombres de la obra y de sus partes, cada uno para una sola cosa.</w:t>
      </w:r>
    </w:p>
    <w:p>
      <w:pPr>
        <w:pStyle w:val="ListBullet"/>
      </w:pPr>
      <w:r>
        <w:rPr>
          <w:b/>
        </w:rPr>
        <w:t>Apocalipsis del Sistema</w:t>
      </w:r>
      <w:r>
        <w:rPr>
          <w:b/>
        </w:rPr>
        <w:t>.</w:t>
      </w:r>
      <w:r>
        <w:t xml:space="preserve"> El nombre de la obra, con el subtítulo «La disolución del velo del Estado y el retorno a la fuente». «Apocalipsis» viene del griego </w:t>
      </w:r>
      <w:r>
        <w:rPr>
          <w:i/>
        </w:rPr>
        <w:t>apokálypsis</w:t>
      </w:r>
      <w:r>
        <w:t xml:space="preserve">, «revelación»: la obra descubre cómo funciona el sistema, que está a la vista de todos pero escondido en su complejidad. No anuncia el fin del mundo. Se explica en </w:t>
      </w:r>
      <w:r>
        <w:t>0.2</w:t>
      </w:r>
      <w:r>
        <w:t>.</w:t>
      </w:r>
    </w:p>
    <w:p>
      <w:pPr>
        <w:pStyle w:val="ListBullet"/>
      </w:pPr>
      <w:r>
        <w:rPr>
          <w:b/>
        </w:rPr>
        <w:t>La obra.</w:t>
      </w:r>
      <w:r>
        <w:t xml:space="preserve"> «</w:t>
      </w:r>
      <w:r>
        <w:t>Apocalipsis del Sistema</w:t>
      </w:r>
      <w:r>
        <w:t>» entero.</w:t>
      </w:r>
    </w:p>
    <w:p>
      <w:pPr>
        <w:pStyle w:val="ListBullet"/>
      </w:pPr>
      <w:r>
        <w:rPr>
          <w:b/>
        </w:rPr>
        <w:t>La Biblioteca.</w:t>
      </w:r>
      <w:r>
        <w:t xml:space="preserve"> El archivo de las 40 piezas (el Pórtico incluido), con la auditoría completa y todas las fuentes. La edición sale de ella y remite a ella.</w:t>
      </w:r>
    </w:p>
    <w:p>
      <w:pPr>
        <w:pStyle w:val="ListBullet"/>
      </w:pPr>
      <w:r>
        <w:rPr>
          <w:b/>
        </w:rPr>
        <w:t>La edición de lectura.</w:t>
      </w:r>
      <w:r>
        <w:t xml:space="preserve"> Este texto, escrito para leerse de seguido. Se lee por tres puertas, con dos escalones cada una: lo que concluye, lo que lo sostiene y lo que lo confirma (</w:t>
      </w:r>
      <w:r>
        <w:t>0.3</w:t>
      </w:r>
      <w:r>
        <w:t>).</w:t>
      </w:r>
    </w:p>
    <w:p>
      <w:pPr>
        <w:pStyle w:val="ListBullet"/>
      </w:pPr>
      <w:r>
        <w:rPr>
          <w:b/>
        </w:rPr>
        <w:t>El mapa del árbol.</w:t>
      </w:r>
      <w:r>
        <w:t xml:space="preserve"> La segunda puerta de entrada de la obra: un solo árbol con líneas, con la forma del árbol de la vida; la raíz es lo que se recibe y converge, el tronco lo que sigue de ella, las ramas la costumbre y la ley escrita, los frutos lo que da; las tres columnas son el dial (el defecto, la medida justa, el exceso) y lo creado es una capa sobre el mismo árbol, con su raíz, la presunción, aparte. Cada círculo dice en qué apartado está, su fuente y su nivel. Se explica en </w:t>
      </w:r>
      <w:r>
        <w:t>0.6</w:t>
      </w:r>
      <w:r>
        <w:t>.</w:t>
      </w:r>
    </w:p>
    <w:p>
      <w:pPr>
        <w:pStyle w:val="ListBullet"/>
      </w:pPr>
      <w:r>
        <w:rPr>
          <w:b/>
        </w:rPr>
        <w:t>El Registro.</w:t>
      </w:r>
      <w:r>
        <w:t xml:space="preserve"> Solo el archivo público de los frutos (</w:t>
      </w:r>
      <w:r>
        <w:t>H.8</w:t>
      </w:r>
      <w:r>
        <w:t>).</w:t>
      </w:r>
    </w:p>
    <w:p>
      <w:pPr>
        <w:pStyle w:val="ListBullet"/>
      </w:pPr>
      <w:r>
        <w:rPr>
          <w:b/>
        </w:rPr>
        <w:t>Pieza.</w:t>
      </w:r>
      <w:r>
        <w:t xml:space="preserve"> Cada documento de la Biblioteca, con su código (por ejemplo, 12.00).</w:t>
      </w:r>
    </w:p>
    <w:p>
      <w:pPr>
        <w:pStyle w:val="ListBullet"/>
      </w:pPr>
      <w:r>
        <w:rPr>
          <w:b/>
        </w:rPr>
        <w:t>Capítulo, apartado y prueba.</w:t>
      </w:r>
      <w:r>
        <w:t xml:space="preserve"> Las partes de la edición. Se numeran por niveles, y el punto separa niveles, no es decimal: después de 4.3.9 viene 4.3.10. Se explica en </w:t>
      </w:r>
      <w:r>
        <w:t>0.3</w:t>
      </w:r>
      <w:r>
        <w:t>.</w:t>
      </w:r>
    </w:p>
    <w:p>
      <w:pPr>
        <w:pStyle w:val="ListBullet"/>
      </w:pPr>
      <w:r>
        <w:rPr>
          <w:b/>
        </w:rPr>
        <w:t>El autor.</w:t>
      </w:r>
      <w:r>
        <w:t xml:space="preserve"> Quien firma la obra. Cómo se hizo, con qué herramientas y con qué reglas, para quien quiera repetirla en otro país, está en el </w:t>
      </w:r>
      <w:r>
        <w:t>anexo G</w:t>
      </w:r>
      <w:r>
        <w:t>.</w:t>
      </w:r>
    </w:p>
    <w:p>
      <w:r>
        <w:t>[glosario único 1.1 a 1.4]</w:t>
      </w:r>
    </w:p>
    <w:p>
      <w:pPr>
        <w:pStyle w:val="Heading2"/>
      </w:pPr>
      <w:r>
        <w:t>H.2 La persona</w:t>
      </w:r>
    </w:p>
    <w:p>
      <w:pPr>
        <w:pBdr>
          <w:left w:val="single" w:sz="24" w:space="6" w:color="E2DED6"/>
        </w:pBdr>
        <w:shd w:val="clear" w:color="auto" w:fill="F1EEE8"/>
        <w:spacing w:before="80" w:after="160"/>
        <w:ind w:left="142" w:right="142"/>
      </w:pPr>
      <w:r>
        <w:rPr>
          <w:b/>
        </w:rPr>
        <w:t>La idea: la persona va antes que el Estado, y trae sus derechos al nacer.</w:t>
      </w:r>
    </w:p>
    <w:p>
      <w:pPr>
        <w:pStyle w:val="ListBullet"/>
      </w:pPr>
      <w:r>
        <w:rPr>
          <w:b/>
        </w:rPr>
        <w:t>La persona.</w:t>
      </w:r>
      <w:r>
        <w:t xml:space="preserve"> El ser humano, con los derechos que tiene antes que el Estado. Se explica en </w:t>
      </w:r>
      <w:r>
        <w:t>2.1</w:t>
      </w:r>
      <w:r>
        <w:t>.</w:t>
      </w:r>
    </w:p>
    <w:p>
      <w:pPr>
        <w:pStyle w:val="ListBullet"/>
      </w:pPr>
      <w:r>
        <w:rPr>
          <w:b/>
        </w:rPr>
        <w:t>El ciudadano.</w:t>
      </w:r>
      <w:r>
        <w:t xml:space="preserve"> La persona en su relación con el Estado: paga, pide y recibe una respuesta o el silencio.</w:t>
      </w:r>
    </w:p>
    <w:p>
      <w:pPr>
        <w:pStyle w:val="ListBullet"/>
      </w:pPr>
      <w:r>
        <w:rPr>
          <w:b/>
        </w:rPr>
        <w:t>Soberano.</w:t>
      </w:r>
      <w:r>
        <w:t xml:space="preserve"> Solo en su sentido político, con una excepción: «soberanos somos todos».</w:t>
      </w:r>
    </w:p>
    <w:p>
      <w:pPr>
        <w:pStyle w:val="ListBullet"/>
      </w:pPr>
      <w:r>
        <w:rPr>
          <w:b/>
        </w:rPr>
        <w:t>El derecho de nacimiento</w:t>
      </w:r>
      <w:r>
        <w:t xml:space="preserve"> (en singular). Lo que cada persona trae al nacer: su dignidad y su soberanía sobre sí misma, porque lleva la imagen de su Creador. Es la raíz. Se explica en </w:t>
      </w:r>
      <w:r>
        <w:t>2.2</w:t>
      </w:r>
      <w:r>
        <w:t>.</w:t>
      </w:r>
    </w:p>
    <w:p>
      <w:pPr>
        <w:pStyle w:val="ListBullet"/>
      </w:pPr>
      <w:r>
        <w:rPr>
          <w:b/>
        </w:rPr>
        <w:t>Los derechos que preceden al Estado</w:t>
      </w:r>
      <w:r>
        <w:t xml:space="preserve">, o </w:t>
      </w:r>
      <w:r>
        <w:rPr>
          <w:b/>
        </w:rPr>
        <w:t>derechos inalienables</w:t>
      </w:r>
      <w:r>
        <w:t xml:space="preserve"> (en plural). Los derechos concretos que salen de esa raíz, y que ninguna ley concede ni puede quitar: la ley los reconoce, no los crea. Se explica en </w:t>
      </w:r>
      <w:r>
        <w:t>2.2</w:t>
      </w:r>
      <w:r>
        <w:t>.</w:t>
      </w:r>
    </w:p>
    <w:p>
      <w:pPr>
        <w:pStyle w:val="ListBullet"/>
      </w:pPr>
      <w:r>
        <w:rPr>
          <w:b/>
        </w:rPr>
        <w:t>«Soberanos somos todos».</w:t>
      </w:r>
      <w:r>
        <w:t xml:space="preserve"> Cada persona es dueña de sí misma, porque lleva en sí la imagen de su Creador, y nadie lo es por naturaleza de otra. Por eso la soberanía reside en el pueblo, en todos. No exime de la ley ni da autoridad frente a nadie: cada uno responde de sus actos. Se explica en </w:t>
      </w:r>
      <w:r>
        <w:t>2.3</w:t>
      </w:r>
      <w:r>
        <w:t>.</w:t>
      </w:r>
    </w:p>
    <w:p>
      <w:r>
        <w:t>[glosario único 2.1 a 2.3]</w:t>
      </w:r>
    </w:p>
    <w:p>
      <w:pPr>
        <w:pStyle w:val="Heading2"/>
      </w:pPr>
      <w:r>
        <w:t>H.3 Lo que se audita</w:t>
      </w:r>
    </w:p>
    <w:p>
      <w:pPr>
        <w:pBdr>
          <w:left w:val="single" w:sz="24" w:space="6" w:color="E2DED6"/>
        </w:pBdr>
        <w:shd w:val="clear" w:color="auto" w:fill="F1EEE8"/>
        <w:spacing w:before="80" w:after="160"/>
        <w:ind w:left="142" w:right="142"/>
      </w:pPr>
      <w:r>
        <w:rPr>
          <w:b/>
        </w:rPr>
        <w:t>La idea: qué se audita, y con qué palabras se nombra lo que se da por cierto sin serlo.</w:t>
      </w:r>
    </w:p>
    <w:p>
      <w:pPr>
        <w:pStyle w:val="ListBullet"/>
      </w:pPr>
      <w:r>
        <w:rPr>
          <w:b/>
        </w:rPr>
        <w:t>El Estado.</w:t>
      </w:r>
      <w:r>
        <w:t xml:space="preserve"> La organización política y jurídica (las Cortes, el Gobierno, las Administraciones y los tribunales) con sus normas. Se audita institución por institución.</w:t>
      </w:r>
    </w:p>
    <w:p>
      <w:pPr>
        <w:pStyle w:val="ListBullet"/>
      </w:pPr>
      <w:r>
        <w:rPr>
          <w:b/>
        </w:rPr>
        <w:t>El sistema.</w:t>
      </w:r>
      <w:r>
        <w:t xml:space="preserve"> El Estado tal como funciona hoy, junto con su dinero sin respaldo material y su deuda. Es lo que mide el dictamen. Cuando la obra habla de su cierre, se refiere a esta forma de gobierno, no a la comunidad, ni al orden, ni a la ley.</w:t>
      </w:r>
    </w:p>
    <w:p>
      <w:pPr>
        <w:pStyle w:val="ListBullet"/>
      </w:pPr>
      <w:r>
        <w:rPr>
          <w:b/>
        </w:rPr>
        <w:t>El Leviatán.</w:t>
      </w:r>
      <w:r>
        <w:t xml:space="preserve"> La imagen de Hobbes para el Estado. Solo se usa al hablar de Hobbes (</w:t>
      </w:r>
      <w:r>
        <w:t>6.1</w:t>
      </w:r>
      <w:r>
        <w:t>).</w:t>
      </w:r>
    </w:p>
    <w:p>
      <w:pPr>
        <w:pStyle w:val="ListBullet"/>
      </w:pPr>
      <w:r>
        <w:rPr>
          <w:b/>
        </w:rPr>
        <w:t>El ente sin cuerpo.</w:t>
      </w:r>
      <w:r>
        <w:t xml:space="preserve"> La institución que actúa como si fuera una persona, sin un cuerpo ni una conciencia que respondan por ella. Es un hecho jurídico: la persona jurídica y la personalidad del Estado son ficciones que el derecho reconoce. Frente a él, la obra pide responsabilidad individual: no se combate con fuerza, se disuelve con conocimiento. Se explica en </w:t>
      </w:r>
      <w:r>
        <w:t>2.1</w:t>
      </w:r>
      <w:r>
        <w:t>.</w:t>
      </w:r>
    </w:p>
    <w:p>
      <w:pPr>
        <w:pStyle w:val="ListBullet"/>
      </w:pPr>
      <w:r>
        <w:rPr>
          <w:b/>
        </w:rPr>
        <w:t>El mal sin cuerpo.</w:t>
      </w:r>
      <w:r>
        <w:t xml:space="preserve"> El mal que las tradiciones describen sin cuerpo propio: el adversario, Mara, Iblis o Legión. Se explica en </w:t>
      </w:r>
      <w:r>
        <w:t>4.1</w:t>
      </w:r>
      <w:r>
        <w:t>. Pasar de uno al otro, la institución que obra como el mal sin cuerpo, es una analogía, y va siempre como lectura del autor.</w:t>
      </w:r>
    </w:p>
    <w:p>
      <w:pPr>
        <w:pStyle w:val="ListBullet"/>
      </w:pPr>
      <w:r>
        <w:rPr>
          <w:b/>
        </w:rPr>
        <w:t>La presunción.</w:t>
      </w:r>
      <w:r>
        <w:t xml:space="preserve"> Dar algo por cierto sin que se haya probado. Como en la ley, necesita un hecho de partida admitido o probado; cuando no consta, la obra lo señala y pregunta por él. Se explica en </w:t>
      </w:r>
      <w:r>
        <w:t>0.4</w:t>
      </w:r>
      <w:r>
        <w:t xml:space="preserve"> y en </w:t>
      </w:r>
      <w:r>
        <w:t>5.2</w:t>
      </w:r>
      <w:r>
        <w:t xml:space="preserve">. Lo que sostiene una presunción, si nace de la verdad, es su piedra: una prueba, una ley superior o un consentimiento dado; la piedra que sostiene toda la obra se explica en </w:t>
      </w:r>
      <w:r>
        <w:t>5.4</w:t>
      </w:r>
      <w:r>
        <w:t>.</w:t>
      </w:r>
    </w:p>
    <w:p>
      <w:pPr>
        <w:pStyle w:val="ListBullet"/>
      </w:pPr>
      <w:r>
        <w:rPr>
          <w:b/>
        </w:rPr>
        <w:t>La maniobra camuflada.</w:t>
      </w:r>
      <w:r>
        <w:t xml:space="preserve"> Cuando un nombre oficial o una creencia extendida sugieren una cosa, y la norma o el dato dicen otra. Describirla no exige suponer intención; la intención, cuando se señala, va como lectura del autor. La presunción es lo que se da por cierto; la maniobra camuflada, el nombre o la creencia que lo hacen pasar por cierto. Se explica en </w:t>
      </w:r>
      <w:r>
        <w:t>5.1</w:t>
      </w:r>
      <w:r>
        <w:t>.</w:t>
      </w:r>
    </w:p>
    <w:p>
      <w:pPr>
        <w:pStyle w:val="ListBullet"/>
      </w:pPr>
      <w:r>
        <w:rPr>
          <w:b/>
        </w:rPr>
        <w:t>Verdad, presunción, falso y mentira.</w:t>
      </w:r>
      <w:r>
        <w:t xml:space="preserve"> La escala de la obra: verdad es lo probado; presunción, lo que se da por cierto sin probarlo; falso, lo que se demuestra que no es así; y mentira, lo falso dicho a sabiendas. Se explica en </w:t>
      </w:r>
      <w:r>
        <w:t>0.4</w:t>
      </w:r>
      <w:r>
        <w:t>.</w:t>
      </w:r>
    </w:p>
    <w:p>
      <w:pPr>
        <w:pStyle w:val="ListBullet"/>
      </w:pPr>
      <w:r>
        <w:rPr>
          <w:b/>
        </w:rPr>
        <w:t>La ficción jurídica.</w:t>
      </w:r>
      <w:r>
        <w:t xml:space="preserve"> Lo que el derecho trata como si fuera real, sabiendo que no es un hecho literal, como la persona jurídica o la personalidad del Estado. Se explica en </w:t>
      </w:r>
      <w:r>
        <w:t>5.3</w:t>
      </w:r>
      <w:r>
        <w:t>.</w:t>
      </w:r>
    </w:p>
    <w:p>
      <w:pPr>
        <w:pStyle w:val="ListBullet"/>
      </w:pPr>
      <w:r>
        <w:rPr>
          <w:b/>
        </w:rPr>
        <w:t>La mentira y el orden.</w:t>
      </w:r>
      <w:r>
        <w:t xml:space="preserve"> En tradiciones sin contacto documentado entre sí, el mal sin cuerpo se reconoce por la mentira, y la mentira va contra el orden verdadero. Se explica en </w:t>
      </w:r>
      <w:r>
        <w:t>4.4</w:t>
      </w:r>
      <w:r>
        <w:t>.</w:t>
      </w:r>
    </w:p>
    <w:p>
      <w:r>
        <w:t>[glosario único 3.1 a 3.6; 00.0-10.6 y 10.9]</w:t>
      </w:r>
    </w:p>
    <w:p>
      <w:pPr>
        <w:pStyle w:val="Heading2"/>
      </w:pPr>
      <w:r>
        <w:t>H.4 El orden de las leyes</w:t>
      </w:r>
    </w:p>
    <w:p>
      <w:pPr>
        <w:pBdr>
          <w:left w:val="single" w:sz="24" w:space="6" w:color="E2DED6"/>
        </w:pBdr>
        <w:shd w:val="clear" w:color="auto" w:fill="F1EEE8"/>
        <w:spacing w:before="80" w:after="160"/>
        <w:ind w:left="142" w:right="142"/>
      </w:pPr>
      <w:r>
        <w:rPr>
          <w:b/>
        </w:rPr>
        <w:t>La idea: hay cuatro leyes, y su orden real es el inverso del que da el Estado.</w:t>
      </w:r>
    </w:p>
    <w:p>
      <w:pPr>
        <w:pStyle w:val="ListBullet"/>
      </w:pPr>
      <w:r>
        <w:rPr>
          <w:b/>
        </w:rPr>
        <w:t>El orden de las leyes.</w:t>
      </w:r>
      <w:r>
        <w:t xml:space="preserve"> La jerarquía real: primero, la ley de Dios; después, la ley natural; por debajo, la costumbre; y por último, la ley escrita, legítima mientras no contradiga a las anteriores. Se explica en </w:t>
      </w:r>
      <w:r>
        <w:t>1.1</w:t>
      </w:r>
      <w:r>
        <w:t>.</w:t>
      </w:r>
    </w:p>
    <w:p>
      <w:pPr>
        <w:pStyle w:val="ListBullet"/>
      </w:pPr>
      <w:r>
        <w:rPr>
          <w:b/>
        </w:rPr>
        <w:t>El orden oficial</w:t>
      </w:r>
      <w:r>
        <w:t xml:space="preserve">, también </w:t>
      </w:r>
      <w:r>
        <w:rPr>
          <w:b/>
        </w:rPr>
        <w:t>el orden puesto por el hombre</w:t>
      </w:r>
      <w:r>
        <w:t xml:space="preserve"> o </w:t>
      </w:r>
      <w:r>
        <w:rPr>
          <w:b/>
        </w:rPr>
        <w:t>el orden invertido.</w:t>
      </w:r>
      <w:r>
        <w:t xml:space="preserve"> El del Estado, que pone la ley la primera, la costumbre después y los principios generales del derecho al final. Es el orden inverso. Se explica en </w:t>
      </w:r>
      <w:r>
        <w:t>1.7</w:t>
      </w:r>
      <w:r>
        <w:t xml:space="preserve"> y en </w:t>
      </w:r>
      <w:r>
        <w:t>1.8</w:t>
      </w:r>
      <w:r>
        <w:t>.</w:t>
      </w:r>
    </w:p>
    <w:p>
      <w:pPr>
        <w:pStyle w:val="ListBullet"/>
      </w:pPr>
      <w:r>
        <w:rPr>
          <w:b/>
        </w:rPr>
        <w:t>La ley de Dios.</w:t>
      </w:r>
      <w:r>
        <w:t xml:space="preserve"> La que gobierna lo creado y la que las tradiciones guardaron en sus libros sagrados, sea cual sea el nombre que cada pueblo dé a Dios. Reúne lo que Tomás de Aquino llama ley eterna y ley divina. Se explica en </w:t>
      </w:r>
      <w:r>
        <w:t>1.2</w:t>
      </w:r>
      <w:r>
        <w:t>.</w:t>
      </w:r>
    </w:p>
    <w:p>
      <w:pPr>
        <w:pStyle w:val="ListBullet"/>
      </w:pPr>
      <w:r>
        <w:rPr>
          <w:b/>
        </w:rPr>
        <w:t>Discernir lo que se presenta como Dios.</w:t>
      </w:r>
      <w:r>
        <w:t xml:space="preserve"> Los textos de tradiciones sin contacto documentado entre sí avisan de que no todo lo que se llama «dios» es el Creador, y dan la señal para distinguirlo: el verdadero sirve y rechaza la adoración; el que suplanta, la reclama. Se explica en </w:t>
      </w:r>
      <w:r>
        <w:t>1.3</w:t>
      </w:r>
      <w:r>
        <w:t xml:space="preserve"> y en </w:t>
      </w:r>
      <w:r>
        <w:t>4.3</w:t>
      </w:r>
      <w:r>
        <w:t>.</w:t>
      </w:r>
    </w:p>
    <w:p>
      <w:pPr>
        <w:pStyle w:val="ListBullet"/>
      </w:pPr>
      <w:r>
        <w:rPr>
          <w:b/>
        </w:rPr>
        <w:t>La ley natural.</w:t>
      </w:r>
      <w:r>
        <w:t xml:space="preserve"> Lo que cualquier persona puede reconocer como bueno o malo con la razón, sin que nadie se lo enseñe; lo que coincide entre tradiciones sin contacto documentado entre sí. Se explica en </w:t>
      </w:r>
      <w:r>
        <w:t>1.4</w:t>
      </w:r>
      <w:r>
        <w:t>.</w:t>
      </w:r>
    </w:p>
    <w:p>
      <w:pPr>
        <w:pStyle w:val="ListBullet"/>
      </w:pPr>
      <w:r>
        <w:rPr>
          <w:b/>
        </w:rPr>
        <w:t>El orden natural.</w:t>
      </w:r>
      <w:r>
        <w:t xml:space="preserve"> El orden de las cosas que expresa la ley natural.</w:t>
      </w:r>
    </w:p>
    <w:p>
      <w:pPr>
        <w:pStyle w:val="ListBullet"/>
      </w:pPr>
      <w:r>
        <w:rPr>
          <w:b/>
        </w:rPr>
        <w:t>La costumbre.</w:t>
      </w:r>
      <w:r>
        <w:t xml:space="preserve"> La norma que nace del uso repetido de una comunidad, con conciencia de que obliga, sin que la escriba un legislador. El Código Civil común la pone detrás de la ley, y Navarra, delante. Se explica en </w:t>
      </w:r>
      <w:r>
        <w:t>1.5</w:t>
      </w:r>
      <w:r>
        <w:t>.</w:t>
      </w:r>
    </w:p>
    <w:p>
      <w:pPr>
        <w:pStyle w:val="ListBullet"/>
      </w:pPr>
      <w:r>
        <w:rPr>
          <w:b/>
        </w:rPr>
        <w:t>La ley escrita</w:t>
      </w:r>
      <w:r>
        <w:t xml:space="preserve">, o </w:t>
      </w:r>
      <w:r>
        <w:rPr>
          <w:b/>
        </w:rPr>
        <w:t>la ley humana.</w:t>
      </w:r>
      <w:r>
        <w:t xml:space="preserve"> La que escribe un legislador humano; Aquino la llama «derecho positivo». Se juzga por a quién sirve: si sirve a lo de arriba (desarrolla la ley natural y se dirige al bien común), es ley; si sirve a quien la escribe, es «corrupción de la ley». Lo que pone por escrito la ley de Dios o la natural no es «ley escrita» en este sentido. Se explica en </w:t>
      </w:r>
      <w:r>
        <w:t>1.1</w:t>
      </w:r>
      <w:r>
        <w:t xml:space="preserve"> y en </w:t>
      </w:r>
      <w:r>
        <w:t>1.6</w:t>
      </w:r>
      <w:r>
        <w:t>.</w:t>
      </w:r>
    </w:p>
    <w:p>
      <w:pPr>
        <w:pStyle w:val="ListBullet"/>
      </w:pPr>
      <w:r>
        <w:rPr>
          <w:b/>
        </w:rPr>
        <w:t>La corrupción de la ley.</w:t>
      </w:r>
      <w:r>
        <w:t xml:space="preserve"> Así llama Tomás de Aquino a la ley humana que se aparta de la natural. Se explica en </w:t>
      </w:r>
      <w:r>
        <w:t>1.1</w:t>
      </w:r>
      <w:r>
        <w:t>.</w:t>
      </w:r>
    </w:p>
    <w:p>
      <w:pPr>
        <w:pStyle w:val="ListBullet"/>
      </w:pPr>
      <w:r>
        <w:rPr>
          <w:b/>
        </w:rPr>
        <w:t>Las dos jurisdicciones.</w:t>
      </w:r>
      <w:r>
        <w:t xml:space="preserve"> La de la verdad, que es la conciencia de cada persona y la opinión pública, donde la ley superior prevalece; y la del Estado, que son sus tribunales y su fuerza, donde solo se aplica su derecho, y la ley superior entra por las puertas que ese derecho reconoce. El dictamen de esta obra no exime a nadie de sus obligaciones vigentes. Se explica en </w:t>
      </w:r>
      <w:r>
        <w:t>1.8</w:t>
      </w:r>
      <w:r>
        <w:t>.</w:t>
      </w:r>
    </w:p>
    <w:p>
      <w:pPr>
        <w:pStyle w:val="ListBullet"/>
      </w:pPr>
      <w:r>
        <w:rPr>
          <w:b/>
        </w:rPr>
        <w:t>La autoridad original.</w:t>
      </w:r>
      <w:r>
        <w:t xml:space="preserve"> La de la ley de Dios y la ley natural: nadie las dictó para su provecho, se reconocen porque convergen y pasan la vara, y no se dan, se reciben. Son las únicas que pueden poner el centro con el que se mide (</w:t>
      </w:r>
      <w:r>
        <w:t>anexo J</w:t>
      </w:r>
      <w:r>
        <w:t xml:space="preserve">). Se explica en </w:t>
      </w:r>
      <w:r>
        <w:t>1.9</w:t>
      </w:r>
      <w:r>
        <w:t>.</w:t>
      </w:r>
    </w:p>
    <w:p>
      <w:pPr>
        <w:pStyle w:val="ListBullet"/>
      </w:pPr>
      <w:r>
        <w:rPr>
          <w:b/>
        </w:rPr>
        <w:t>La autoridad derivada.</w:t>
      </w:r>
      <w:r>
        <w:t xml:space="preserve"> La de la costumbre y la ley escrita: la ponen las personas a partir de los hechos y vale mientras sirve al bien común y no se aparta de las de arriba. Se pierde por el conflicto de interés, por salirse del bien común y por apartarse de lo superior. Obliga mientras no se declare injusta por la vía que el derecho da. Se explica en </w:t>
      </w:r>
      <w:r>
        <w:t>1.9</w:t>
      </w:r>
      <w:r>
        <w:t>.</w:t>
      </w:r>
    </w:p>
    <w:p>
      <w:pPr>
        <w:pStyle w:val="ListBullet"/>
      </w:pPr>
      <w:r>
        <w:rPr>
          <w:b/>
        </w:rPr>
        <w:t>Nombrar las cosas por su nombre.</w:t>
      </w:r>
      <w:r>
        <w:t xml:space="preserve"> Desde el capítulo que explica el orden de las leyes, la obra nombra cada cosa por su lugar en la jerarquía real, y no por el nombre que le da el orden oficial. Se explica en </w:t>
      </w:r>
      <w:r>
        <w:t>1.8</w:t>
      </w:r>
      <w:r>
        <w:t>.</w:t>
      </w:r>
    </w:p>
    <w:p>
      <w:r>
        <w:t>[glosario único 4.1 a 4.8 y 5.4.1; 00.0-10.3 y 10.4]</w:t>
      </w:r>
    </w:p>
    <w:p>
      <w:pPr>
        <w:pStyle w:val="Heading2"/>
      </w:pPr>
      <w:r>
        <w:t>H.5 La vara y el método</w:t>
      </w:r>
    </w:p>
    <w:p>
      <w:pPr>
        <w:pBdr>
          <w:left w:val="single" w:sz="24" w:space="6" w:color="E2DED6"/>
        </w:pBdr>
        <w:shd w:val="clear" w:color="auto" w:fill="F1EEE8"/>
        <w:spacing w:before="80" w:after="160"/>
        <w:ind w:left="142" w:right="142"/>
      </w:pPr>
      <w:r>
        <w:rPr>
          <w:b/>
        </w:rPr>
        <w:t>La idea: con qué mide la obra, cuándo da algo por sólido y cómo separa lo probado de lo que es lectura.</w:t>
      </w:r>
    </w:p>
    <w:p>
      <w:pPr>
        <w:pStyle w:val="ListBullet"/>
      </w:pPr>
      <w:r>
        <w:rPr>
          <w:b/>
        </w:rPr>
        <w:t>La vara.</w:t>
      </w:r>
      <w:r>
        <w:t xml:space="preserve"> Mide en dos pasos. Primero, si los hechos son ciertos, con su fuente. Después, sus frutos: si dañan al prójimo, si hay reciprocidad, si hubo consentimiento y si hay beneficio mutuo. Cualquiera puede aplicarla sin ser jurista. De dónde nace un acto (amor, egoísmo o ignorancia) queda como lectura. Se explica en </w:t>
      </w:r>
      <w:r>
        <w:t>0.5</w:t>
      </w:r>
      <w:r>
        <w:t>.</w:t>
      </w:r>
    </w:p>
    <w:p>
      <w:pPr>
        <w:pStyle w:val="ListBullet"/>
      </w:pPr>
      <w:r>
        <w:rPr>
          <w:b/>
        </w:rPr>
        <w:t>La fuente.</w:t>
      </w:r>
      <w:r>
        <w:t xml:space="preserve"> El documento que sostiene un dato o una cita: cada uno lleva la suya, y se dice si se leyó en el original o en una fuente secundaria (</w:t>
      </w:r>
      <w:r>
        <w:t>0.3</w:t>
      </w:r>
      <w:r>
        <w:t>). En el derecho, de dónde nace una norma: el Código Civil pone primero la ley escrita, al revés del orden real (</w:t>
      </w:r>
      <w:r>
        <w:t>1.1</w:t>
      </w:r>
      <w:r>
        <w:t>). En el subtítulo, «La disolución del velo del Estado y el retorno a la fuente», es lo recibido, la ley de Dios y la ley natural: diez tradiciones cuentan que hay un camino de vuelta (</w:t>
      </w:r>
      <w:r>
        <w:t>3.7</w:t>
      </w:r>
      <w:r>
        <w:t>), y lo anda cada uno (</w:t>
      </w:r>
      <w:r>
        <w:t>J.1</w:t>
      </w:r>
      <w:r>
        <w:t>).</w:t>
      </w:r>
    </w:p>
    <w:p>
      <w:pPr>
        <w:pStyle w:val="ListBullet"/>
      </w:pPr>
      <w:r>
        <w:rPr>
          <w:b/>
        </w:rPr>
        <w:t>La misma vara.</w:t>
      </w:r>
      <w:r>
        <w:t xml:space="preserve"> Medir al Estado con la regla que él aplica a cualquier persona o empresa: también los poderes públicos están sujetos a la ley.</w:t>
      </w:r>
    </w:p>
    <w:p>
      <w:pPr>
        <w:pStyle w:val="ListBullet"/>
      </w:pPr>
      <w:r>
        <w:rPr>
          <w:b/>
        </w:rPr>
        <w:t>Los frutos.</w:t>
      </w:r>
      <w:r>
        <w:t xml:space="preserve"> Lo que una norma o una institución hace, medido con datos, frente a lo que dice. La fórmula de la obra es la cita literal: «Por sus frutos los conoceréis»</w:t>
      </w:r>
      <w:r>
        <w:t xml:space="preserve"> (Mt 7:16)</w:t>
      </w:r>
      <w:r>
        <w:br/>
      </w:r>
      <w:r>
        <w:rPr>
          <w:b/>
        </w:rPr>
        <w:t>leída en su fuente · Mt 7:16</w:t>
      </w:r>
      <w:r>
        <w:br/>
      </w:r>
      <w:r>
        <w:rPr>
          <w:b/>
        </w:rPr>
        <w:t>Archivo leído:</w:t>
      </w:r>
      <w:r>
        <w:t xml:space="preserve"> biblia_c1.html (ant\c1\biblia_c1.html) · contraste del archivo de pasajes: ✔</w:t>
      </w:r>
      <w:r>
        <w:br/>
      </w:r>
      <w:r>
        <w:rPr>
          <w:b/>
        </w:rPr>
        <w:t>Lugar:</w:t>
      </w:r>
      <w:r>
        <w:t xml:space="preserve"> Mt 7:16</w:t>
      </w:r>
      <w:r>
        <w:br/>
      </w:r>
      <w:r>
        <w:rPr>
          <w:b/>
        </w:rPr>
        <w:t>Tal como está en la fuente:</w:t>
      </w:r>
      <w:r>
        <w:t xml:space="preserve"> Por sus frutos los conoceréis</w:t>
      </w:r>
      <w:r>
        <w:t xml:space="preserve">. Se explica en </w:t>
      </w:r>
      <w:r>
        <w:t>0.5</w:t>
      </w:r>
      <w:r>
        <w:t>.</w:t>
      </w:r>
    </w:p>
    <w:p>
      <w:pPr>
        <w:pStyle w:val="ListBullet"/>
      </w:pPr>
      <w:r>
        <w:rPr>
          <w:b/>
        </w:rPr>
        <w:t>La convergencia.</w:t>
      </w:r>
      <w:r>
        <w:t xml:space="preserve"> Una afirmación se tiene por sólida cuando aparece en tres o más fuentes independientes (tradiciones, épocas o disciplinas sin una línea de transmisión entre ellas), y solo después de haber buscado la fuente de peso que sostiene lo contrario. Es la imagen de una mesa: cada fuente independiente es una </w:t>
      </w:r>
      <w:r>
        <w:rPr>
          <w:b/>
        </w:rPr>
        <w:t>pata</w:t>
      </w:r>
      <w:r>
        <w:t xml:space="preserve">; la </w:t>
      </w:r>
      <w:r>
        <w:rPr>
          <w:b/>
        </w:rPr>
        <w:t>pata coja</w:t>
      </w:r>
      <w:r>
        <w:t xml:space="preserve"> es la fuente que contradice; y la </w:t>
      </w:r>
      <w:r>
        <w:rPr>
          <w:b/>
        </w:rPr>
        <w:t>prueba de la pata sola</w:t>
      </w:r>
      <w:r>
        <w:t xml:space="preserve"> consiste en quitar una pata y ver si la mesa sigue en pie. Se explica en </w:t>
      </w:r>
      <w:r>
        <w:t>3.1</w:t>
      </w:r>
      <w:r>
        <w:t>.</w:t>
      </w:r>
    </w:p>
    <w:p>
      <w:pPr>
        <w:pStyle w:val="ListBullet"/>
      </w:pPr>
      <w:r>
        <w:rPr>
          <w:b/>
        </w:rPr>
        <w:t>Las capas de cada texto.</w:t>
      </w:r>
      <w:r>
        <w:t xml:space="preserve"> Los hechos, cada uno con su fuente; «Conclusión, lo que arrojan los datos», solo lo que esos hechos sostienen; «Lectura del autor», la interpretación del autor, siempre marcada; y el «Límite honesto de la prueba», lo que los datos no permiten afirmar. Se explica en </w:t>
      </w:r>
      <w:r>
        <w:t>0.3</w:t>
      </w:r>
      <w:r>
        <w:t>.</w:t>
      </w:r>
    </w:p>
    <w:p>
      <w:pPr>
        <w:pStyle w:val="ListBullet"/>
      </w:pPr>
      <w:r>
        <w:rPr>
          <w:b/>
        </w:rPr>
        <w:t>La evaluación por los frutos.</w:t>
      </w:r>
      <w:r>
        <w:t xml:space="preserve"> El nombre que la obra da al uso de los diales sobre normas, instituciones y situaciones, nunca sobre personas. No es un método nuevo: es el segundo paso de la vara (</w:t>
      </w:r>
      <w:r>
        <w:t>0.5</w:t>
      </w:r>
      <w:r>
        <w:t>), los frutos, hecho visible, con la posición y la dirección a la vista. No sustituye al «cumple o incumple» de la auditoría (</w:t>
      </w:r>
      <w:r>
        <w:t>7.1</w:t>
      </w:r>
      <w:r>
        <w:t xml:space="preserve">). Se explica en el </w:t>
      </w:r>
      <w:r>
        <w:t>anexo J</w:t>
      </w:r>
      <w:r>
        <w:t>.</w:t>
      </w:r>
    </w:p>
    <w:p>
      <w:pPr>
        <w:pStyle w:val="ListBullet"/>
      </w:pPr>
      <w:r>
        <w:rPr>
          <w:b/>
        </w:rPr>
        <w:t>El dial.</w:t>
      </w:r>
      <w:r>
        <w:t xml:space="preserve"> La medida de una conducta entre dos vicios, uno por defecto, a la izquierda, y otro por exceso, a la derecha, con la virtud en el centro (el anexo del 4.3, con Aristóteles). El centro no lo pone quien mide: lo ponen la ley de Dios y la ley natural, y se escribe antes de mirar los datos. Se nombra por primera vez en el anexo del 4.3 y se explica en el </w:t>
      </w:r>
      <w:r>
        <w:t>anexo J</w:t>
      </w:r>
      <w:r>
        <w:t>.</w:t>
      </w:r>
    </w:p>
    <w:p>
      <w:pPr>
        <w:pStyle w:val="ListBullet"/>
      </w:pPr>
      <w:r>
        <w:rPr>
          <w:b/>
        </w:rPr>
        <w:t>La ficha.</w:t>
      </w:r>
      <w:r>
        <w:t xml:space="preserve"> Las tres medidas de cada cosa que se evalúa: dónde caen sus diales (por defecto o por exceso), cuánta verdad comprobada hay detrás (los niveles A, B y C, y qué parte sigue siendo presunción) y hacia dónde va (si se acerca al centro o se aleja). Se explica en el </w:t>
      </w:r>
      <w:r>
        <w:t>anexo J</w:t>
      </w:r>
      <w:r>
        <w:t>.</w:t>
      </w:r>
    </w:p>
    <w:p>
      <w:pPr>
        <w:pStyle w:val="ListBullet"/>
      </w:pPr>
      <w:r>
        <w:rPr>
          <w:b/>
        </w:rPr>
        <w:t>La semilla que se recibe.</w:t>
      </w:r>
      <w:r>
        <w:t xml:space="preserve"> La ley de Dios y la ley natural, vistas como la semilla de un árbol: no las puso ningún autor con interés y se reconocen porque convergen. Es la autoridad original, dicha con la imagen del árbol. Se explica en el </w:t>
      </w:r>
      <w:r>
        <w:t>anexo J</w:t>
      </w:r>
      <w:r>
        <w:t>.</w:t>
      </w:r>
    </w:p>
    <w:p>
      <w:pPr>
        <w:pStyle w:val="ListBullet"/>
      </w:pPr>
      <w:r>
        <w:rPr>
          <w:b/>
        </w:rPr>
        <w:t>La semilla que se siembra.</w:t>
      </w:r>
      <w:r>
        <w:t xml:space="preserve"> La costumbre y la ley escrita: las ponen las personas a partir de los hechos y valen por su unión con la que se recibe. El árbol se tuerce cuando la que se siembra se corta de la que se recibe o se pone por encima de ella. Es la autoridad derivada, dicha con la imagen del árbol. Se explica en el </w:t>
      </w:r>
      <w:r>
        <w:t>anexo J</w:t>
      </w:r>
      <w:r>
        <w:t>.</w:t>
      </w:r>
    </w:p>
    <w:p>
      <w:pPr>
        <w:pStyle w:val="ListBullet"/>
      </w:pPr>
      <w:r>
        <w:rPr>
          <w:b/>
        </w:rPr>
        <w:t>Presunción (etiqueta).</w:t>
      </w:r>
      <w:r>
        <w:t xml:space="preserve"> La etiqueta de lo que, en el </w:t>
      </w:r>
      <w:r>
        <w:t>anexo E</w:t>
      </w:r>
      <w:r>
        <w:t>, se menciona sin documento que lo avale: no es verdadero ni falso, está sin probar (</w:t>
      </w:r>
      <w:r>
        <w:t>0.4</w:t>
      </w:r>
      <w:r>
        <w:t>). Esta obra no admite presunciones y pide a quien las sostenga que aporte dónde nacen (</w:t>
      </w:r>
      <w:r>
        <w:t>E.0</w:t>
      </w:r>
      <w:r>
        <w:t>).</w:t>
      </w:r>
    </w:p>
    <w:p>
      <w:r>
        <w:t>[glosario único 5.1 a 5.8]</w:t>
      </w:r>
    </w:p>
    <w:p>
      <w:pPr>
        <w:pStyle w:val="Heading2"/>
      </w:pPr>
      <w:r>
        <w:t>H.6 El dinero, el tiempo y la carga</w:t>
      </w:r>
    </w:p>
    <w:p>
      <w:pPr>
        <w:pBdr>
          <w:left w:val="single" w:sz="24" w:space="6" w:color="E2DED6"/>
        </w:pBdr>
        <w:shd w:val="clear" w:color="auto" w:fill="F1EEE8"/>
        <w:spacing w:before="80" w:after="160"/>
        <w:ind w:left="142" w:right="142"/>
      </w:pPr>
      <w:r>
        <w:rPr>
          <w:b/>
        </w:rPr>
        <w:t>La idea: el dinero, el tiempo de vida que cuesta y lo que el Estado se lleva de él.</w:t>
      </w:r>
    </w:p>
    <w:p>
      <w:pPr>
        <w:pStyle w:val="ListBullet"/>
      </w:pPr>
      <w:r>
        <w:rPr>
          <w:b/>
        </w:rPr>
        <w:t>El dinero sin respaldo material.</w:t>
      </w:r>
      <w:r>
        <w:t xml:space="preserve"> El que no se puede cambiar por oro ni por ningún bien: vale por lo que la ley declara, su curso legal, y por la confianza que la gente tiene en él. Es la norma mundial desde 1971. Se explica en </w:t>
      </w:r>
      <w:r>
        <w:t>8.1</w:t>
      </w:r>
      <w:r>
        <w:t>.</w:t>
      </w:r>
    </w:p>
    <w:p>
      <w:pPr>
        <w:pStyle w:val="ListBullet"/>
      </w:pPr>
      <w:r>
        <w:rPr>
          <w:b/>
        </w:rPr>
        <w:t>El tiempo de vida cristalizado.</w:t>
      </w:r>
      <w:r>
        <w:t xml:space="preserve"> El tiempo de una vida es el único bien que nadie puede devolver, y todo lo material (el sueldo, el ahorro o la casa) es tiempo de vida cristalizado. Es el eje de la obra. Se explica en </w:t>
      </w:r>
      <w:r>
        <w:t>8.3</w:t>
      </w:r>
      <w:r>
        <w:t>.</w:t>
      </w:r>
    </w:p>
    <w:p>
      <w:pPr>
        <w:pStyle w:val="ListBullet"/>
      </w:pPr>
      <w:r>
        <w:rPr>
          <w:b/>
        </w:rPr>
        <w:t>La carga.</w:t>
      </w:r>
      <w:r>
        <w:t xml:space="preserve"> Lo que se lleva el Estado de lo que cuesta el trabajo de una persona. Se mide sobre el coste laboral (lo que paga quien contrata), en cinco capas de certeza decreciente: las cotizaciones y el IRPF; el IVA; los tributos municipales y especiales; la parte del Impuesto de Sociedades que recae sobre los salarios, que es una hipótesis; y la carga futura del déficit. Siempre con los tres perfiles (asalariado, autónomo y societario) y con los costes indirectos: gestores, asesores, abogados, notarios y registradores. Se explica en </w:t>
      </w:r>
      <w:r>
        <w:t>8.4</w:t>
      </w:r>
      <w:r>
        <w:t xml:space="preserve">; el detalle, en el </w:t>
      </w:r>
      <w:r>
        <w:t>anexo B</w:t>
      </w:r>
      <w:r>
        <w:t>.</w:t>
      </w:r>
    </w:p>
    <w:p>
      <w:pPr>
        <w:pStyle w:val="ListBullet"/>
      </w:pPr>
      <w:r>
        <w:rPr>
          <w:b/>
        </w:rPr>
        <w:t>El velo.</w:t>
      </w:r>
      <w:r>
        <w:t xml:space="preserve"> La complejidad que esconde cómo funciona el sistema, aunque esté a la vista de todos. Es lo que el título promete disolver.</w:t>
      </w:r>
    </w:p>
    <w:p>
      <w:pPr>
        <w:pStyle w:val="ListBullet"/>
      </w:pPr>
      <w:r>
        <w:rPr>
          <w:b/>
        </w:rPr>
        <w:t>El muro de opacidad.</w:t>
      </w:r>
      <w:r>
        <w:t xml:space="preserve"> Los datos que el Estado no publica o hace difíciles de obtener. Se explica en </w:t>
      </w:r>
      <w:r>
        <w:t>8.6</w:t>
      </w:r>
      <w:r>
        <w:t>.</w:t>
      </w:r>
    </w:p>
    <w:p>
      <w:r>
        <w:t>[glosario único 6.1 a 6.4; 00.0-10.8]</w:t>
      </w:r>
    </w:p>
    <w:p>
      <w:pPr>
        <w:pStyle w:val="Heading2"/>
      </w:pPr>
      <w:r>
        <w:t>H.7 El dictamen</w:t>
      </w:r>
    </w:p>
    <w:p>
      <w:pPr>
        <w:pBdr>
          <w:left w:val="single" w:sz="24" w:space="6" w:color="E2DED6"/>
        </w:pBdr>
        <w:shd w:val="clear" w:color="auto" w:fill="F1EEE8"/>
        <w:spacing w:before="80" w:after="160"/>
        <w:ind w:left="142" w:right="142"/>
      </w:pPr>
      <w:r>
        <w:rPr>
          <w:b/>
        </w:rPr>
        <w:t>La idea: la conclusión de la obra es un dictamen; el veredicto, si llega, es del jurado.</w:t>
      </w:r>
    </w:p>
    <w:p>
      <w:pPr>
        <w:pStyle w:val="ListBullet"/>
      </w:pPr>
      <w:r>
        <w:rPr>
          <w:b/>
        </w:rPr>
        <w:t>El dictamen.</w:t>
      </w:r>
      <w:r>
        <w:t xml:space="preserve"> La conclusión de la obra sobre el sistema: «opinión desfavorable». Usa el formato de un informe de auditoría y no tiene valor oficial. Se explica en el </w:t>
      </w:r>
      <w:r>
        <w:t>capítulo 9</w:t>
      </w:r>
      <w:r>
        <w:t>.</w:t>
      </w:r>
    </w:p>
    <w:p>
      <w:pPr>
        <w:pStyle w:val="ListBullet"/>
      </w:pPr>
      <w:r>
        <w:rPr>
          <w:b/>
        </w:rPr>
        <w:t>El veredicto.</w:t>
      </w:r>
      <w:r>
        <w:t xml:space="preserve"> Solo el que dé el jurado del juicio popular de la verdad. Se explica en </w:t>
      </w:r>
      <w:r>
        <w:t>11.1</w:t>
      </w:r>
      <w:r>
        <w:t>.</w:t>
      </w:r>
    </w:p>
    <w:p>
      <w:pPr>
        <w:pStyle w:val="ListBullet"/>
      </w:pPr>
      <w:r>
        <w:rPr>
          <w:b/>
        </w:rPr>
        <w:t>La quiebra camuflada.</w:t>
      </w:r>
      <w:r>
        <w:t xml:space="preserve"> </w:t>
      </w:r>
      <w:r>
        <w:rPr>
          <w:i/>
        </w:rPr>
        <w:t>Conclusión, lo que arrojan los datos:</w:t>
      </w:r>
      <w:r>
        <w:t xml:space="preserve"> con la vara que se aplica a cualquier persona o empresa, el sistema estaría en causa de disolución, y la ley que él mismo escribe lo excluye del concurso. </w:t>
      </w:r>
      <w:r>
        <w:rPr>
          <w:i/>
        </w:rPr>
        <w:t>Lectura del autor:</w:t>
      </w:r>
      <w:r>
        <w:t xml:space="preserve"> eso es una quiebra camuflada; el camuflaje no es el secreto, sino la complejidad. Se explica en </w:t>
      </w:r>
      <w:r>
        <w:t>9.1</w:t>
      </w:r>
      <w:r>
        <w:t>.</w:t>
      </w:r>
    </w:p>
    <w:p>
      <w:pPr>
        <w:pStyle w:val="ListBullet"/>
      </w:pPr>
      <w:r>
        <w:rPr>
          <w:b/>
        </w:rPr>
        <w:t>La auctoritas.</w:t>
      </w:r>
      <w:r>
        <w:t xml:space="preserve"> Del latín </w:t>
      </w:r>
      <w:r>
        <w:rPr>
          <w:i/>
        </w:rPr>
        <w:t>augere</w:t>
      </w:r>
      <w:r>
        <w:t xml:space="preserve">, «hacer crecer»: la autoridad que se gana haciendo crecer a quienes la sostienen. Se explica en </w:t>
      </w:r>
      <w:r>
        <w:t>6.2</w:t>
      </w:r>
      <w:r>
        <w:t>.</w:t>
      </w:r>
    </w:p>
    <w:p>
      <w:r>
        <w:t>[glosario único 7.1 a 7.3; 00.0-10.10]</w:t>
      </w:r>
    </w:p>
    <w:p>
      <w:pPr>
        <w:pStyle w:val="Heading2"/>
      </w:pPr>
      <w:r>
        <w:t>H.8 La salida</w:t>
      </w:r>
    </w:p>
    <w:p>
      <w:pPr>
        <w:pBdr>
          <w:left w:val="single" w:sz="24" w:space="6" w:color="E2DED6"/>
        </w:pBdr>
        <w:shd w:val="clear" w:color="auto" w:fill="F1EEE8"/>
        <w:spacing w:before="80" w:after="160"/>
        <w:ind w:left="142" w:right="142"/>
      </w:pPr>
      <w:r>
        <w:rPr>
          <w:b/>
        </w:rPr>
        <w:t>La idea: la salida que propone la obra es la metamorfosis del Estado, por escrito y sin violencia, y el juicio popular de la verdad.</w:t>
      </w:r>
    </w:p>
    <w:p>
      <w:pPr>
        <w:pStyle w:val="ListBullet"/>
      </w:pPr>
      <w:r>
        <w:rPr>
          <w:b/>
        </w:rPr>
        <w:t>La metamorfosis del Estado.</w:t>
      </w:r>
      <w:r>
        <w:t xml:space="preserve"> No se reclama un Estado nuevo: la obra invita a que el Estado actual se alinee con el orden de las leyes y sirva al bien común, porque solo así recupera su legitimidad. El camino, en cuatro verbos: compensar, declarar, pedir con constancia escrita y deslindar. Se explica en </w:t>
      </w:r>
      <w:r>
        <w:t>10.2</w:t>
      </w:r>
      <w:r>
        <w:t>.</w:t>
      </w:r>
    </w:p>
    <w:p>
      <w:pPr>
        <w:pStyle w:val="ListBullet"/>
      </w:pPr>
      <w:r>
        <w:rPr>
          <w:b/>
        </w:rPr>
        <w:t>Disolver.</w:t>
      </w:r>
      <w:r>
        <w:t xml:space="preserve"> No es destruir ni derribar: es auditar a fondo para separar lo que sirve de lo que daña.</w:t>
      </w:r>
    </w:p>
    <w:p>
      <w:pPr>
        <w:pStyle w:val="ListBullet"/>
      </w:pPr>
      <w:r>
        <w:rPr>
          <w:b/>
        </w:rPr>
        <w:t>El cierre.</w:t>
      </w:r>
      <w:r>
        <w:t xml:space="preserve"> El final de esta forma de gobierno, no de la comunidad, ni del orden, ni de la ley. Su puerta legal es la revisión total de la Constitución.</w:t>
      </w:r>
    </w:p>
    <w:p>
      <w:pPr>
        <w:pStyle w:val="ListBullet"/>
      </w:pPr>
      <w:r>
        <w:rPr>
          <w:b/>
        </w:rPr>
        <w:t>Discernir</w:t>
      </w:r>
      <w:r>
        <w:t xml:space="preserve">, y </w:t>
      </w:r>
      <w:r>
        <w:rPr>
          <w:b/>
        </w:rPr>
        <w:t>la depuración sin venganza.</w:t>
      </w:r>
      <w:r>
        <w:t xml:space="preserve"> Discernir es separar: el grano de la paja, caso a caso, con pruebas y derecho de defensa. La depuración sin venganza es ese mismo trabajo aplicado a las responsabilidades. Se explica en </w:t>
      </w:r>
      <w:r>
        <w:t>10.3</w:t>
      </w:r>
      <w:r>
        <w:t>.</w:t>
      </w:r>
    </w:p>
    <w:p>
      <w:pPr>
        <w:pStyle w:val="ListBullet"/>
      </w:pPr>
      <w:r>
        <w:rPr>
          <w:b/>
        </w:rPr>
        <w:t>La compensación.</w:t>
      </w:r>
      <w:r>
        <w:t xml:space="preserve"> Lo que el sistema debe al ciudadano. No puede pagarse con más deuda contra el mismo ciudadano: sale de quien se ha enriquecido, probado caso a caso, con derecho de defensa y nunca por apellido ni por parentesco. Se explica en </w:t>
      </w:r>
      <w:r>
        <w:t>10.6</w:t>
      </w:r>
      <w:r>
        <w:t>.</w:t>
      </w:r>
    </w:p>
    <w:p>
      <w:pPr>
        <w:pStyle w:val="ListBullet"/>
      </w:pPr>
      <w:r>
        <w:rPr>
          <w:b/>
        </w:rPr>
        <w:t>La constancia.</w:t>
      </w:r>
      <w:r>
        <w:t xml:space="preserve"> Dejar por escrito lo que se pide y lo que se responde, o el silencio. Quien deja constancia ya no puede ser ignorado sin que quede registrado. Se explica en </w:t>
      </w:r>
      <w:r>
        <w:t>10.4</w:t>
      </w:r>
      <w:r>
        <w:t>.</w:t>
      </w:r>
    </w:p>
    <w:p>
      <w:pPr>
        <w:pStyle w:val="ListBullet"/>
      </w:pPr>
      <w:r>
        <w:rPr>
          <w:b/>
        </w:rPr>
        <w:t>El Registro de los frutos</w:t>
      </w:r>
      <w:r>
        <w:t xml:space="preserve">, después </w:t>
      </w:r>
      <w:r>
        <w:rPr>
          <w:b/>
        </w:rPr>
        <w:t>el Registro.</w:t>
      </w:r>
      <w:r>
        <w:t xml:space="preserve"> El archivo público que la obra propone: cada ciudadano dejará constancia de sus escritos al Estado y de la respuesta o el silencio, con un código para que cualquiera lo compruebe, y sus datos personales solo se publicarán si lo autoriza. Se explica en </w:t>
      </w:r>
      <w:r>
        <w:t>10.8</w:t>
      </w:r>
      <w:r>
        <w:t>.</w:t>
      </w:r>
    </w:p>
    <w:p>
      <w:pPr>
        <w:pStyle w:val="ListBullet"/>
      </w:pPr>
      <w:r>
        <w:rPr>
          <w:b/>
        </w:rPr>
        <w:t>La petición documentada</w:t>
      </w:r>
      <w:r>
        <w:t xml:space="preserve">, y </w:t>
      </w:r>
      <w:r>
        <w:rPr>
          <w:b/>
        </w:rPr>
        <w:t>la pregunta.</w:t>
      </w:r>
      <w:r>
        <w:t xml:space="preserve"> El escrito con que se pide al Estado, y la pregunta que lo resume: «¿Me puede explicar qué es lo que le legitima para solicitarme esto?». Es el principio de legalidad dicho en llano. Se explica en </w:t>
      </w:r>
      <w:r>
        <w:t>10.4</w:t>
      </w:r>
      <w:r>
        <w:t>.</w:t>
      </w:r>
    </w:p>
    <w:p>
      <w:pPr>
        <w:pStyle w:val="ListBullet"/>
      </w:pPr>
      <w:r>
        <w:rPr>
          <w:b/>
        </w:rPr>
        <w:t>El deslinde.</w:t>
      </w:r>
      <w:r>
        <w:t xml:space="preserve"> Pedir, con las dos partes presentes, que el límite entre lo que corresponde al Estado y lo que corresponde a la persona se vuelva a marcar donde debió estar. No es una acusación ni una demanda de derribo. Se explica en </w:t>
      </w:r>
      <w:r>
        <w:t>10.7</w:t>
      </w:r>
      <w:r>
        <w:t>.</w:t>
      </w:r>
    </w:p>
    <w:p>
      <w:pPr>
        <w:pStyle w:val="ListBullet"/>
      </w:pPr>
      <w:r>
        <w:rPr>
          <w:b/>
        </w:rPr>
        <w:t>El botiquín de escritos.</w:t>
      </w:r>
      <w:r>
        <w:t xml:space="preserve"> Los modelos de escrito listos para rellenar, con sus artículos y plazos. Se explica en </w:t>
      </w:r>
      <w:r>
        <w:t>10.5</w:t>
      </w:r>
      <w:r>
        <w:t xml:space="preserve">; los modelos, en el </w:t>
      </w:r>
      <w:r>
        <w:t>anexo D</w:t>
      </w:r>
      <w:r>
        <w:t>.</w:t>
      </w:r>
    </w:p>
    <w:p>
      <w:pPr>
        <w:pStyle w:val="ListBullet"/>
      </w:pPr>
      <w:r>
        <w:rPr>
          <w:b/>
        </w:rPr>
        <w:t>El juicio popular de la verdad.</w:t>
      </w:r>
      <w:r>
        <w:t xml:space="preserve"> Un tribunal de opinión, sin carácter oficial y sin fuerza legal: un jurado elegido por sorteo juzga al Estado institución por institución, y nunca a personas con nombre. Se explica en </w:t>
      </w:r>
      <w:r>
        <w:t>11.1</w:t>
      </w:r>
      <w:r>
        <w:t>. Sus reglas (</w:t>
      </w:r>
      <w:r>
        <w:t>11.1</w:t>
      </w:r>
      <w:r>
        <w:t>): cada voto razonado por escrito y público; nadie juzga donde tiene interés, caso a caso; la institución juzgada también puede recusar; ningún examen de ideas. Su documentación es la obra entera, su prueba documental: lo que la humanidad guardó, las leyes del Estado y los datos de sus organismos, con su fuente (</w:t>
      </w:r>
      <w:r>
        <w:t>11.1</w:t>
      </w:r>
      <w:r>
        <w:t>).</w:t>
      </w:r>
    </w:p>
    <w:p>
      <w:pPr>
        <w:pStyle w:val="ListBullet"/>
      </w:pPr>
      <w:r>
        <w:rPr>
          <w:b/>
        </w:rPr>
        <w:t>El pliego de cargos</w:t>
      </w:r>
      <w:r>
        <w:t xml:space="preserve">, y </w:t>
      </w:r>
      <w:r>
        <w:rPr>
          <w:b/>
        </w:rPr>
        <w:t>el cargo.</w:t>
      </w:r>
      <w:r>
        <w:t xml:space="preserve"> La lista de acusaciones contra el Estado, institución por institución; y cada una de ellas. Se explica en </w:t>
      </w:r>
      <w:r>
        <w:t>11.3</w:t>
      </w:r>
      <w:r>
        <w:t>.</w:t>
      </w:r>
    </w:p>
    <w:p>
      <w:pPr>
        <w:pStyle w:val="ListBullet"/>
      </w:pPr>
      <w:r>
        <w:rPr>
          <w:b/>
        </w:rPr>
        <w:t>Las preguntas para el juicio</w:t>
      </w:r>
      <w:r>
        <w:t xml:space="preserve">, </w:t>
      </w:r>
      <w:r>
        <w:rPr>
          <w:b/>
        </w:rPr>
        <w:t>las preguntas para el relevo</w:t>
      </w:r>
      <w:r>
        <w:t xml:space="preserve"> y </w:t>
      </w:r>
      <w:r>
        <w:rPr>
          <w:b/>
        </w:rPr>
        <w:t>el relevo.</w:t>
      </w:r>
      <w:r>
        <w:t xml:space="preserve"> Las preguntas para el juicio van dirigidas a las instituciones, que serán invitadas a responderlas; cualquiera puede enviarlas ya por escrito. Las preguntas para el relevo son las que aún necesitan investigación. El relevo es la invitación a quien quiera continuar la obra con el mismo método: cada afirmación con su fuente, y la corrección en paz de cualquier error. Se explica en </w:t>
      </w:r>
      <w:r>
        <w:t>11.5</w:t>
      </w:r>
      <w:r>
        <w:t>.</w:t>
      </w:r>
    </w:p>
    <w:p>
      <w:pPr>
        <w:pStyle w:val="ListBullet"/>
      </w:pPr>
      <w:r>
        <w:rPr>
          <w:b/>
        </w:rPr>
        <w:t>La defensa del Estado</w:t>
      </w:r>
      <w:r>
        <w:t xml:space="preserve">, y </w:t>
      </w:r>
      <w:r>
        <w:rPr>
          <w:b/>
        </w:rPr>
        <w:t>la última palabra.</w:t>
      </w:r>
      <w:r>
        <w:t xml:space="preserve"> La mejor defensa que podría dar el Estado, escrita en su propia jerga, frente a los contrapuntos de la obra, cargo por cargo; y la fórmula que cierra cada cargo: ahora, con sus propias reglas, el Estado tiene la palabra para defenderse en verdad. Se explica en </w:t>
      </w:r>
      <w:r>
        <w:t>11.1</w:t>
      </w:r>
      <w:r>
        <w:t>.</w:t>
      </w:r>
    </w:p>
    <w:p>
      <w:pPr>
        <w:pStyle w:val="ListBullet"/>
      </w:pPr>
      <w:r>
        <w:rPr>
          <w:b/>
        </w:rPr>
        <w:t>La brújula</w:t>
      </w:r>
      <w:r>
        <w:t xml:space="preserve">, y </w:t>
      </w:r>
      <w:r>
        <w:rPr>
          <w:b/>
        </w:rPr>
        <w:t>las preguntas de espejo.</w:t>
      </w:r>
      <w:r>
        <w:t xml:space="preserve"> La puerta de dentro: tres preguntas que cada lector se hace a sí mismo, sobre cómo le hace sentir vivir en este árbol, cómo lo vive el otro y a qué da su consentimiento. Es una señal, no una prueba: se lee junto a los frutos. Se explica en </w:t>
      </w:r>
      <w:r>
        <w:t>10.9</w:t>
      </w:r>
      <w:r>
        <w:t>.</w:t>
      </w:r>
    </w:p>
    <w:p>
      <w:r>
        <w:t>[glosario único 8.1 a 8.14; 00.0-10.14 y 10.16]</w:t>
      </w:r>
    </w:p>
    <w:p>
      <w:pPr>
        <w:pStyle w:val="Heading2"/>
      </w:pPr>
      <w:r>
        <w:t>H.9 Lo que solo va como lectura del autor</w:t>
      </w:r>
    </w:p>
    <w:p>
      <w:pPr>
        <w:pBdr>
          <w:left w:val="single" w:sz="24" w:space="6" w:color="E2DED6"/>
        </w:pBdr>
        <w:shd w:val="clear" w:color="auto" w:fill="F1EEE8"/>
        <w:spacing w:before="80" w:after="160"/>
        <w:ind w:left="142" w:right="142"/>
      </w:pPr>
      <w:r>
        <w:rPr>
          <w:b/>
        </w:rPr>
        <w:t>La idea: estas palabras no son datos: van siempre bajo «Lectura del autor».</w:t>
      </w:r>
    </w:p>
    <w:p>
      <w:pPr>
        <w:pStyle w:val="ListBullet"/>
      </w:pPr>
      <w:r>
        <w:rPr>
          <w:b/>
        </w:rPr>
        <w:t>El padre de la mentira.</w:t>
      </w:r>
      <w:r>
        <w:t xml:space="preserve"> Una sola fórmula, para el engaño: «esto apunta hacia el padre de la mentira (Jn 8:44)». Nunca como dato. Se explica en </w:t>
      </w:r>
      <w:r>
        <w:t>4.4</w:t>
      </w:r>
      <w:r>
        <w:t>.</w:t>
      </w:r>
    </w:p>
    <w:p>
      <w:pPr>
        <w:pStyle w:val="ListBullet"/>
      </w:pPr>
      <w:r>
        <w:rPr>
          <w:b/>
        </w:rPr>
        <w:t>Aprendiz</w:t>
      </w:r>
      <w:r>
        <w:t xml:space="preserve"> y </w:t>
      </w:r>
      <w:r>
        <w:rPr>
          <w:b/>
        </w:rPr>
        <w:t>madurez.</w:t>
      </w:r>
      <w:r>
        <w:t xml:space="preserve"> Aprendices lo somos todos, y nadie se declara maduro a sí mismo. La madurez se reconoce por los frutos, por discernir el bien del mal con la práctica (Heb 5:14). Todo es respetable mientras no dañe al hermano o a la hermana; se discierne ahora, caso a caso, y la siega no es nuestra. Se explica en </w:t>
      </w:r>
      <w:r>
        <w:t>2.5</w:t>
      </w:r>
      <w:r>
        <w:t>.</w:t>
      </w:r>
    </w:p>
    <w:p>
      <w:pPr>
        <w:pStyle w:val="ListBullet"/>
      </w:pPr>
      <w:r>
        <w:rPr>
          <w:b/>
        </w:rPr>
        <w:t>Cuando algo clama al cielo.</w:t>
      </w:r>
      <w:r>
        <w:t xml:space="preserve"> Solo cuando un hecho verificado toca lo que clama al cielo (el pueblo oprimido; el extranjero, la viuda y el huérfano; el jornal del obrero), y nunca dicho de una persona o de un colectivo con nombre. Es un aviso, para rectificar y tomar conciencia; «último aviso», una sola vez, en el llamamiento final. Se explica en </w:t>
      </w:r>
      <w:r>
        <w:t>11.6</w:t>
      </w:r>
      <w:r>
        <w:t>.</w:t>
      </w:r>
    </w:p>
    <w:p>
      <w:r>
        <w:t>[glosario único 9.1 a 9.3]</w:t>
      </w:r>
    </w:p>
    <w:p>
      <w:pPr>
        <w:pStyle w:val="Heading2"/>
      </w:pPr>
      <w:r>
        <w:t>H.10 Las máximas latinas</w:t>
      </w:r>
    </w:p>
    <w:p>
      <w:pPr>
        <w:pBdr>
          <w:left w:val="single" w:sz="24" w:space="6" w:color="E2DED6"/>
        </w:pBdr>
        <w:shd w:val="clear" w:color="auto" w:fill="F1EEE8"/>
        <w:spacing w:before="80" w:after="160"/>
        <w:ind w:left="142" w:right="142"/>
      </w:pPr>
      <w:r>
        <w:rPr>
          <w:b/>
        </w:rPr>
        <w:t>La idea: las máximas que la tradición jurídica dejó escritas, cada una con su traducción y su fuente; ninguna anula una ley con solo citarla.</w:t>
      </w:r>
    </w:p>
    <w:p>
      <w:r>
        <w:t>Muchas nacieron en el derecho romano (el Digesto y el Código de Justiniano), otras en el derecho de la Iglesia (el Decreto de Graciano y el Liber Sextus) y en el derecho inglés, y hoy siguen en los diccionarios jurídicos, como el Diccionario panhispánico del español jurídico. Son costumbre jurídica escrita. Usarlas bien exige decir, en cada caso, en qué sentido se usan, con el mismo cuidado que cualquier ley escrita. Y ninguna anula una ley con solo citarla: su fuerza depende de que el derecho vigente la haya recogido (</w:t>
      </w:r>
      <w:r>
        <w:t>capítulo 1</w:t>
      </w:r>
      <w:r>
        <w:t>, «Límite honesto de la prueba»).</w:t>
      </w:r>
    </w:p>
    <w:p>
      <w:r>
        <w:t xml:space="preserve">Siete ya están en </w:t>
      </w:r>
      <w:r>
        <w:t>8.5</w:t>
      </w:r>
      <w:r>
        <w:t xml:space="preserve"> (n.º 12), con su fuente, y aquí solo se nombran: </w:t>
      </w:r>
      <w:r>
        <w:rPr>
          <w:i/>
        </w:rPr>
        <w:t>in dubio pro administrado</w:t>
      </w:r>
      <w:r>
        <w:t xml:space="preserve">, </w:t>
      </w:r>
      <w:r>
        <w:rPr>
          <w:i/>
        </w:rPr>
        <w:t>in dubio pro libertate</w:t>
      </w:r>
      <w:r>
        <w:t xml:space="preserve">, </w:t>
      </w:r>
      <w:r>
        <w:rPr>
          <w:i/>
        </w:rPr>
        <w:t>in dubio pro cive</w:t>
      </w:r>
      <w:r>
        <w:t xml:space="preserve">, </w:t>
      </w:r>
      <w:r>
        <w:rPr>
          <w:i/>
        </w:rPr>
        <w:t>permissum id esse intellegitur, quod non prohibetur</w:t>
      </w:r>
      <w:r>
        <w:t xml:space="preserve">, </w:t>
      </w:r>
      <w:r>
        <w:rPr>
          <w:i/>
        </w:rPr>
        <w:t>nemo iudex sine actore</w:t>
      </w:r>
      <w:r>
        <w:t xml:space="preserve">, </w:t>
      </w:r>
      <w:r>
        <w:rPr>
          <w:i/>
        </w:rPr>
        <w:t>nemo tenetur se ipsum accusare</w:t>
      </w:r>
      <w:r>
        <w:t xml:space="preserve"> y </w:t>
      </w:r>
      <w:r>
        <w:rPr>
          <w:i/>
        </w:rPr>
        <w:t>vis est et tunc, quotiens quis id, quod deberi sibi putat, non per iudicem reposcit</w:t>
      </w:r>
      <w:r>
        <w:t xml:space="preserve">. Y </w:t>
      </w:r>
      <w:r>
        <w:rPr>
          <w:i/>
        </w:rPr>
        <w:t>lex iniusta non est lex</w:t>
      </w:r>
      <w:r>
        <w:t xml:space="preserve"> («la ley injusta no es ley») está en 1.6.</w:t>
      </w:r>
    </w:p>
    <w:p>
      <w:r>
        <w:t>Cuando una máxima, con esas palabras, no está en la fuente antigua, se dice dónde está su idea, con las palabras de esa fuente.</w:t>
      </w:r>
    </w:p>
    <w:p>
      <w:pPr>
        <w:pStyle w:val="Heading3"/>
      </w:pPr>
      <w:r>
        <w:t>Derecho natural y equidad</w:t>
      </w:r>
    </w:p>
    <w:p>
      <w:pPr>
        <w:pStyle w:val="ListBullet"/>
      </w:pPr>
      <w:r>
        <w:rPr>
          <w:i/>
        </w:rPr>
        <w:t>Salus populi suprema lex esto</w:t>
      </w:r>
      <w:r>
        <w:t xml:space="preserve"> («que el bien del pueblo sea la ley suprema»)</w:t>
      </w:r>
      <w:r>
        <w:t xml:space="preserve"> [original: «Ollis salus populi suprema lex esto»]</w:t>
      </w:r>
      <w:r>
        <w:t xml:space="preserve"> (Cicerón, De legibus III, 8)</w:t>
      </w:r>
      <w:r>
        <w:t>.</w:t>
      </w:r>
    </w:p>
    <w:p>
      <w:pPr>
        <w:pStyle w:val="ListBullet"/>
      </w:pPr>
      <w:r>
        <w:rPr>
          <w:i/>
        </w:rPr>
        <w:t>Necessitas non habet legem</w:t>
      </w:r>
      <w:r>
        <w:t xml:space="preserve"> («la necesidad no tiene ley, sino que ella misma se hace su ley»)</w:t>
      </w:r>
      <w:r>
        <w:t xml:space="preserve"> [original: «necessitas non habet legem, sed ipsa sibi facit legem»]</w:t>
      </w:r>
      <w:r>
        <w:t xml:space="preserve"> (Decreto de Graciano)</w:t>
      </w:r>
      <w:r>
        <w:t>.</w:t>
      </w:r>
    </w:p>
    <w:p>
      <w:pPr>
        <w:pStyle w:val="ListBullet"/>
      </w:pPr>
      <w:r>
        <w:rPr>
          <w:i/>
        </w:rPr>
        <w:t>Quod ad ius naturale attinet, omnes homines aequales sunt</w:t>
      </w:r>
      <w:r>
        <w:t xml:space="preserve"> («en lo que atañe al derecho natural, todos los hombres son iguales»)</w:t>
      </w:r>
      <w:r>
        <w:t xml:space="preserve"> (Diccionario panhispánico del español jurídico; Ulpiano, Digesto 50, 17, 32)</w:t>
      </w:r>
      <w:r>
        <w:t>.</w:t>
      </w:r>
    </w:p>
    <w:p>
      <w:pPr>
        <w:pStyle w:val="ListBullet"/>
      </w:pPr>
      <w:r>
        <w:rPr>
          <w:i/>
        </w:rPr>
        <w:t>Iure naturae aequum est neminem cum alterius detrimento et iniuria fieri locupletiorem</w:t>
      </w:r>
      <w:r>
        <w:t xml:space="preserve"> («es justo por derecho natural que nadie se haga más rico con detrimento e injuria de otro»)</w:t>
      </w:r>
      <w:r>
        <w:t xml:space="preserve"> (Pomponio, Digesto 50, 17, 206)</w:t>
      </w:r>
      <w:r>
        <w:t>.</w:t>
      </w:r>
    </w:p>
    <w:p>
      <w:pPr>
        <w:pStyle w:val="ListBullet"/>
      </w:pPr>
      <w:r>
        <w:rPr>
          <w:i/>
        </w:rPr>
        <w:t>Summum ius, summa iniuria</w:t>
      </w:r>
      <w:r>
        <w:t xml:space="preserve"> («excesivo derecho, excesiva injusticia»)</w:t>
      </w:r>
      <w:r>
        <w:t xml:space="preserve"> (Diccionario panhispánico del español jurídico; Cicerón, De officiis I, 33)</w:t>
      </w:r>
      <w:r>
        <w:t>.</w:t>
      </w:r>
    </w:p>
    <w:p>
      <w:pPr>
        <w:pStyle w:val="ListBullet"/>
      </w:pPr>
      <w:r>
        <w:rPr>
          <w:i/>
        </w:rPr>
        <w:t>Honeste vivere, alterum non laedere, suum cuique tribuere</w:t>
      </w:r>
      <w:r>
        <w:t xml:space="preserve"> («vivir honestamente, no dañar a otro, dar a cada uno lo suyo»): los preceptos del derecho</w:t>
      </w:r>
      <w:r>
        <w:t xml:space="preserve"> [original: «Iuris praecepta sunt haec: honeste vivere, alterum non laedere, suum cuique tribuere»]</w:t>
      </w:r>
      <w:r>
        <w:t xml:space="preserve"> (Instituciones de Justiniano 1, 1, 3)</w:t>
      </w:r>
      <w:r>
        <w:t>.</w:t>
      </w:r>
    </w:p>
    <w:p>
      <w:pPr>
        <w:pStyle w:val="ListBullet"/>
      </w:pPr>
      <w:r>
        <w:rPr>
          <w:i/>
        </w:rPr>
        <w:t>Ius est ars boni et aequi</w:t>
      </w:r>
      <w:r>
        <w:t xml:space="preserve"> («el derecho es el arte de lo bueno y lo equitativo»), la definición de Celso con que se abre el Digesto</w:t>
      </w:r>
      <w:r>
        <w:t xml:space="preserve"> (Digesto 1, 1, 1 pr.; Ulpiano cita a Celso)</w:t>
      </w:r>
      <w:r>
        <w:t>.</w:t>
      </w:r>
    </w:p>
    <w:p>
      <w:pPr>
        <w:pStyle w:val="ListBullet"/>
      </w:pPr>
      <w:r>
        <w:rPr>
          <w:i/>
        </w:rPr>
        <w:t>Malum in se</w:t>
      </w:r>
      <w:r>
        <w:t xml:space="preserve"> («malo en sí mismo»): lo que es malo por su propia naturaleza, frente a lo que solo es malo porque una ley lo prohíbe (</w:t>
      </w:r>
      <w:r>
        <w:rPr>
          <w:i/>
        </w:rPr>
        <w:t>malum prohibitum</w:t>
      </w:r>
      <w:r>
        <w:t>).</w:t>
      </w:r>
    </w:p>
    <w:p>
      <w:pPr>
        <w:pStyle w:val="ListBullet"/>
      </w:pPr>
      <w:r>
        <w:rPr>
          <w:i/>
        </w:rPr>
        <w:t>Ex nihilo nihil fit</w:t>
      </w:r>
      <w:r>
        <w:t xml:space="preserve"> («de la nada, nada proviene»). La idea es clásica, con otras palabras</w:t>
      </w:r>
      <w:r>
        <w:t xml:space="preserve"> [original: «nil igitur fieri de nilo posse fatendumst»]</w:t>
      </w:r>
      <w:r>
        <w:t xml:space="preserve"> (Lucrecio, De rerum natura I, 205)</w:t>
      </w:r>
      <w:r>
        <w:t>.</w:t>
      </w:r>
    </w:p>
    <w:p>
      <w:pPr>
        <w:pStyle w:val="ListBullet"/>
      </w:pPr>
      <w:r>
        <w:rPr>
          <w:i/>
        </w:rPr>
        <w:t>Ubi est emolumentum, ibi onus</w:t>
      </w:r>
      <w:r>
        <w:t xml:space="preserve"> («donde está el beneficio, allí debe estar la carga»). La idea está en el Digesto, con otras palabras: es conforme a la naturaleza que las ventajas de una cosa sean de quien carga con sus inconvenientes</w:t>
      </w:r>
      <w:r>
        <w:t xml:space="preserve"> [original: «Secundum naturam est commoda cuiusque rei eum sequi, quem sequentur incommoda»]</w:t>
      </w:r>
      <w:r>
        <w:t xml:space="preserve"> (Paulo, Digesto 50, 17, 10)</w:t>
      </w:r>
      <w:r>
        <w:t>.</w:t>
      </w:r>
    </w:p>
    <w:p>
      <w:pPr>
        <w:pStyle w:val="Heading3"/>
      </w:pPr>
      <w:r>
        <w:t>Debido proceso y protección de la persona</w:t>
      </w:r>
    </w:p>
    <w:p>
      <w:pPr>
        <w:pStyle w:val="ListBullet"/>
      </w:pPr>
      <w:r>
        <w:rPr>
          <w:i/>
        </w:rPr>
        <w:t>In dubio pro reo</w:t>
      </w:r>
      <w:r>
        <w:t xml:space="preserve"> («en caso de duda, a favor del reo»)</w:t>
      </w:r>
      <w:r>
        <w:t xml:space="preserve"> (Diccionario panhispánico del español jurídico)</w:t>
      </w:r>
      <w:r>
        <w:t>. Con esas palabras no está en el Digesto; el diccionario la relaciona con Gayo: se debe favorecer más a los reos que a los actores</w:t>
      </w:r>
      <w:r>
        <w:t xml:space="preserve"> [original: «favorabiliores rei potius quam actores habentur»]</w:t>
      </w:r>
      <w:r>
        <w:t xml:space="preserve"> (Gayo, Digesto 50, 17, 125)</w:t>
      </w:r>
      <w:r>
        <w:t>.</w:t>
      </w:r>
    </w:p>
    <w:p>
      <w:pPr>
        <w:pStyle w:val="ListBullet"/>
      </w:pPr>
      <w:r>
        <w:rPr>
          <w:i/>
        </w:rPr>
        <w:t>Nemo tenetur se detegere</w:t>
      </w:r>
      <w:r>
        <w:t xml:space="preserve"> («nadie está obligado a descubrirse»), que el diccionario recoge junto a </w:t>
      </w:r>
      <w:r>
        <w:rPr>
          <w:i/>
        </w:rPr>
        <w:t>nemo tenetur se ipsum accusare</w:t>
      </w:r>
      <w:r>
        <w:t xml:space="preserve"> (</w:t>
      </w:r>
      <w:r>
        <w:t>8.5</w:t>
      </w:r>
      <w:r>
        <w:t>, n.º 12)</w:t>
      </w:r>
      <w:r>
        <w:t xml:space="preserve"> (Diccionario panhispánico del español jurídico; la traducción, de la edición)</w:t>
      </w:r>
      <w:r>
        <w:t>.</w:t>
      </w:r>
    </w:p>
    <w:p>
      <w:pPr>
        <w:pStyle w:val="ListBullet"/>
      </w:pPr>
      <w:r>
        <w:rPr>
          <w:i/>
        </w:rPr>
        <w:t>Audi alteram partem</w:t>
      </w:r>
      <w:r>
        <w:t xml:space="preserve"> («óigase a la otra parte»), entre las reglas de la justicia</w:t>
      </w:r>
      <w:r>
        <w:t xml:space="preserve"> (Encyclopaedia Britannica, 1911)</w:t>
      </w:r>
      <w:r>
        <w:t>. Su raíz romana, con otras palabras: quien decide algo sin oír a la otra parte, aunque decida lo justo, no fue justo</w:t>
      </w:r>
      <w:r>
        <w:t xml:space="preserve"> [original: «Qui statuit aliquid parte inaudita altera, aequum licet statuerit, haud aequus fuit»]</w:t>
      </w:r>
      <w:r>
        <w:t xml:space="preserve"> (Séneca, Medea 199-200)</w:t>
      </w:r>
      <w:r>
        <w:t>.</w:t>
      </w:r>
    </w:p>
    <w:p>
      <w:pPr>
        <w:pStyle w:val="ListBullet"/>
      </w:pPr>
      <w:r>
        <w:rPr>
          <w:i/>
        </w:rPr>
        <w:t>Nullum crimen nulla poena sine lege</w:t>
      </w:r>
      <w:r>
        <w:t xml:space="preserve"> («no hay delito ni hay pena sin ley»)</w:t>
      </w:r>
      <w:r>
        <w:t xml:space="preserve"> (Diccionario panhispánico del español jurídico)</w:t>
      </w:r>
      <w:r>
        <w:t xml:space="preserve">; la pieza la citaba solo con la pena, </w:t>
      </w:r>
      <w:r>
        <w:rPr>
          <w:i/>
        </w:rPr>
        <w:t>nulla poena sine lege</w:t>
      </w:r>
      <w:r>
        <w:t>, que el diccionario cuenta entre los tres principios del derecho penal que enunció Feuerbach</w:t>
      </w:r>
      <w:r>
        <w:t xml:space="preserve"> (Diccionario panhispánico del español jurídico, «nullum crimen nulla poena sine lege»)</w:t>
      </w:r>
      <w:r>
        <w:t>. El principio está en la Declaración de 1789: nadie puede ser castigado sino en virtud de una ley establecida y promulgada antes del delito</w:t>
      </w:r>
      <w:r>
        <w:t xml:space="preserve"> [original: «nul ne peut être puni qu'en vertu d'une loi établie et promulguée antérieurement au délit»]</w:t>
      </w:r>
      <w:r>
        <w:t xml:space="preserve"> (Declaración de los Derechos del Hombre y del Ciudadano, 1789, art. 8)</w:t>
      </w:r>
      <w:r>
        <w:t>.</w:t>
      </w:r>
    </w:p>
    <w:p>
      <w:pPr>
        <w:pStyle w:val="ListBullet"/>
      </w:pPr>
      <w:r>
        <w:rPr>
          <w:i/>
        </w:rPr>
        <w:t>Nemo iudex in causa sua</w:t>
      </w:r>
      <w:r>
        <w:t xml:space="preserve"> («nadie puede ser juez en su propia causa»). En el Código de Justiniano, del año 376, con otras palabras: nadie debe ser juez de sí mismo ni decir el derecho para sí</w:t>
      </w:r>
      <w:r>
        <w:t xml:space="preserve"> [original: «Generali lege decernimus neminem sibi esse iudicem vel ius sibi dicere debere»]</w:t>
      </w:r>
      <w:r>
        <w:t xml:space="preserve"> (Código de Justiniano 3, 5, 1)</w:t>
      </w:r>
      <w:r>
        <w:t xml:space="preserve">; con la forma </w:t>
      </w:r>
      <w:r>
        <w:rPr>
          <w:i/>
        </w:rPr>
        <w:t>nemo debet esse judex in propria sua causa</w:t>
      </w:r>
      <w:r>
        <w:t>, la recoge la Britannica, que cita a Coke</w:t>
      </w:r>
      <w:r>
        <w:t xml:space="preserve"> (Encyclopaedia Britannica, 1911)</w:t>
      </w:r>
      <w:r>
        <w:t>.</w:t>
      </w:r>
    </w:p>
    <w:p>
      <w:pPr>
        <w:pStyle w:val="ListBullet"/>
      </w:pPr>
      <w:r>
        <w:rPr>
          <w:i/>
        </w:rPr>
        <w:t>Non bis in idem</w:t>
      </w:r>
      <w:r>
        <w:t xml:space="preserve"> («no dos veces por lo mismo»)</w:t>
      </w:r>
      <w:r>
        <w:t xml:space="preserve"> (Diccionario panhispánico del español jurídico)</w:t>
      </w:r>
      <w:r>
        <w:t>.</w:t>
      </w:r>
    </w:p>
    <w:p>
      <w:pPr>
        <w:pStyle w:val="ListBullet"/>
      </w:pPr>
      <w:r>
        <w:rPr>
          <w:i/>
        </w:rPr>
        <w:t>Nemo condemnatus nisi auditus vel vocatus</w:t>
      </w:r>
      <w:r>
        <w:t xml:space="preserve"> («nadie puede ser condenado sin haber sido oído y citado»). Con otras palabras, en las máximas que recogió Halkerston: nadie debe ser condenado sin ser oído ni citado, salvo que se niegue a comparecer</w:t>
      </w:r>
      <w:r>
        <w:t xml:space="preserve"> [original: «Nemo inauditus nec summonitus condemnari debet, si non sit contumax»]</w:t>
      </w:r>
      <w:r>
        <w:t xml:space="preserve"> (Halkerston, 1823)</w:t>
      </w:r>
      <w:r>
        <w:t>.</w:t>
      </w:r>
    </w:p>
    <w:p>
      <w:pPr>
        <w:pStyle w:val="ListBullet"/>
      </w:pPr>
      <w:r>
        <w:rPr>
          <w:i/>
        </w:rPr>
        <w:t>Ad impossibilia nemo tenetur</w:t>
      </w:r>
      <w:r>
        <w:t xml:space="preserve"> («nadie está obligado a cosas imposibles»)</w:t>
      </w:r>
      <w:r>
        <w:t xml:space="preserve"> (Diccionario panhispánico del español jurídico)</w:t>
      </w:r>
      <w:r>
        <w:t>. Las palabras de Celso son otras: no hay obligación de cosas imposibles</w:t>
      </w:r>
      <w:r>
        <w:t xml:space="preserve"> [original: «impossibilium nulla obligatio est»]</w:t>
      </w:r>
      <w:r>
        <w:t xml:space="preserve"> (Celso, Digesto 50, 17, 185)</w:t>
      </w:r>
      <w:r>
        <w:t>.</w:t>
      </w:r>
    </w:p>
    <w:p>
      <w:pPr>
        <w:pStyle w:val="ListBullet"/>
      </w:pPr>
      <w:r>
        <w:rPr>
          <w:i/>
        </w:rPr>
        <w:t>Actus me invito factus, non est meus actus</w:t>
      </w:r>
      <w:r>
        <w:t xml:space="preserve"> («el acto hecho por mí contra mi voluntad no es mi acto»)</w:t>
      </w:r>
      <w:r>
        <w:t xml:space="preserve"> [original: «An act done involuntarily on my part, is not my act»]</w:t>
      </w:r>
      <w:r>
        <w:t xml:space="preserve"> (Halkerston, 1823)</w:t>
      </w:r>
      <w:r>
        <w:t>.</w:t>
      </w:r>
    </w:p>
    <w:p>
      <w:pPr>
        <w:pStyle w:val="ListBullet"/>
      </w:pPr>
      <w:r>
        <w:rPr>
          <w:i/>
        </w:rPr>
        <w:t>Domus sua cuique est tutissimum refugium</w:t>
      </w:r>
      <w:r>
        <w:t xml:space="preserve"> («la casa de cada uno es su refugio más seguro»), de Edward Coke</w:t>
      </w:r>
      <w:r>
        <w:t xml:space="preserve"> (Tribunal Supremo de los Estados Unidos, Payton c. Nueva York, nota 44; fuente secundaria)</w:t>
      </w:r>
      <w:r>
        <w:t>. Hoy, el domicilio es inviolable</w:t>
      </w:r>
      <w:r>
        <w:t xml:space="preserve"> (Constitución, art. 18.2)</w:t>
      </w:r>
      <w:r>
        <w:t>.</w:t>
      </w:r>
    </w:p>
    <w:p>
      <w:pPr>
        <w:pStyle w:val="ListBullet"/>
      </w:pPr>
      <w:r>
        <w:rPr>
          <w:i/>
        </w:rPr>
        <w:t>Iudices sententiae suae rationes adducant</w:t>
      </w:r>
      <w:r>
        <w:t xml:space="preserve"> («que los jueces den las razones de su sentencia»), un aforismo de Francis Bacon sobre los tribunales de equidad</w:t>
      </w:r>
      <w:r>
        <w:t xml:space="preserve"> (Francis Bacon, De iustitia universali, aforismo 38)</w:t>
      </w:r>
      <w:r>
        <w:t>. Hoy, las sentencias serán siempre motivadas</w:t>
      </w:r>
      <w:r>
        <w:t xml:space="preserve"> (Constitución, art. 120.3)</w:t>
      </w:r>
      <w:r>
        <w:t>.</w:t>
      </w:r>
    </w:p>
    <w:p>
      <w:pPr>
        <w:pStyle w:val="ListBullet"/>
      </w:pPr>
      <w:r>
        <w:rPr>
          <w:i/>
        </w:rPr>
        <w:t>In dubio pro operario</w:t>
      </w:r>
      <w:r>
        <w:t xml:space="preserve"> («en caso de duda, a favor del trabajador»)</w:t>
      </w:r>
      <w:r>
        <w:t xml:space="preserve"> (Diccionario panhispánico del español jurídico)</w:t>
      </w:r>
      <w:r>
        <w:t>.</w:t>
      </w:r>
    </w:p>
    <w:p>
      <w:pPr>
        <w:pStyle w:val="ListBullet"/>
      </w:pPr>
      <w:r>
        <w:rPr>
          <w:i/>
        </w:rPr>
        <w:t>Testis unus, testis nullus</w:t>
      </w:r>
      <w:r>
        <w:t xml:space="preserve"> («un testigo solo, testigo nulo»). La regla está en el derecho de la Iglesia: que ningún juez admita con facilidad el testimonio de uno solo</w:t>
      </w:r>
      <w:r>
        <w:t xml:space="preserve"> [original: «Unius uero testimonium nemo iudicum in quacumque causa facile patiatur admitti»]</w:t>
      </w:r>
      <w:r>
        <w:t xml:space="preserve"> (Decreto de Graciano)</w:t>
      </w:r>
      <w:r>
        <w:t>.</w:t>
      </w:r>
    </w:p>
    <w:p>
      <w:pPr>
        <w:pStyle w:val="ListBullet"/>
      </w:pPr>
      <w:r>
        <w:rPr>
          <w:i/>
        </w:rPr>
        <w:t>Fiat iustitia et ruat caelum</w:t>
      </w:r>
      <w:r>
        <w:t xml:space="preserve"> («hágase justicia, aunque se hunda el cielo»)</w:t>
      </w:r>
      <w:r>
        <w:t xml:space="preserve"> [original: «Fiat justitia, ruat cœlum. Let justice be done, if the sky should fall»]</w:t>
      </w:r>
      <w:r>
        <w:t xml:space="preserve"> (Halkerston, 1823)</w:t>
      </w:r>
      <w:r>
        <w:t>.</w:t>
      </w:r>
    </w:p>
    <w:p>
      <w:pPr>
        <w:pStyle w:val="Heading3"/>
      </w:pPr>
      <w:r>
        <w:t>Actos propios, consentimiento y buena fe</w:t>
      </w:r>
    </w:p>
    <w:p>
      <w:pPr>
        <w:pStyle w:val="ListBullet"/>
      </w:pPr>
      <w:r>
        <w:rPr>
          <w:i/>
        </w:rPr>
        <w:t>Pacta sunt servanda</w:t>
      </w:r>
      <w:r>
        <w:t xml:space="preserve"> («los pactos deben cumplirse»)</w:t>
      </w:r>
      <w:r>
        <w:t xml:space="preserve"> (Diccionario panhispánico del español jurídico)</w:t>
      </w:r>
      <w:r>
        <w:t>.</w:t>
      </w:r>
    </w:p>
    <w:p>
      <w:pPr>
        <w:pStyle w:val="ListBullet"/>
      </w:pPr>
      <w:r>
        <w:rPr>
          <w:i/>
        </w:rPr>
        <w:t>Bona fides semper praesumitur, nisi mala adesse probetur</w:t>
      </w:r>
      <w:r>
        <w:t xml:space="preserve"> («la buena fe se presume siempre, salvo que se pruebe la mala»). Con las mismas palabras en español, en el Código Civil: «La buena fe se presume siempre, y al que afirma la mala fe de un poseedor corresponde la prueba»</w:t>
      </w:r>
      <w:r>
        <w:t xml:space="preserve"> (Código Civil, art. 434)</w:t>
      </w:r>
      <w:r>
        <w:br/>
      </w:r>
      <w:r>
        <w:rPr>
          <w:b/>
        </w:rPr>
        <w:t>leída en su fuente · Código Civil, art. 434</w:t>
      </w:r>
      <w:r>
        <w:br/>
      </w:r>
      <w:r>
        <w:rPr>
          <w:b/>
        </w:rPr>
        <w:t>Archivo leído:</w:t>
      </w:r>
      <w:r>
        <w:t xml:space="preserve"> …Codigo_Civil_consolidado.html (ant\c1\cc.html) · contraste del archivo de pasajes: ✔</w:t>
      </w:r>
      <w:r>
        <w:br/>
      </w:r>
      <w:r>
        <w:rPr>
          <w:b/>
        </w:rPr>
        <w:t>Lugar:</w:t>
      </w:r>
      <w:r>
        <w:t xml:space="preserve"> Art. 434</w:t>
      </w:r>
      <w:r>
        <w:br/>
      </w:r>
      <w:r>
        <w:rPr>
          <w:b/>
        </w:rPr>
        <w:t>Dirección:</w:t>
      </w:r>
      <w:r>
        <w:t xml:space="preserve"> </w:t>
      </w:r>
      <w:r>
        <w:t>https://www.boe.es/buscar/act.php?id=BOE-A-1889-4763#art434</w:t>
      </w:r>
      <w:r>
        <w:br/>
      </w:r>
      <w:r>
        <w:rPr>
          <w:b/>
        </w:rPr>
        <w:t>Tal como está en la fuente:</w:t>
      </w:r>
      <w:r>
        <w:t xml:space="preserve"> La buena fe se presume siempre, y al que afirma la mala fe de un poseedor corresponde la prueba.</w:t>
      </w:r>
      <w:r>
        <w:t>.</w:t>
      </w:r>
    </w:p>
    <w:p>
      <w:pPr>
        <w:pStyle w:val="ListBullet"/>
      </w:pPr>
      <w:r>
        <w:rPr>
          <w:i/>
        </w:rPr>
        <w:t>Qui tacet, consentire videtur</w:t>
      </w:r>
      <w:r>
        <w:t xml:space="preserve"> («quien calla, parece consentir»), y su límite en la regla siguiente: el que calla no confiesa, pero tampoco se considera que niegue</w:t>
      </w:r>
      <w:r>
        <w:t xml:space="preserve"> [original: «Is, qui tacet, non fatetur; sed nec utique negare videtur»]</w:t>
      </w:r>
      <w:r>
        <w:t xml:space="preserve"> (Liber Sextus, reglas 43 y 44)</w:t>
      </w:r>
      <w:r>
        <w:t>.</w:t>
      </w:r>
    </w:p>
    <w:p>
      <w:pPr>
        <w:pStyle w:val="ListBullet"/>
      </w:pPr>
      <w:r>
        <w:rPr>
          <w:i/>
        </w:rPr>
        <w:t>Volenti non fit iniuria</w:t>
      </w:r>
      <w:r>
        <w:t xml:space="preserve"> («no se comete injusticia con quien actuó voluntariamente»)</w:t>
      </w:r>
      <w:r>
        <w:t xml:space="preserve"> (Diccionario panhispánico del español jurídico)</w:t>
      </w:r>
      <w:r>
        <w:t>.</w:t>
      </w:r>
    </w:p>
    <w:p>
      <w:pPr>
        <w:pStyle w:val="ListBullet"/>
      </w:pPr>
      <w:r>
        <w:rPr>
          <w:i/>
        </w:rPr>
        <w:t>Venire contra factum proprium non licet</w:t>
      </w:r>
      <w:r>
        <w:t xml:space="preserve"> («no es lícito ir contra los propios actos»): la doctrina de los actos propios, que ya está en las Decretales, con otras palabras</w:t>
      </w:r>
      <w:r>
        <w:t xml:space="preserve"> [original: «contra factum proprium temere veniendo»]</w:t>
      </w:r>
      <w:r>
        <w:t xml:space="preserve"> (Decretales, ed. Friedberg, t. 2)</w:t>
      </w:r>
      <w:r>
        <w:t>.</w:t>
      </w:r>
    </w:p>
    <w:p>
      <w:pPr>
        <w:pStyle w:val="ListBullet"/>
      </w:pPr>
      <w:r>
        <w:rPr>
          <w:i/>
        </w:rPr>
        <w:t>Nemo auditur propriam turpitudinem allegans</w:t>
      </w:r>
      <w:r>
        <w:t xml:space="preserve"> («no se escuche a quien alega su propia torpeza»). Con otras palabras: quien alega su propia torpeza no debe ser oído</w:t>
      </w:r>
      <w:r>
        <w:t xml:space="preserve"> [original: «Allegans suam turpitudinem non est audiendus»]</w:t>
      </w:r>
      <w:r>
        <w:t xml:space="preserve"> (Halkerston, 1823)</w:t>
      </w:r>
      <w:r>
        <w:t>.</w:t>
      </w:r>
    </w:p>
    <w:p>
      <w:pPr>
        <w:pStyle w:val="ListBullet"/>
      </w:pPr>
      <w:r>
        <w:rPr>
          <w:i/>
        </w:rPr>
        <w:t>Quod omnes tangit, ab omnibus approbari debet</w:t>
      </w:r>
      <w:r>
        <w:t xml:space="preserve"> («lo que a todos afecta, por todos debe ser aprobado»)</w:t>
      </w:r>
      <w:r>
        <w:t xml:space="preserve"> [original: «Quod autem omnes uti singulos tangit, ab omnibus approbari debet»]</w:t>
      </w:r>
      <w:r>
        <w:t xml:space="preserve"> (Diccionario panhispánico del español jurídico; regla XXIX de Bonifacio VIII)</w:t>
      </w:r>
      <w:r>
        <w:t>.</w:t>
      </w:r>
    </w:p>
    <w:p>
      <w:pPr>
        <w:pStyle w:val="ListBullet"/>
      </w:pPr>
      <w:r>
        <w:rPr>
          <w:i/>
        </w:rPr>
        <w:t>Ignorantia iuris non excusat</w:t>
      </w:r>
      <w:r>
        <w:t xml:space="preserve"> («la ignorancia del derecho no excusa»)</w:t>
      </w:r>
      <w:r>
        <w:t xml:space="preserve"> (Diccionario panhispánico del español jurídico)</w:t>
      </w:r>
      <w:r>
        <w:t>. Rema en contra de «no sabía, luego no consentí», y se dice con el mismo rigor.</w:t>
      </w:r>
    </w:p>
    <w:p>
      <w:pPr>
        <w:pStyle w:val="ListBullet"/>
      </w:pPr>
      <w:r>
        <w:rPr>
          <w:i/>
        </w:rPr>
        <w:t>Iuris ignorantia non prodest adquirere volentibus, suum vero petentibus non nocet</w:t>
      </w:r>
      <w:r>
        <w:t xml:space="preserve"> («la ignorancia del derecho ni beneficia a los que quieren adquirir ni perjudica a los que reclaman lo suyo»)</w:t>
      </w:r>
      <w:r>
        <w:t xml:space="preserve"> (Diccionario panhispánico del español jurídico; Papiniano, Digesto 22, 6, 7)</w:t>
      </w:r>
      <w:r>
        <w:t>.</w:t>
      </w:r>
    </w:p>
    <w:p>
      <w:pPr>
        <w:pStyle w:val="ListBullet"/>
      </w:pPr>
      <w:r>
        <w:rPr>
          <w:i/>
        </w:rPr>
        <w:t>Nemo ex suo delicto meliorem suam condicionem facere potest</w:t>
      </w:r>
      <w:r>
        <w:t xml:space="preserve"> («nadie puede mejorar su condición por su propio delito»)</w:t>
      </w:r>
      <w:r>
        <w:t xml:space="preserve"> (Ulpiano, Digesto 50, 17, 134, 1)</w:t>
      </w:r>
      <w:r>
        <w:t>.</w:t>
      </w:r>
    </w:p>
    <w:p>
      <w:pPr>
        <w:pStyle w:val="ListBullet"/>
      </w:pPr>
      <w:r>
        <w:rPr>
          <w:i/>
        </w:rPr>
        <w:t>Nemo damnum facit, nisi qui id fecit, quod facere ius non habet</w:t>
      </w:r>
      <w:r>
        <w:t xml:space="preserve"> («nadie causa daño, sino el que hizo lo que no tenía derecho a hacer»)</w:t>
      </w:r>
      <w:r>
        <w:t xml:space="preserve"> (Paulo, Digesto 50, 17, 151)</w:t>
      </w:r>
      <w:r>
        <w:t>; y no se considera que obra con dolo quien usa de su derecho</w:t>
      </w:r>
      <w:r>
        <w:t xml:space="preserve"> [original: «Nullus videtur dolo facere, qui suo iure utitur»]</w:t>
      </w:r>
      <w:r>
        <w:t xml:space="preserve"> (Gayo, Digesto 50, 17, 55)</w:t>
      </w:r>
      <w:r>
        <w:t xml:space="preserve">. Es la forma que tiene en el Digesto lo que se suele citar como </w:t>
      </w:r>
      <w:r>
        <w:rPr>
          <w:i/>
        </w:rPr>
        <w:t>damnum non facit qui iure suo utitur</w:t>
      </w:r>
      <w:r>
        <w:t>.</w:t>
      </w:r>
    </w:p>
    <w:p>
      <w:pPr>
        <w:pStyle w:val="Heading3"/>
      </w:pPr>
      <w:r>
        <w:t>Interpretación, prueba y procedimiento</w:t>
      </w:r>
    </w:p>
    <w:p>
      <w:pPr>
        <w:pStyle w:val="ListBullet"/>
      </w:pPr>
      <w:r>
        <w:rPr>
          <w:i/>
        </w:rPr>
        <w:t>Da mihi factum, dabo tibi ius</w:t>
      </w:r>
      <w:r>
        <w:t xml:space="preserve"> («dame un hecho, yo te daré el derecho»): las partes aportan los hechos, y el juez aplica el derecho. Lo usa el Tribunal Supremo</w:t>
      </w:r>
      <w:r>
        <w:t xml:space="preserve"> (STS 241/2013)</w:t>
      </w:r>
      <w:r>
        <w:t>.</w:t>
      </w:r>
    </w:p>
    <w:p>
      <w:pPr>
        <w:pStyle w:val="ListBullet"/>
      </w:pPr>
      <w:r>
        <w:rPr>
          <w:i/>
        </w:rPr>
        <w:t>Ubi lex non distinguit, nec nos distinguere debemus</w:t>
      </w:r>
      <w:r>
        <w:t xml:space="preserve"> («donde la ley no diferencia, tampoco debemos diferenciar nosotros»). Lo usa el Tribunal Constitucional</w:t>
      </w:r>
      <w:r>
        <w:t xml:space="preserve"> (STC 137/2025)</w:t>
      </w:r>
      <w:r>
        <w:t>.</w:t>
      </w:r>
    </w:p>
    <w:p>
      <w:pPr>
        <w:pStyle w:val="ListBullet"/>
      </w:pPr>
      <w:r>
        <w:rPr>
          <w:i/>
        </w:rPr>
        <w:t>Locus regit actum</w:t>
      </w:r>
      <w:r>
        <w:t xml:space="preserve"> («el lugar rige el acto»)</w:t>
      </w:r>
      <w:r>
        <w:t xml:space="preserve"> [original: «The place governs the act»]</w:t>
      </w:r>
      <w:r>
        <w:t xml:space="preserve"> (Cotterell, 1913, n.º 144)</w:t>
      </w:r>
      <w:r>
        <w:t>: la forma de los actos se rige por la ley del lugar donde se celebran</w:t>
      </w:r>
      <w:r>
        <w:t xml:space="preserve"> (Código Civil, art. 11.1)</w:t>
      </w:r>
      <w:r>
        <w:t>.</w:t>
      </w:r>
    </w:p>
    <w:p>
      <w:pPr>
        <w:pStyle w:val="ListBullet"/>
      </w:pPr>
      <w:r>
        <w:rPr>
          <w:i/>
        </w:rPr>
        <w:t>Ei incumbit probatio qui dicit, non qui negat</w:t>
      </w:r>
      <w:r>
        <w:t xml:space="preserve"> («incumbe la prueba al que afirma, no al que niega»)</w:t>
      </w:r>
      <w:r>
        <w:t xml:space="preserve"> (Paulo, Digesto 22, 3, 2; Diccionario panhispánico del español jurídico)</w:t>
      </w:r>
      <w:r>
        <w:t xml:space="preserve">. </w:t>
      </w:r>
      <w:r>
        <w:rPr>
          <w:i/>
        </w:rPr>
        <w:t>Onus probandi incumbit ei qui dicit</w:t>
      </w:r>
      <w:r>
        <w:t xml:space="preserve"> es una forma posterior.</w:t>
      </w:r>
    </w:p>
    <w:p>
      <w:pPr>
        <w:pStyle w:val="ListBullet"/>
      </w:pPr>
      <w:r>
        <w:rPr>
          <w:i/>
        </w:rPr>
        <w:t>Iura novit curia</w:t>
      </w:r>
      <w:r>
        <w:t xml:space="preserve"> («el tribunal conoce el derecho»)</w:t>
      </w:r>
      <w:r>
        <w:t xml:space="preserve"> (STS 241/2013)</w:t>
      </w:r>
      <w:r>
        <w:t>.</w:t>
      </w:r>
    </w:p>
    <w:p>
      <w:pPr>
        <w:pStyle w:val="ListBullet"/>
      </w:pPr>
      <w:r>
        <w:rPr>
          <w:i/>
        </w:rPr>
        <w:t>Res iudicata pro veritate habetur</w:t>
      </w:r>
      <w:r>
        <w:t xml:space="preserve"> («la cosa juzgada se tiene por verdad»)</w:t>
      </w:r>
      <w:r>
        <w:t xml:space="preserve"> (Diccionario panhispánico del español jurídico)</w:t>
      </w:r>
      <w:r>
        <w:t>.</w:t>
      </w:r>
    </w:p>
    <w:p>
      <w:pPr>
        <w:pStyle w:val="ListBullet"/>
      </w:pPr>
      <w:r>
        <w:rPr>
          <w:i/>
        </w:rPr>
        <w:t>De minimis non curat praetor</w:t>
      </w:r>
      <w:r>
        <w:t xml:space="preserve"> («de los asuntos intrascendentes no se ocupa el magistrado»)</w:t>
      </w:r>
      <w:r>
        <w:t xml:space="preserve"> (Diccionario panhispánico del español jurídico)</w:t>
      </w:r>
      <w:r>
        <w:t xml:space="preserve">; se cita también como </w:t>
      </w:r>
      <w:r>
        <w:rPr>
          <w:i/>
        </w:rPr>
        <w:t>de minimis non curat lex</w:t>
      </w:r>
      <w:r>
        <w:t>.</w:t>
      </w:r>
    </w:p>
    <w:p>
      <w:pPr>
        <w:pStyle w:val="ListBullet"/>
      </w:pPr>
      <w:r>
        <w:rPr>
          <w:i/>
        </w:rPr>
        <w:t>Sublata causa, tollitur effectus</w:t>
      </w:r>
      <w:r>
        <w:t xml:space="preserve"> («suprimida la causa, cesa el efecto»)</w:t>
      </w:r>
      <w:r>
        <w:t xml:space="preserve"> (Cotterell, 1913, n.º 258)</w:t>
      </w:r>
      <w:r>
        <w:t>.</w:t>
      </w:r>
    </w:p>
    <w:p>
      <w:pPr>
        <w:pStyle w:val="ListBullet"/>
      </w:pPr>
      <w:r>
        <w:rPr>
          <w:i/>
        </w:rPr>
        <w:t>Solvitur ambulando</w:t>
      </w:r>
      <w:r>
        <w:t xml:space="preserve"> («se resuelve caminando»): un problema se resuelve con la experiencia, no solo con el debate. La frase es una fórmula posterior; lo que cuenta Diógenes Laercio es que, cuando alguien afirmó que no existe el movimiento, Diógenes el Cínico se levantó y echó a andar</w:t>
      </w:r>
      <w:r>
        <w:t xml:space="preserve"> [original: «he got up and walked about»]</w:t>
      </w:r>
      <w:r>
        <w:t xml:space="preserve"> (Diógenes Laercio, Vidas VI, 39, trad. de Hicks)</w:t>
      </w:r>
      <w:r>
        <w:t>.</w:t>
      </w:r>
    </w:p>
    <w:p>
      <w:pPr>
        <w:pStyle w:val="Heading3"/>
      </w:pPr>
      <w:r>
        <w:t>Origen y prioridad del derecho</w:t>
      </w:r>
    </w:p>
    <w:p>
      <w:pPr>
        <w:pStyle w:val="ListBullet"/>
      </w:pPr>
      <w:r>
        <w:rPr>
          <w:i/>
        </w:rPr>
        <w:t>Prior tempore, potior iure</w:t>
      </w:r>
      <w:r>
        <w:t xml:space="preserve"> («primero en el tiempo, preferido en el derecho»)</w:t>
      </w:r>
      <w:r>
        <w:t xml:space="preserve"> (Diccionario panhispánico del español jurídico)</w:t>
      </w:r>
      <w:r>
        <w:t>: la prioridad entre derechos iguales sobre una misma cosa, no una regla general de antigüedad.</w:t>
      </w:r>
    </w:p>
    <w:p>
      <w:pPr>
        <w:pStyle w:val="ListBullet"/>
      </w:pPr>
      <w:r>
        <w:rPr>
          <w:i/>
        </w:rPr>
        <w:t>Fictio legis neminem laedit</w:t>
      </w:r>
      <w:r>
        <w:t xml:space="preserve"> («la ficción legal no perjudica a nadie»)</w:t>
      </w:r>
      <w:r>
        <w:t xml:space="preserve"> [original: «Fictio legis neminem lædit. A fiction of law injures no one»]</w:t>
      </w:r>
      <w:r>
        <w:t xml:space="preserve"> (Black's Law Dictionary, 1910; fuente secundaria)</w:t>
      </w:r>
      <w:r>
        <w:t>.</w:t>
      </w:r>
    </w:p>
    <w:p>
      <w:pPr>
        <w:pStyle w:val="ListBullet"/>
      </w:pPr>
      <w:r>
        <w:rPr>
          <w:i/>
        </w:rPr>
        <w:t>Quod initio vitiosum est, non potest tractu temporis convalescere</w:t>
      </w:r>
      <w:r>
        <w:t xml:space="preserve"> («lo que nace viciado no sana con el tiempo»)</w:t>
      </w:r>
      <w:r>
        <w:t xml:space="preserve"> (Paulo, Digesto 50, 17, 29)</w:t>
      </w:r>
      <w:r>
        <w:t>.</w:t>
      </w:r>
    </w:p>
    <w:p>
      <w:pPr>
        <w:pStyle w:val="ListBullet"/>
      </w:pPr>
      <w:r>
        <w:rPr>
          <w:i/>
        </w:rPr>
        <w:t>Nemo plus iuris ad alium transferre potest, quam ipse haberet</w:t>
      </w:r>
      <w:r>
        <w:t xml:space="preserve"> («nadie puede transferir a otro más derecho del que él mismo tiene»)</w:t>
      </w:r>
      <w:r>
        <w:t xml:space="preserve"> (Diccionario panhispánico del español jurídico; Ulpiano, Digesto 50, 17, 54)</w:t>
      </w:r>
      <w:r>
        <w:t xml:space="preserve">; y su forma breve, </w:t>
      </w:r>
      <w:r>
        <w:rPr>
          <w:i/>
        </w:rPr>
        <w:t>nemo dat quod non habet</w:t>
      </w:r>
      <w:r>
        <w:t xml:space="preserve"> («nadie da lo que no tiene»)</w:t>
      </w:r>
      <w:r>
        <w:t xml:space="preserve"> (ídem)</w:t>
      </w:r>
      <w:r>
        <w:t>.</w:t>
      </w:r>
    </w:p>
    <w:p>
      <w:pPr>
        <w:pStyle w:val="ListBullet"/>
      </w:pPr>
      <w:r>
        <w:rPr>
          <w:i/>
        </w:rPr>
        <w:t>Societas delinquere non potest</w:t>
      </w:r>
      <w:r>
        <w:t xml:space="preserve"> («la sociedad no puede delinquir»). La frase no está en las fuentes romanas leídas; su raíz es la pregunta de Ulpiano: ¿qué dolo pueden cometer los munícipes?</w:t>
      </w:r>
      <w:r>
        <w:t xml:space="preserve"> [original: «quid enim municipes dolo facere possunt?»]</w:t>
      </w:r>
      <w:r>
        <w:t xml:space="preserve"> (Ulpiano, Digesto 4, 3, 15, 1)</w:t>
      </w:r>
      <w:r>
        <w:t>.</w:t>
      </w:r>
    </w:p>
    <w:p>
      <w:pPr>
        <w:pStyle w:val="ListBullet"/>
      </w:pPr>
      <w:r>
        <w:rPr>
          <w:i/>
        </w:rPr>
        <w:t>Rebus sic stantibus</w:t>
      </w:r>
      <w:r>
        <w:t xml:space="preserve"> («estando así las cosas»): un pacto obliga mientras se mantengan las circunstancias que lo motivaron</w:t>
      </w:r>
      <w:r>
        <w:t xml:space="preserve"> [original: «At this point of affairs; in these circumstances»]</w:t>
      </w:r>
      <w:r>
        <w:t xml:space="preserve"> (Black's Law Dictionary, 1910; fuente secundaria)</w:t>
      </w:r>
      <w:r>
        <w:t>.</w:t>
      </w:r>
    </w:p>
    <w:p>
      <w:pPr>
        <w:pStyle w:val="ListBullet"/>
      </w:pPr>
      <w:r>
        <w:rPr>
          <w:i/>
        </w:rPr>
        <w:t>Vigilantibus non dormientibus iura subveniunt</w:t>
      </w:r>
      <w:r>
        <w:t xml:space="preserve"> («el derecho protege a los vigilantes, no a los que duermen»)</w:t>
      </w:r>
      <w:r>
        <w:t xml:space="preserve"> (Encyclopaedia Britannica, 1911)</w:t>
      </w:r>
      <w:r>
        <w:t>. Su raíz, en el Digesto: el derecho civil está escrito para los vigilantes</w:t>
      </w:r>
      <w:r>
        <w:t xml:space="preserve"> [original: «ius civile vigilantibus scriptum est»]</w:t>
      </w:r>
      <w:r>
        <w:t xml:space="preserve"> (Digesto 42, 8, 24)</w:t>
      </w:r>
      <w:r>
        <w:t>.</w:t>
      </w:r>
    </w:p>
    <w:p>
      <w:pPr>
        <w:pStyle w:val="ListBullet"/>
      </w:pPr>
      <w:r>
        <w:rPr>
          <w:i/>
        </w:rPr>
        <w:t>Cedant arma togae</w:t>
      </w:r>
      <w:r>
        <w:t xml:space="preserve"> («que las armas cedan ante la toga»): la fuerza, ante el derecho; es un verso del propio Cicerón</w:t>
      </w:r>
      <w:r>
        <w:t xml:space="preserve"> [original: «cedant arma togae, concedat laurea laudi»]</w:t>
      </w:r>
      <w:r>
        <w:t xml:space="preserve"> (Cicerón, De officiis I, 77)</w:t>
      </w:r>
      <w:r>
        <w:t>.</w:t>
      </w:r>
    </w:p>
    <w:p>
      <w:pPr>
        <w:pStyle w:val="ListBullet"/>
      </w:pPr>
      <w:r>
        <w:rPr>
          <w:i/>
        </w:rPr>
        <w:t>Silent enim leges inter arma</w:t>
      </w:r>
      <w:r>
        <w:t xml:space="preserve"> («callan las leyes entre las armas»)</w:t>
      </w:r>
      <w:r>
        <w:t xml:space="preserve"> (Cicerón, Pro Milone 11)</w:t>
      </w:r>
      <w:r>
        <w:t>: el reverso de la anterior, la constatación de que la fuerza a veces se impone al derecho.</w:t>
      </w:r>
    </w:p>
    <w:p>
      <w:r>
        <w:t>[02.00-15.1, 15.3 y 16.1 a 20.10 (16.3, ya en 1.6), cada máxima con su fila del paso 2; las erratas, en su versión correcta (07); 02.00-15.2, ya en el límite honesto del capítulo 1]</w:t>
      </w:r>
    </w:p>
    <w:p>
      <w:pPr>
        <w:pStyle w:val="Heading2"/>
      </w:pPr>
      <w:r>
        <w:t>Índice alfabético</w:t>
      </w:r>
    </w:p>
    <w:p>
      <w:r>
        <w:t xml:space="preserve">Aprendiz, </w:t>
      </w:r>
      <w:r>
        <w:t>H.9</w:t>
      </w:r>
      <w:r>
        <w:t xml:space="preserve"> · </w:t>
      </w:r>
      <w:r>
        <w:t>Apocalipsis del Sistema</w:t>
      </w:r>
      <w:r>
        <w:t xml:space="preserve">, </w:t>
      </w:r>
      <w:r>
        <w:t>H.1</w:t>
      </w:r>
      <w:r>
        <w:t xml:space="preserve"> · </w:t>
      </w:r>
      <w:r>
        <w:rPr>
          <w:i/>
        </w:rPr>
        <w:t>Auctoritas</w:t>
      </w:r>
      <w:r>
        <w:t xml:space="preserve">, </w:t>
      </w:r>
      <w:r>
        <w:t>H.7</w:t>
      </w:r>
      <w:r>
        <w:t xml:space="preserve"> · Autor, </w:t>
      </w:r>
      <w:r>
        <w:t>H.1</w:t>
      </w:r>
      <w:r>
        <w:t xml:space="preserve"> · Biblioteca, </w:t>
      </w:r>
      <w:r>
        <w:t>H.1</w:t>
      </w:r>
      <w:r>
        <w:t xml:space="preserve"> · Botiquín de escritos, </w:t>
      </w:r>
      <w:r>
        <w:t>H.8</w:t>
      </w:r>
      <w:r>
        <w:t xml:space="preserve"> · Capas de cada texto, </w:t>
      </w:r>
      <w:r>
        <w:t>H.5</w:t>
      </w:r>
      <w:r>
        <w:t xml:space="preserve"> · Capítulo, apartado y prueba, H.1 · Cargo, </w:t>
      </w:r>
      <w:r>
        <w:t>H.8</w:t>
      </w:r>
      <w:r>
        <w:t xml:space="preserve"> · Carga, </w:t>
      </w:r>
      <w:r>
        <w:t>H.6</w:t>
      </w:r>
      <w:r>
        <w:t xml:space="preserve"> · Cierre, </w:t>
      </w:r>
      <w:r>
        <w:t>H.8</w:t>
      </w:r>
      <w:r>
        <w:t xml:space="preserve"> · Ciudadano, </w:t>
      </w:r>
      <w:r>
        <w:t>H.2</w:t>
      </w:r>
      <w:r>
        <w:t xml:space="preserve"> · Clama al cielo, </w:t>
      </w:r>
      <w:r>
        <w:t>H.9</w:t>
      </w:r>
      <w:r>
        <w:t xml:space="preserve"> · Compensación, </w:t>
      </w:r>
      <w:r>
        <w:t>H.8</w:t>
      </w:r>
      <w:r>
        <w:t xml:space="preserve"> · Constancia, </w:t>
      </w:r>
      <w:r>
        <w:t>H.8</w:t>
      </w:r>
      <w:r>
        <w:t xml:space="preserve"> · Convergencia, </w:t>
      </w:r>
      <w:r>
        <w:t>H.5</w:t>
      </w:r>
      <w:r>
        <w:t xml:space="preserve"> · Corrupción de la ley, H.4 · Costumbre, H.4 · Defensa del Estado, </w:t>
      </w:r>
      <w:r>
        <w:t>H.8</w:t>
      </w:r>
      <w:r>
        <w:t xml:space="preserve"> · Depuración sin venganza, </w:t>
      </w:r>
      <w:r>
        <w:t>H.8</w:t>
      </w:r>
      <w:r>
        <w:t xml:space="preserve"> · Derecho de nacimiento, </w:t>
      </w:r>
      <w:r>
        <w:t>H.2</w:t>
      </w:r>
      <w:r>
        <w:t xml:space="preserve"> · Derecho positivo, </w:t>
      </w:r>
      <w:r>
        <w:t>H.4</w:t>
      </w:r>
      <w:r>
        <w:t xml:space="preserve"> · Derechos que preceden al Estado, </w:t>
      </w:r>
      <w:r>
        <w:t>H.2</w:t>
      </w:r>
      <w:r>
        <w:t xml:space="preserve"> · Deslinde, </w:t>
      </w:r>
      <w:r>
        <w:t>H.8</w:t>
      </w:r>
      <w:r>
        <w:t xml:space="preserve"> · Dictamen, </w:t>
      </w:r>
      <w:r>
        <w:t>H.7</w:t>
      </w:r>
      <w:r>
        <w:t xml:space="preserve"> · Dinero sin respaldo material, </w:t>
      </w:r>
      <w:r>
        <w:t>H.6</w:t>
      </w:r>
      <w:r>
        <w:t xml:space="preserve"> · Discernir, </w:t>
      </w:r>
      <w:r>
        <w:t>H.8</w:t>
      </w:r>
      <w:r>
        <w:t xml:space="preserve"> · Discernir lo que se presenta como Dios, </w:t>
      </w:r>
      <w:r>
        <w:t>H.4</w:t>
      </w:r>
      <w:r>
        <w:t xml:space="preserve"> · Disolver, </w:t>
      </w:r>
      <w:r>
        <w:t>H.8</w:t>
      </w:r>
      <w:r>
        <w:t xml:space="preserve"> · Dos jurisdicciones, </w:t>
      </w:r>
      <w:r>
        <w:t>H.4</w:t>
      </w:r>
      <w:r>
        <w:t xml:space="preserve"> · Edición de lectura, </w:t>
      </w:r>
      <w:r>
        <w:t>H.1</w:t>
      </w:r>
      <w:r>
        <w:t xml:space="preserve"> · Ente sin cuerpo, </w:t>
      </w:r>
      <w:r>
        <w:t>H.3</w:t>
      </w:r>
      <w:r>
        <w:t xml:space="preserve"> · Estado, </w:t>
      </w:r>
      <w:r>
        <w:t>H.3</w:t>
      </w:r>
      <w:r>
        <w:t xml:space="preserve"> · Ficción jurídica, </w:t>
      </w:r>
      <w:r>
        <w:t>H.3</w:t>
      </w:r>
      <w:r>
        <w:t xml:space="preserve"> · Frutos, </w:t>
      </w:r>
      <w:r>
        <w:t>H.5</w:t>
      </w:r>
      <w:r>
        <w:t xml:space="preserve"> · Fuente, </w:t>
      </w:r>
      <w:r>
        <w:t>H.5</w:t>
      </w:r>
      <w:r>
        <w:t xml:space="preserve"> · Juicio popular de la verdad, </w:t>
      </w:r>
      <w:r>
        <w:t>H.8</w:t>
      </w:r>
      <w:r>
        <w:t xml:space="preserve"> · Lectura del autor, </w:t>
      </w:r>
      <w:r>
        <w:t>H.5</w:t>
      </w:r>
      <w:r>
        <w:t xml:space="preserve"> · Leviatán, </w:t>
      </w:r>
      <w:r>
        <w:t>H.3</w:t>
      </w:r>
      <w:r>
        <w:t xml:space="preserve"> · Ley de Dios, H.4 · Ley escrita, H.4 · Ley humana, H.4 · Ley natural, H.4 · Límite honesto de la prueba, </w:t>
      </w:r>
      <w:r>
        <w:t>H.5</w:t>
      </w:r>
      <w:r>
        <w:t xml:space="preserve"> · Mal sin cuerpo, </w:t>
      </w:r>
      <w:r>
        <w:t>H.3</w:t>
      </w:r>
      <w:r>
        <w:t xml:space="preserve"> · Maniobra camuflada, </w:t>
      </w:r>
      <w:r>
        <w:t>H.3</w:t>
      </w:r>
      <w:r>
        <w:t xml:space="preserve"> · Máximas latinas, </w:t>
      </w:r>
      <w:r>
        <w:t>H.10</w:t>
      </w:r>
      <w:r>
        <w:t xml:space="preserve"> · Madurez, </w:t>
      </w:r>
      <w:r>
        <w:t>H.9</w:t>
      </w:r>
      <w:r>
        <w:t xml:space="preserve"> · Mentira, </w:t>
      </w:r>
      <w:r>
        <w:t>H.3</w:t>
      </w:r>
      <w:r>
        <w:t xml:space="preserve"> · Metamorfosis del Estado, </w:t>
      </w:r>
      <w:r>
        <w:t>H.8</w:t>
      </w:r>
      <w:r>
        <w:t xml:space="preserve"> · Misma vara, </w:t>
      </w:r>
      <w:r>
        <w:t>H.5</w:t>
      </w:r>
      <w:r>
        <w:t xml:space="preserve"> · Muro de opacidad, </w:t>
      </w:r>
      <w:r>
        <w:t>H.6</w:t>
      </w:r>
      <w:r>
        <w:t xml:space="preserve"> · Nombrar las cosas por su nombre, </w:t>
      </w:r>
      <w:r>
        <w:t>H.4</w:t>
      </w:r>
      <w:r>
        <w:t xml:space="preserve"> · Obra, </w:t>
      </w:r>
      <w:r>
        <w:t>H.1</w:t>
      </w:r>
      <w:r>
        <w:t xml:space="preserve"> · Orden de las leyes, </w:t>
      </w:r>
      <w:r>
        <w:t>H.4</w:t>
      </w:r>
      <w:r>
        <w:t xml:space="preserve"> · Orden natural, </w:t>
      </w:r>
      <w:r>
        <w:t>H.4</w:t>
      </w:r>
      <w:r>
        <w:t xml:space="preserve"> · Orden oficial, </w:t>
      </w:r>
      <w:r>
        <w:t>H.4</w:t>
      </w:r>
      <w:r>
        <w:t xml:space="preserve"> · Padre de la mentira, </w:t>
      </w:r>
      <w:r>
        <w:t>H.9</w:t>
      </w:r>
      <w:r>
        <w:t xml:space="preserve"> · Pata, pata coja y prueba de la pata sola, </w:t>
      </w:r>
      <w:r>
        <w:t>H.5</w:t>
      </w:r>
      <w:r>
        <w:t xml:space="preserve"> · Persona, </w:t>
      </w:r>
      <w:r>
        <w:t>H.2</w:t>
      </w:r>
      <w:r>
        <w:t xml:space="preserve"> · Petición documentada, </w:t>
      </w:r>
      <w:r>
        <w:t>H.8</w:t>
      </w:r>
      <w:r>
        <w:t xml:space="preserve"> · Pieza, </w:t>
      </w:r>
      <w:r>
        <w:t>H.1</w:t>
      </w:r>
      <w:r>
        <w:t xml:space="preserve"> · Pliego de cargos, </w:t>
      </w:r>
      <w:r>
        <w:t>H.8</w:t>
      </w:r>
      <w:r>
        <w:t xml:space="preserve"> · Pregunta, </w:t>
      </w:r>
      <w:r>
        <w:t>H.8</w:t>
      </w:r>
      <w:r>
        <w:t xml:space="preserve"> · Preguntas para el juicio y para el relevo, </w:t>
      </w:r>
      <w:r>
        <w:t>H.8</w:t>
      </w:r>
      <w:r>
        <w:t xml:space="preserve"> · Presunción, </w:t>
      </w:r>
      <w:r>
        <w:t>H.3</w:t>
      </w:r>
      <w:r>
        <w:t xml:space="preserve"> · Quiebra camuflada, </w:t>
      </w:r>
      <w:r>
        <w:t>H.7</w:t>
      </w:r>
      <w:r>
        <w:t xml:space="preserve"> · Registro, </w:t>
      </w:r>
      <w:r>
        <w:t>H.1</w:t>
      </w:r>
      <w:r>
        <w:t xml:space="preserve"> · Registro de los frutos, </w:t>
      </w:r>
      <w:r>
        <w:t>H.8</w:t>
      </w:r>
      <w:r>
        <w:t xml:space="preserve"> · Relevo, </w:t>
      </w:r>
      <w:r>
        <w:t>H.8</w:t>
      </w:r>
      <w:r>
        <w:t xml:space="preserve"> · Sin verificar, </w:t>
      </w:r>
      <w:r>
        <w:t>H.5</w:t>
      </w:r>
      <w:r>
        <w:t xml:space="preserve"> · Sistema, </w:t>
      </w:r>
      <w:r>
        <w:t>H.3</w:t>
      </w:r>
      <w:r>
        <w:t xml:space="preserve"> · Soberano, </w:t>
      </w:r>
      <w:r>
        <w:t>H.2</w:t>
      </w:r>
      <w:r>
        <w:t xml:space="preserve"> · «Soberanos somos todos», </w:t>
      </w:r>
      <w:r>
        <w:t>H.2</w:t>
      </w:r>
      <w:r>
        <w:t xml:space="preserve"> · Tiempo de vida cristalizado, </w:t>
      </w:r>
      <w:r>
        <w:t>H.6</w:t>
      </w:r>
      <w:r>
        <w:t xml:space="preserve"> · Última palabra, </w:t>
      </w:r>
      <w:r>
        <w:t>H.8</w:t>
      </w:r>
      <w:r>
        <w:t xml:space="preserve"> · Vara, </w:t>
      </w:r>
      <w:r>
        <w:t>H.5</w:t>
      </w:r>
      <w:r>
        <w:t xml:space="preserve"> · Velo, </w:t>
      </w:r>
      <w:r>
        <w:t>H.6</w:t>
      </w:r>
      <w:r>
        <w:t xml:space="preserve"> · Verdad, presunción, falso y mentira, </w:t>
      </w:r>
      <w:r>
        <w:t>H.3</w:t>
      </w:r>
      <w:r>
        <w:t xml:space="preserve"> · Veredicto, </w:t>
      </w:r>
      <w:r>
        <w:t>H.7</w:t>
      </w:r>
    </w:p>
    <w:p>
      <w:pPr>
        <w:pStyle w:val="Heading2"/>
      </w:pPr>
      <w:r>
        <w:t>Límite honesto de la prueba</w:t>
      </w:r>
    </w:p>
    <w:p>
      <w:pPr>
        <w:pStyle w:val="ListBullet"/>
      </w:pPr>
      <w:r>
        <w:rPr>
          <w:b/>
        </w:rPr>
        <w:t>Un glosario no prueba nada: define.</w:t>
      </w:r>
      <w:r>
        <w:t xml:space="preserve"> La prueba de cada palabra está en el apartado al que remite; aquí solo se dice qué significa, para que signifique siempre lo mismo.</w:t>
      </w:r>
    </w:p>
    <w:p>
      <w:pPr>
        <w:pStyle w:val="ListBullet"/>
      </w:pPr>
      <w:r>
        <w:rPr>
          <w:b/>
        </w:rPr>
        <w:t>Las máximas no son derecho aplicable por sí solas.</w:t>
      </w:r>
      <w:r>
        <w:t xml:space="preserve"> Ninguna anula una ley con solo citarla; su fuerza depende de que el derecho vigente la haya recogido, como el derecho a ser oído vive hoy en la Constitución porque ella lo recoge, no porque lo diga el latín (</w:t>
      </w:r>
      <w:r>
        <w:t>capítulo 1</w:t>
      </w:r>
      <w:r>
        <w:t>, «Límite honesto de la prueba»).</w:t>
      </w:r>
    </w:p>
    <w:p>
      <w:pPr>
        <w:pStyle w:val="ListBullet"/>
      </w:pPr>
      <w:r>
        <w:rPr>
          <w:b/>
        </w:rPr>
        <w:t>Varias máximas, con las palabras con que se citan, no están en la fuente antigua que se les atribuía:</w:t>
      </w:r>
      <w:r>
        <w:t xml:space="preserve"> </w:t>
      </w:r>
      <w:r>
        <w:rPr>
          <w:i/>
        </w:rPr>
        <w:t>in dubio pro reo</w:t>
      </w:r>
      <w:r>
        <w:t xml:space="preserve">, </w:t>
      </w:r>
      <w:r>
        <w:rPr>
          <w:i/>
        </w:rPr>
        <w:t>ad impossibilia nemo tenetur</w:t>
      </w:r>
      <w:r>
        <w:t xml:space="preserve">, </w:t>
      </w:r>
      <w:r>
        <w:rPr>
          <w:i/>
        </w:rPr>
        <w:t>onus probandi</w:t>
      </w:r>
      <w:r>
        <w:t xml:space="preserve">, </w:t>
      </w:r>
      <w:r>
        <w:rPr>
          <w:i/>
        </w:rPr>
        <w:t>damnum non facit qui iure suo utitur</w:t>
      </w:r>
      <w:r>
        <w:t xml:space="preserve">, </w:t>
      </w:r>
      <w:r>
        <w:rPr>
          <w:i/>
        </w:rPr>
        <w:t>solvitur ambulando</w:t>
      </w:r>
      <w:r>
        <w:t xml:space="preserve"> y </w:t>
      </w:r>
      <w:r>
        <w:rPr>
          <w:i/>
        </w:rPr>
        <w:t>cedant leges inter arma</w:t>
      </w:r>
      <w:r>
        <w:t xml:space="preserve">, que en Cicerón es </w:t>
      </w:r>
      <w:r>
        <w:rPr>
          <w:i/>
        </w:rPr>
        <w:t>silent leges</w:t>
      </w:r>
      <w:r>
        <w:t>. Aquí van con las palabras de la fuente leída.</w:t>
      </w:r>
    </w:p>
    <w:p>
      <w:pPr>
        <w:pStyle w:val="ListBullet"/>
      </w:pPr>
      <w:r>
        <w:rPr>
          <w:b/>
        </w:rPr>
        <w:t>Tres van por fuente secundaria:</w:t>
      </w:r>
      <w:r>
        <w:t xml:space="preserve"> </w:t>
      </w:r>
      <w:r>
        <w:rPr>
          <w:i/>
        </w:rPr>
        <w:t>fictio legis</w:t>
      </w:r>
      <w:r>
        <w:t xml:space="preserve"> y </w:t>
      </w:r>
      <w:r>
        <w:rPr>
          <w:i/>
        </w:rPr>
        <w:t>rebus sic stantibus</w:t>
      </w:r>
      <w:r>
        <w:t>, con una sola fuente, el Black's de 1910; y la casa como refugio, de Coke, tal como la cita una sentencia del Tribunal Supremo de los Estados Unidos. Pueden subir a nivel A leyendo el original.</w:t>
      </w:r>
    </w:p>
    <w:p>
      <w:pPr>
        <w:pStyle w:val="ListBullet"/>
      </w:pPr>
      <w:r>
        <w:rPr>
          <w:b/>
        </w:rPr>
        <w:t>Cuatro no entran</w:t>
      </w:r>
      <w:r>
        <w:t xml:space="preserve">, porque no se han leído en su fuente: </w:t>
      </w:r>
      <w:r>
        <w:rPr>
          <w:i/>
        </w:rPr>
        <w:t>fraus omnia corrumpit</w:t>
      </w:r>
      <w:r>
        <w:t xml:space="preserve"> («el fraude lo corrompe todo»), </w:t>
      </w:r>
      <w:r>
        <w:rPr>
          <w:i/>
        </w:rPr>
        <w:t>excusatio non petita, accusatio manifesta</w:t>
      </w:r>
      <w:r>
        <w:t xml:space="preserve"> («excusa no pedida, acusación manifiesta»), </w:t>
      </w:r>
      <w:r>
        <w:rPr>
          <w:i/>
        </w:rPr>
        <w:t>error iuris non inducit malam fidem</w:t>
      </w:r>
      <w:r>
        <w:t xml:space="preserve"> («el error de derecho no supone mala fe») y </w:t>
      </w:r>
      <w:r>
        <w:rPr>
          <w:i/>
        </w:rPr>
        <w:t>nunc pro tunc</w:t>
      </w:r>
      <w:r>
        <w:t xml:space="preserve"> («ahora por entonces»). Tampoco entran las atribuciones que no se han leído, como la de </w:t>
      </w:r>
      <w:r>
        <w:rPr>
          <w:i/>
        </w:rPr>
        <w:t>sublata causa</w:t>
      </w:r>
      <w:r>
        <w:t xml:space="preserve"> a Tomás de Aquino.</w:t>
      </w:r>
    </w:p>
    <w:p>
      <w:r>
        <w:t>[glosario único, sección 0; 02.00-15.2 y 15.3; paso 2, filas de 02.00-16.1 a 20.10]</w:t>
      </w:r>
    </w:p>
    <w:p>
      <w:pPr>
        <w:pStyle w:val="Heading2"/>
      </w:pPr>
      <w:r>
        <w:t>Dónde se oye la defensa del Estado</w:t>
      </w:r>
    </w:p>
    <w:p>
      <w:r>
        <w:t>La defensa del Estado frente a las palabras de la obra, y lo que la obra le responde, se oyen en el juicio, en las cuestiones previas (</w:t>
      </w:r>
      <w:r>
        <w:t>11.2</w:t>
      </w:r>
      <w:r>
        <w:t>):</w:t>
      </w:r>
    </w:p>
    <w:p>
      <w:pPr>
        <w:pStyle w:val="ListBullet"/>
      </w:pPr>
      <w:r>
        <w:t>«La obra no es neutral: la vara la pone el autor» (n.º 1);</w:t>
      </w:r>
    </w:p>
    <w:p>
      <w:pPr>
        <w:pStyle w:val="ListBullet"/>
      </w:pPr>
      <w:r>
        <w:t>«El derecho natural y las máximas latinas no son derecho aplicable» (n.º 3);</w:t>
      </w:r>
    </w:p>
    <w:p>
      <w:pPr>
        <w:pStyle w:val="ListBullet"/>
      </w:pPr>
      <w:r>
        <w:t>«Usar la imagen del diablo para el Estado, y hablar de bien y mal, es demonizar al adversario» (n.º 16);</w:t>
      </w:r>
    </w:p>
    <w:p>
      <w:pPr>
        <w:pStyle w:val="ListBullet"/>
      </w:pPr>
      <w:r>
        <w:t>«El Estado no es un ente sin cuerpo: sus cargos responden» (n.º 17);</w:t>
      </w:r>
    </w:p>
    <w:p>
      <w:pPr>
        <w:pStyle w:val="ListBullet"/>
      </w:pPr>
      <w:r>
        <w:t>«La persona jurídica es una ficción necesaria» (n.º 18);</w:t>
      </w:r>
    </w:p>
    <w:p>
      <w:pPr>
        <w:pStyle w:val="ListBullet"/>
      </w:pPr>
      <w:r>
        <w:t>y «El Estado como construcción mental es una tesis ideológica» (n.º 19).</w:t>
      </w:r>
    </w:p>
    <w:p>
      <w:r>
        <w:t>[clasificación de las defensas, aprobada; 11.2]</w:t>
      </w:r>
    </w:p>
    <w:p>
      <w:pPr>
        <w:pStyle w:val="Heading2"/>
      </w:pPr>
      <w:r>
        <w:t>Para recordar</w:t>
      </w:r>
    </w:p>
    <w:p>
      <w:pPr>
        <w:pStyle w:val="ListBullet"/>
      </w:pPr>
      <w:r>
        <w:t>Cada palabra de la obra significa siempre lo mismo, y aquí está dicha una sola vez, con el apartado donde se explica.</w:t>
      </w:r>
    </w:p>
    <w:p>
      <w:pPr>
        <w:pStyle w:val="ListBullet"/>
      </w:pPr>
      <w:r>
        <w:t>La obra es «</w:t>
      </w:r>
      <w:r>
        <w:t>Apocalipsis del Sistema</w:t>
      </w:r>
      <w:r>
        <w:t>»; el Registro es el archivo de los frutos.</w:t>
      </w:r>
    </w:p>
    <w:p>
      <w:pPr>
        <w:pStyle w:val="ListBullet"/>
      </w:pPr>
      <w:r>
        <w:t>El orden de las leyes es la ley de Dios, la ley natural, la costumbre y la ley escrita; el orden oficial es el inverso.</w:t>
      </w:r>
    </w:p>
    <w:p>
      <w:pPr>
        <w:pStyle w:val="ListBullet"/>
      </w:pPr>
      <w:r>
        <w:t>La vara mide en dos pasos, la verdad de los hechos y sus frutos; la convergencia es una mesa con sus patas, y la pata coja se dice.</w:t>
      </w:r>
    </w:p>
    <w:p>
      <w:pPr>
        <w:pStyle w:val="ListBullet"/>
      </w:pPr>
      <w:r>
        <w:t>Lo que no es dato va como lectura del autor, con su etiqueta.</w:t>
      </w:r>
    </w:p>
    <w:p>
      <w:pPr>
        <w:pStyle w:val="ListBullet"/>
      </w:pPr>
      <w:r>
        <w:t>Las máximas latinas son costumbre jurídica escrita: cada una va con su fuente, y ninguna anula una ley con solo citarla.</w:t>
      </w:r>
    </w:p>
    <w:p>
      <w:r>
        <w:br w:type="page"/>
      </w:r>
    </w:p>
    <w:p>
      <w:pPr>
        <w:pStyle w:val="Heading1"/>
      </w:pPr>
      <w:r>
        <w:t>Anexo I. Las fuentes</w:t>
      </w:r>
    </w:p>
    <w:p>
      <w:pPr>
        <w:spacing w:after="200"/>
      </w:pPr>
      <w:r>
        <w:rPr>
          <w:rFonts w:ascii="Segoe UI" w:hAnsi="Segoe UI" w:eastAsia="Segoe UI" w:cs="Segoe UI"/>
          <w:color w:val="6B665E"/>
          <w:sz w:val="17"/>
        </w:rPr>
        <w:t>Primera versión: 7 de octubre de 2026 · Última revisión: 12 de octubre de 2026 · Cambios anotados en el capítulo: 3 · Citas leídas en su fuente: 38</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(encargo de 08.29, punto 4, tras el paso 1): a las notas de abajo que daban Mc 10:45 por no leído se les añade, con fecha, que se leyó después en la Reina-Valera Antigua y dice lo mismo que Mt 20:28; lo escrito entonces no se borra. Ninguna palabra del texto cambia. Cambio del 12-oct-2026, los flecos del cierre (Kiko, chat de 08.28, 19:4x, a «¿sí a los seis flecos tal cual? Recomendación: sí a los seis», tal cual: «SI»; orden firme de 08.28): en «Límite honesto de la prueba», Mc 10:45 sale de la lista de lo que no se leyó: está en la Reina-Valera Antigua en local y dice lo mismo que Mt 20:28 (3.6), que es el que se cita. Ninguna otra palabra cambia. Cambio del 8-oct-2026 (fase de reparación; Kiko: «mantener el criterio de los hadices como segunda mano, y especifica el porqué»): escrito el motivo por el que los hadices van como fuente secundaria. ESTADO: APROBADO por Kiko el 7-oct-2026 («si»). Paso 3. Sin agentes ni descargas. Es el cuarto de los anexos. Plan aprobado por Kiko el 7-oct («te confirmo si»): I.0, cómo cita la obra (remite a 0.3 y al H); I.1 a I.8, las citas del «Anexo de fuentes» de la pieza 00.00 por sus bloques, cada una con su fuente y el apartado donde se usa; lo que ya está explicado en un capítulo, solo nombrado con su remisión; lo de nivel C y lo que no tiene fila, fuera (abajo); sin los números internos («archivo 46»). I.9, la lista de todas las fuentes de la obra por tipo: HECHA en el paso 4 (7-oct), con la obra entera, por herramientas/lista_fuentes_I9.py (688 fuentes; se regenera con --aplicar). Los bloques de la pieza, juntados donde son cortos: el judaísmo con el islam, el hinduismo con el budismo, la prensa libre con el Estado nuevo; el bloque 26 (análisis propio) no es una fuente. Sale de la pieza 00.00, secciones 14 a 26 («Anexo de fuentes»), 99 párrafos, todos de la libreta del J; ninguno de fuera con el sugerido J. Material: herramientas/donde_anexo_J.py (dónde sale ya cada cita: 60 de 99, comprobadas a mano las coincidencias) y la fila de cada cita en el paso 2 (herramientas/paso2_comprobado.tsv, con su pasaje en los índices de c9g, c9h, c9n y c10). Se traslada tal cual, con las erratas en su versión correcta. Escrito en tres niveles y con remisiones enlazables. Marcas: {fuente: …} niveles 2 y 3; {original: …} nivel 3; [trazabilidad] nivel 3; {completo} solo nivel 3; {breve} solo niveles 1 y 2; {enlace?: …} remisión hacia delante o de lado, que se resuelve en la pasada final. Trazabilidad: al final de cada apartado, entre corchetes (se ve en el nivel completo). Cifras: una en 16 CIFRAS POR MIRAR, los 100.000 muertos de Ashoka (00.00-22.8): mismo dato que 6.2, se remite. Los demás números son referencias (capítulos, versículos, páginas) y fechas de edición, cada uno en su fila del paso 2: 1881 (Müller, c9h, entrada 52), 1857 y pág. 280 (Pfeiffer, entrada 38), 1929 (Silverio, entrada 37), 1926 y pág. 2 (Ruska, entrada 60). Leído hoy en su original: nada nuevo. Cada cita va con su fila del paso 2; las erratas (30, aprobadas en el paso 2 y en el 07), en la versión que dice la fuente. Hallado al escribir (sin errata nueva para el 07): - Mc 10:45 (00.00-15.27): el 11.6 dice que no se ha leído y usa Mt 20:28 (3.6), ya leído: aquí, igual (12-oct-2026: Mc 10:45, leído después en la Reina-Valera Antigua; dice lo mismo). - Rm 7:24: la Reina-Valera Antigua lo escribe sin signo de apertura («Miserable hombre de mí!»): así se cita. - El Dhammapada 11-12 sigue la traducción de Müller; el pali dice sāra, «lo esencial» (errata del paso 2): van las dos. - Corregido el 7-oct, después de aprobar (flecos_en_local.py, pasada al cerrar el J): el rescripto del emperador de Japón de 1946 (22.3) se daba por no leído, pero está leído en c6b (sección 4: el japonés y la traducción oficial de FRUS) y ya se explica en 6.2, que no dice «Hirohito», sino «el emperador»: en I.6, solo nombrado (lo verificado omitido por error se repone sin pedir permiso). No entra (sin fila en el registro, o sin leer en su fuente): - 00.00-14.1, la frase de la pieza «cada entrada lleva su texto para que se pueda leer sola»: en la edición, lo ya explicado se nombra con su remisión (cada dato completo una sola vez). - Mt 22:39 (15.9; la misma frase está en Lv 19:18 y Gá 5:14), Ez 33:6 (15.33), Mc 10:45 (15.27; leído después, el 12-oct-2026: dice lo mismo que Mt 20:28). - El bitul jasídico (16.2, nivel C) y el fana' sufí (17.9, nivel B/C, sin fuente). - El Kalama Sutta (20.1): sin fila; el Anguttara Nikaya de 3.3 es el 6.45, otro texto. - Jung y el Bardo Thodol (23.3) y Kant y la publicidad (23.5, en la lista de lo que no entra del capítulo 11). - La fecha de la Tabla Esmeralda («historia documentada desde el árabe, s. VI-VIII»): no se comprobó (c9h, entrada 60). - 00.00-26.1, los decretos-leyes derogados entre 2024 y 2026: leídos el 7-oct en el BOE, al menos siete y no tres (cargo 12 de 11.3); la imagen del epiciclo está en 4.4. 00.00-26.2, el origen de «la gran mentira» (1925): sin fila. Los dos son análisis de la pieza, no fuentes. Conceptos que usa, ya anclados: todos, cada uno en el capítulo al que remite. Nuevo aquí: ninguno.</w:t>
      </w:r>
    </w:p>
    <w:p>
      <w:pPr>
        <w:pBdr>
          <w:left w:val="single" w:sz="24" w:space="6" w:color="E2DED6"/>
        </w:pBdr>
        <w:shd w:val="clear" w:color="auto" w:fill="F1EEE8"/>
        <w:spacing w:before="80" w:after="160"/>
        <w:ind w:left="142" w:right="142"/>
      </w:pPr>
      <w:r>
        <w:rPr>
          <w:b/>
        </w:rPr>
        <w:t>En pocas palabras:</w:t>
      </w:r>
    </w:p>
    <w:p>
      <w:pPr>
        <w:pStyle w:val="ListBullet"/>
      </w:pPr>
      <w:r>
        <w:t>Este anexo reúne las citas de las tradiciones y de los textos clásicos que la obra usa, cada una con su fuente, para que cualquiera pueda comprobarlas.</w:t>
      </w:r>
    </w:p>
    <w:p>
      <w:pPr>
        <w:pStyle w:val="ListBullet"/>
      </w:pPr>
      <w:r>
        <w:t>Va por bloques: la Biblia y los autores cristianos; el judaísmo y el islam; China; la India; Grecia y Roma; la historia del poder; los textos modernos; y las leyes y sentencias.</w:t>
      </w:r>
    </w:p>
    <w:p>
      <w:pPr>
        <w:pStyle w:val="ListBullet"/>
      </w:pPr>
      <w:r>
        <w:t>Lo que ya se explica en un capítulo no se repite: se nombra, con su apartado. Lo demás va con su texto, en las palabras de su fuente.</w:t>
      </w:r>
    </w:p>
    <w:p>
      <w:pPr>
        <w:pStyle w:val="ListBullet"/>
      </w:pPr>
      <w:r>
        <w:t>Lo que no se pudo leer en su fuente no entra, y se dice.</w:t>
      </w:r>
    </w:p>
    <w:p>
      <w:pPr>
        <w:pStyle w:val="ListBullet"/>
      </w:pPr>
      <w:r>
        <w:t xml:space="preserve">Al final, </w:t>
      </w:r>
      <w:r>
        <w:t>I.9</w:t>
      </w:r>
      <w:r>
        <w:t xml:space="preserve"> trae todas las fuentes de la obra en una sola lista, por tipo, con los apartados donde se usa cada una.</w:t>
      </w:r>
    </w:p>
    <w:p>
      <w:pPr>
        <w:pStyle w:val="Heading2"/>
      </w:pPr>
      <w:r>
        <w:t>I.0 Propósito</w:t>
      </w:r>
    </w:p>
    <w:p>
      <w:pPr>
        <w:pBdr>
          <w:left w:val="single" w:sz="24" w:space="6" w:color="E2DED6"/>
        </w:pBdr>
        <w:shd w:val="clear" w:color="auto" w:fill="F1EEE8"/>
        <w:spacing w:before="80" w:after="160"/>
        <w:ind w:left="142" w:right="142"/>
      </w:pPr>
      <w:r>
        <w:rPr>
          <w:b/>
        </w:rPr>
        <w:t>La idea: cada cita de la obra tiene su fuente; este anexo reúne las de las tradiciones y los textos clásicos, con el apartado donde se usan.</w:t>
      </w:r>
    </w:p>
    <w:p>
      <w:r>
        <w:t xml:space="preserve">La obra cita textos de muchas tradiciones y de muchas épocas, y cada uno va con su fuente allí donde se usa. Cómo se leen esas citas y sus traducciones se explica en </w:t>
      </w:r>
      <w:r>
        <w:t>0.3</w:t>
      </w:r>
      <w:r>
        <w:t xml:space="preserve">; cómo se hizo la comprobación, en el </w:t>
      </w:r>
      <w:r>
        <w:t>anexo G</w:t>
      </w:r>
      <w:r>
        <w:t>. Este anexo los reúne por bloques, para quien quiera comprobarlos de una vez. Lo que ya está en un capítulo no se repite: se nombra, con su remisión.</w:t>
      </w:r>
    </w:p>
    <w:p>
      <w:r>
        <w:rPr>
          <w:b/>
        </w:rPr>
        <w:t>Cómo se leyó.</w:t>
      </w:r>
      <w:r>
        <w:t xml:space="preserve"> Nada entró sin leerlo en su original o en una traducción reconocida; lo que se leyó en una copia o en una fuente secundaria se marca así. La Biblia va en la Reina-Valera Antigua y el Corán en la traducción de Julio Cortés; las demás traducciones al español son de esta edición, con el texto del que se han hecho al lado (</w:t>
      </w:r>
      <w:r>
        <w:t>0.3</w:t>
      </w:r>
      <w:r>
        <w:t>).</w:t>
      </w:r>
    </w:p>
    <w:p>
      <w:r>
        <w:t>Este anexo dice:</w:t>
      </w:r>
    </w:p>
    <w:p>
      <w:pPr>
        <w:pStyle w:val="ListBullet"/>
      </w:pPr>
      <w:r>
        <w:rPr>
          <w:b/>
        </w:rPr>
        <w:t>I.1</w:t>
      </w:r>
      <w:r>
        <w:t xml:space="preserve"> la Biblia y los autores cristianos;</w:t>
      </w:r>
    </w:p>
    <w:p>
      <w:pPr>
        <w:pStyle w:val="ListBullet"/>
      </w:pPr>
      <w:r>
        <w:rPr>
          <w:b/>
        </w:rPr>
        <w:t>I.2</w:t>
      </w:r>
      <w:r>
        <w:t xml:space="preserve"> el judaísmo y el islam;</w:t>
      </w:r>
    </w:p>
    <w:p>
      <w:pPr>
        <w:pStyle w:val="ListBullet"/>
      </w:pPr>
      <w:r>
        <w:rPr>
          <w:b/>
        </w:rPr>
        <w:t>I.3</w:t>
      </w:r>
      <w:r>
        <w:t xml:space="preserve"> China;</w:t>
      </w:r>
    </w:p>
    <w:p>
      <w:pPr>
        <w:pStyle w:val="ListBullet"/>
      </w:pPr>
      <w:r>
        <w:rPr>
          <w:b/>
        </w:rPr>
        <w:t>I.4</w:t>
      </w:r>
      <w:r>
        <w:t xml:space="preserve"> la India;</w:t>
      </w:r>
    </w:p>
    <w:p>
      <w:pPr>
        <w:pStyle w:val="ListBullet"/>
      </w:pPr>
      <w:r>
        <w:rPr>
          <w:b/>
        </w:rPr>
        <w:t>I.5</w:t>
      </w:r>
      <w:r>
        <w:t xml:space="preserve"> Grecia y Roma;</w:t>
      </w:r>
    </w:p>
    <w:p>
      <w:pPr>
        <w:pStyle w:val="ListBullet"/>
      </w:pPr>
      <w:r>
        <w:rPr>
          <w:b/>
        </w:rPr>
        <w:t>I.6</w:t>
      </w:r>
      <w:r>
        <w:t xml:space="preserve"> la historia del poder;</w:t>
      </w:r>
    </w:p>
    <w:p>
      <w:pPr>
        <w:pStyle w:val="ListBullet"/>
      </w:pPr>
      <w:r>
        <w:rPr>
          <w:b/>
        </w:rPr>
        <w:t>I.7</w:t>
      </w:r>
      <w:r>
        <w:t xml:space="preserve"> los textos modernos;</w:t>
      </w:r>
    </w:p>
    <w:p>
      <w:pPr>
        <w:pStyle w:val="ListBullet"/>
      </w:pPr>
      <w:r>
        <w:rPr>
          <w:b/>
        </w:rPr>
        <w:t>I.8</w:t>
      </w:r>
      <w:r>
        <w:t xml:space="preserve"> las leyes y las sentencias;</w:t>
      </w:r>
    </w:p>
    <w:p>
      <w:pPr>
        <w:pStyle w:val="ListBullet"/>
      </w:pPr>
      <w:r>
        <w:rPr>
          <w:b/>
        </w:rPr>
        <w:t>I.9</w:t>
      </w:r>
      <w:r>
        <w:t xml:space="preserve"> y la lista de todas las fuentes de la obra.</w:t>
      </w:r>
    </w:p>
    <w:p>
      <w:r>
        <w:t>[00.00, sección 14 («Anexo de fuentes»); 0.3]</w:t>
      </w:r>
    </w:p>
    <w:p>
      <w:pPr>
        <w:pStyle w:val="Heading2"/>
      </w:pPr>
      <w:r>
        <w:t>I.1 La Biblia y los autores cristianos</w:t>
      </w:r>
    </w:p>
    <w:p>
      <w:pPr>
        <w:pBdr>
          <w:left w:val="single" w:sz="24" w:space="6" w:color="E2DED6"/>
        </w:pBdr>
        <w:shd w:val="clear" w:color="auto" w:fill="F1EEE8"/>
        <w:spacing w:before="80" w:after="160"/>
        <w:ind w:left="142" w:right="142"/>
      </w:pPr>
      <w:r>
        <w:rPr>
          <w:b/>
        </w:rPr>
        <w:t>La idea: las citas de la Biblia y de los autores cristianos que la obra usa, cada una con su lugar; las que ya se explican en un capítulo, solo nombradas.</w:t>
      </w:r>
    </w:p>
    <w:p>
      <w:r>
        <w:t>Fuente: la Reina-Valera Antigua (biblegateway), salvo donde se dice otra. Nivel A.</w:t>
      </w:r>
    </w:p>
    <w:p>
      <w:pPr>
        <w:pStyle w:val="ListBullet"/>
      </w:pPr>
      <w:r>
        <w:t xml:space="preserve">«Quien tiene oídos para oir, oiga» (Mt 13:9), en </w:t>
      </w:r>
      <w:r>
        <w:t>11.6</w:t>
      </w:r>
      <w:r>
        <w:t>; casi igual en Mt 11:15 y 13:43, Mc 4:9 y 4:23 y Lc 8:8 y 14:35</w:t>
      </w:r>
      <w:r>
        <w:t xml:space="preserve"> (Reina-Valera Antigua)</w:t>
      </w:r>
      <w:r>
        <w:t>.</w:t>
      </w:r>
    </w:p>
    <w:p>
      <w:pPr>
        <w:pStyle w:val="ListBullet"/>
      </w:pPr>
      <w:r>
        <w:t xml:space="preserve">«No juzguéis, para que no seáis juzgados» (Mt 7:1) y «no condenéis» (Lc 6:37), en </w:t>
      </w:r>
      <w:r>
        <w:t>0.5</w:t>
      </w:r>
      <w:r>
        <w:t xml:space="preserve">; «juzgad justo juicio» (Jn 7:24), en </w:t>
      </w:r>
      <w:r>
        <w:t>0.5</w:t>
      </w:r>
      <w:r>
        <w:t xml:space="preserve"> y </w:t>
      </w:r>
      <w:r>
        <w:t>5.2</w:t>
      </w:r>
      <w:r>
        <w:t>.</w:t>
      </w:r>
    </w:p>
    <w:p>
      <w:pPr>
        <w:pStyle w:val="ListBullet"/>
      </w:pPr>
      <w:r>
        <w:t xml:space="preserve">«Por sus frutos los conoceréis» (Mt 7:16), la fórmula de la obra, en </w:t>
      </w:r>
      <w:r>
        <w:t>0.5</w:t>
      </w:r>
      <w:r>
        <w:t xml:space="preserve">; el buen árbol y el maleado (Mt 7:17), en </w:t>
      </w:r>
      <w:r>
        <w:t>2.5</w:t>
      </w:r>
      <w:r>
        <w:t>. Y lo mismo en otro lugar: «por el fruto es conocido el árbol»</w:t>
      </w:r>
      <w:r>
        <w:t xml:space="preserve"> (Mt 12:33)</w:t>
      </w:r>
      <w:r>
        <w:br/>
      </w:r>
      <w:r>
        <w:rPr>
          <w:b/>
        </w:rPr>
        <w:t>leída en su fuente · Mt 12:33</w:t>
      </w:r>
      <w:r>
        <w:br/>
      </w:r>
      <w:r>
        <w:rPr>
          <w:b/>
        </w:rPr>
        <w:t>Archivo leído:</w:t>
      </w:r>
      <w:r>
        <w:t xml:space="preserve"> mt_12_33_rva.html (c9n\mt_12_33_rva.html) · contraste del archivo de pasajes: ✔</w:t>
      </w:r>
      <w:r>
        <w:br/>
      </w:r>
      <w:r>
        <w:rPr>
          <w:b/>
        </w:rPr>
        <w:t>Lugar:</w:t>
      </w:r>
      <w:r>
        <w:t xml:space="preserve"> Mt 12:33 (RVA)</w:t>
      </w:r>
      <w:r>
        <w:br/>
      </w:r>
      <w:r>
        <w:rPr>
          <w:b/>
        </w:rPr>
        <w:t>Tal como está en la fuente:</w:t>
      </w:r>
      <w:r>
        <w:t xml:space="preserve"> y su fruto dañado; porque por el fruto es conocido el árbol</w:t>
      </w:r>
      <w:r>
        <w:t>.</w:t>
      </w:r>
    </w:p>
    <w:p>
      <w:pPr>
        <w:pStyle w:val="ListBullet"/>
      </w:pPr>
      <w:r>
        <w:t xml:space="preserve">La cizaña y el trigo (Mt 13:29-30), en </w:t>
      </w:r>
      <w:r>
        <w:t>9.1</w:t>
      </w:r>
      <w:r>
        <w:t xml:space="preserve"> y </w:t>
      </w:r>
      <w:r>
        <w:t>10.3</w:t>
      </w:r>
      <w:r>
        <w:t xml:space="preserve">; y no pagar mal por mal (Rm 12:17-21), en </w:t>
      </w:r>
      <w:r>
        <w:t>10.3</w:t>
      </w:r>
      <w:r>
        <w:t>.</w:t>
      </w:r>
    </w:p>
    <w:p>
      <w:pPr>
        <w:pStyle w:val="ListBullet"/>
      </w:pPr>
      <w:r>
        <w:t xml:space="preserve">Hacerse como niños (Mt 18:3-4), «Ninguno es bueno sino uno» (Mt 19:17), «no hago el bien que quiero» (Rm 7:19), Jer 17:10 y Job 42:5-6, en </w:t>
      </w:r>
      <w:r>
        <w:t>2.5</w:t>
      </w:r>
      <w:r>
        <w:t>. Y el lamento que sigue al de Pablo: «Miserable hombre de mí! ¿quién me librará del cuerpo de esta muerte?»</w:t>
      </w:r>
      <w:r>
        <w:t xml:space="preserve"> (Rm 7:24)</w:t>
      </w:r>
      <w:r>
        <w:br/>
      </w:r>
      <w:r>
        <w:rPr>
          <w:b/>
        </w:rPr>
        <w:t>leída en su fuente · Rm 7:24</w:t>
      </w:r>
      <w:r>
        <w:br/>
      </w:r>
      <w:r>
        <w:rPr>
          <w:b/>
        </w:rPr>
        <w:t>Archivo leído:</w:t>
      </w:r>
      <w:r>
        <w:t xml:space="preserve"> ro_7_19_rva.html; ro_7_24_rva.html (c9h\ro_7_24_rva.html) · contraste del archivo de pasajes: ✔</w:t>
      </w:r>
      <w:r>
        <w:br/>
      </w:r>
      <w:r>
        <w:rPr>
          <w:b/>
        </w:rPr>
        <w:t>Lugar:</w:t>
      </w:r>
      <w:r>
        <w:t xml:space="preserve"> v. 19</w:t>
      </w:r>
      <w:r>
        <w:br/>
      </w:r>
      <w:r>
        <w:rPr>
          <w:b/>
        </w:rPr>
        <w:t>Dirección:</w:t>
      </w:r>
      <w:r>
        <w:t xml:space="preserve"> </w:t>
      </w:r>
      <w:r>
        <w:t>https://www.biblegateway.com/passage/?search=Romans+7%3A19&amp;version=RVA</w:t>
      </w:r>
      <w:r>
        <w:t xml:space="preserve"> ; </w:t>
      </w:r>
      <w:r>
        <w:t>https://www.biblegateway.com/passage/?search=Romans+7%3A24&amp;version=RVA</w:t>
      </w:r>
      <w:r>
        <w:br/>
      </w:r>
      <w:r>
        <w:rPr>
          <w:b/>
        </w:rPr>
        <w:t>Tal como está en la fuente:</w:t>
      </w:r>
      <w:r>
        <w:t xml:space="preserve"> Miserable hombre de mí! ¿quién me librará del cuerpo de esta muerte?</w:t>
      </w:r>
      <w:r>
        <w:br/>
      </w:r>
      <w:r>
        <w:rPr>
          <w:b/>
        </w:rPr>
        <w:t>Traducción guardada:</w:t>
      </w:r>
      <w:r>
        <w:t xml:space="preserve"> así, sin signo de apertura</w:t>
      </w:r>
      <w:r>
        <w:t>.</w:t>
      </w:r>
    </w:p>
    <w:p>
      <w:pPr>
        <w:pStyle w:val="ListBullet"/>
      </w:pPr>
      <w:r>
        <w:t xml:space="preserve">«amarás á tu prójimo como á ti mismo» (Lv 19:18) y «La caridad no hace mal al prójimo» (Rm 13:10), en </w:t>
      </w:r>
      <w:r>
        <w:t>0.5</w:t>
      </w:r>
      <w:r>
        <w:t>. Pablo lo resume: «toda la ley en aquesta sola palabra se cumple: Amarás á tu prójimo como á ti mismo»</w:t>
      </w:r>
      <w:r>
        <w:t xml:space="preserve"> (Gá 5:14)</w:t>
      </w:r>
      <w:r>
        <w:br/>
      </w:r>
      <w:r>
        <w:rPr>
          <w:b/>
        </w:rPr>
        <w:t>leída en su fuente · Gá 5:14</w:t>
      </w:r>
      <w:r>
        <w:br/>
      </w:r>
      <w:r>
        <w:rPr>
          <w:b/>
        </w:rPr>
        <w:t>Archivo leído:</w:t>
      </w:r>
      <w:r>
        <w:t xml:space="preserve"> ga_5_14_rva.html; ga_6_1_rva.html; ga_6_1_rvr1960.html (c9h\ga_5_14_rva.html) · contraste del archivo de pasajes: ✔</w:t>
      </w:r>
      <w:r>
        <w:br/>
      </w:r>
      <w:r>
        <w:rPr>
          <w:b/>
        </w:rPr>
        <w:t>Lugar:</w:t>
      </w:r>
      <w:r>
        <w:t xml:space="preserve"> 5:14</w:t>
      </w:r>
      <w:r>
        <w:br/>
      </w:r>
      <w:r>
        <w:rPr>
          <w:b/>
        </w:rPr>
        <w:t>Dirección:</w:t>
      </w:r>
      <w:r>
        <w:t xml:space="preserve"> </w:t>
      </w:r>
      <w:r>
        <w:t>https://www.biblegateway.com/passage/?search=Galatians+5%3A14&amp;version=RVA</w:t>
      </w:r>
      <w:r>
        <w:t xml:space="preserve"> ; </w:t>
      </w:r>
      <w:r>
        <w:t>https://www.biblegateway.com/passage/?search=Galatians+6%3A1&amp;version=RVA</w:t>
      </w:r>
      <w:r>
        <w:br/>
      </w:r>
      <w:r>
        <w:rPr>
          <w:b/>
        </w:rPr>
        <w:t>Tal como está en la fuente:</w:t>
      </w:r>
      <w:r>
        <w:t xml:space="preserve"> Porque toda la ley en aquesta sola palabra se cumple: Amarás á tu prójimo como á ti mismo.</w:t>
      </w:r>
      <w:r>
        <w:t>; y a quien corrige al que cae le pide hacerlo «considerándote á ti mismo, porque tú no seas también tentado»</w:t>
      </w:r>
      <w:r>
        <w:t xml:space="preserve"> (Gá 6:1)</w:t>
      </w:r>
      <w:r>
        <w:br/>
      </w:r>
      <w:r>
        <w:rPr>
          <w:b/>
        </w:rPr>
        <w:t>leída en su fuente · Gá 6:1</w:t>
      </w:r>
      <w:r>
        <w:br/>
      </w:r>
      <w:r>
        <w:rPr>
          <w:b/>
        </w:rPr>
        <w:t>Archivo leído:</w:t>
      </w:r>
      <w:r>
        <w:t xml:space="preserve"> ga_5_14_rva.html; ga_6_1_rva.html; ga_6_1_rvr1960.html (c9h\ga_6_1_rva.html) · contraste del archivo de pasajes: ✔</w:t>
      </w:r>
      <w:r>
        <w:br/>
      </w:r>
      <w:r>
        <w:rPr>
          <w:b/>
        </w:rPr>
        <w:t>Lugar:</w:t>
      </w:r>
      <w:r>
        <w:t xml:space="preserve"> 5:14</w:t>
      </w:r>
      <w:r>
        <w:br/>
      </w:r>
      <w:r>
        <w:rPr>
          <w:b/>
        </w:rPr>
        <w:t>Dirección:</w:t>
      </w:r>
      <w:r>
        <w:t xml:space="preserve"> </w:t>
      </w:r>
      <w:r>
        <w:t>https://www.biblegateway.com/passage/?search=Galatians+5%3A14&amp;version=RVA</w:t>
      </w:r>
      <w:r>
        <w:t xml:space="preserve"> ; </w:t>
      </w:r>
      <w:r>
        <w:t>https://www.biblegateway.com/passage/?search=Galatians+6%3A1&amp;version=RVA</w:t>
      </w:r>
      <w:r>
        <w:br/>
      </w:r>
      <w:r>
        <w:rPr>
          <w:b/>
        </w:rPr>
        <w:t>Tal como está en la fuente:</w:t>
      </w:r>
      <w:r>
        <w:t xml:space="preserve"> HERMANOS, si alguno fuere tomado en alguna falta, vosotros que sois espirituales, restaurad al tal con el espíritu de mansedumbre; considerándote á ti mismo, porque tú no seas también tentado.</w:t>
      </w:r>
      <w:r>
        <w:t>.</w:t>
      </w:r>
    </w:p>
    <w:p>
      <w:pPr>
        <w:pStyle w:val="ListBullet"/>
      </w:pPr>
      <w:r>
        <w:t>La regla de oro: «Y como queréis que os hagan los hombres, así hacedles también vosotros»</w:t>
      </w:r>
      <w:r>
        <w:t xml:space="preserve"> (Lc 6:31)</w:t>
      </w:r>
      <w:r>
        <w:br/>
      </w:r>
      <w:r>
        <w:rPr>
          <w:b/>
        </w:rPr>
        <w:t>leída en su fuente · Lc 6:31</w:t>
      </w:r>
      <w:r>
        <w:br/>
      </w:r>
      <w:r>
        <w:rPr>
          <w:b/>
        </w:rPr>
        <w:t>Archivo leído:</w:t>
      </w:r>
      <w:r>
        <w:t xml:space="preserve"> lc_6_31_rva.html; mt_7_12_rva.html; rvr1960_lc_6_31.html; rvr1960_mt_7_12.html (c9g\lc_6_31_rva.html) · contraste del archivo de pasajes: ✔</w:t>
      </w:r>
      <w:r>
        <w:br/>
      </w:r>
      <w:r>
        <w:rPr>
          <w:b/>
        </w:rPr>
        <w:t>Lugar:</w:t>
      </w:r>
      <w:r>
        <w:t xml:space="preserve"> RVA Lc 6:31</w:t>
      </w:r>
      <w:r>
        <w:br/>
      </w:r>
      <w:r>
        <w:rPr>
          <w:b/>
        </w:rPr>
        <w:t>Dirección:</w:t>
      </w:r>
      <w:r>
        <w:t xml:space="preserve"> </w:t>
      </w:r>
      <w:r>
        <w:t>https://www.biblegateway.com/passage/?search=Luke+6%3A31&amp;version=RVA</w:t>
      </w:r>
      <w:r>
        <w:br/>
      </w:r>
      <w:r>
        <w:rPr>
          <w:b/>
        </w:rPr>
        <w:t>Tal como está en la fuente:</w:t>
      </w:r>
      <w:r>
        <w:t xml:space="preserve"> Y como queréis que os hagan los hombres, así hacedles también vosotros:</w:t>
      </w:r>
      <w:r>
        <w:t>; y en Mateo: «todas las cosas que quisierais que los hombres hiciesen con vosotros, así también haced vosotros con ellos; porque esta es la ley y los profetas»</w:t>
      </w:r>
      <w:r>
        <w:t xml:space="preserve"> (Mt 7:12)</w:t>
      </w:r>
      <w:r>
        <w:br/>
      </w:r>
      <w:r>
        <w:rPr>
          <w:b/>
        </w:rPr>
        <w:t>leída en su fuente · Mt 7:12</w:t>
      </w:r>
      <w:r>
        <w:br/>
      </w:r>
      <w:r>
        <w:rPr>
          <w:b/>
        </w:rPr>
        <w:t>Archivo leído:</w:t>
      </w:r>
      <w:r>
        <w:t xml:space="preserve"> lc_6_31_rva.html; mt_7_12_rva.html; rvr1960_lc_6_31.html; rvr1960_mt_7_12.html (c9g\mt_7_12_rva.html) · contraste del archivo de pasajes: ✔</w:t>
      </w:r>
      <w:r>
        <w:br/>
      </w:r>
      <w:r>
        <w:rPr>
          <w:b/>
        </w:rPr>
        <w:t>Lugar:</w:t>
      </w:r>
      <w:r>
        <w:t xml:space="preserve"> RVA Lc 6:31</w:t>
      </w:r>
      <w:r>
        <w:br/>
      </w:r>
      <w:r>
        <w:rPr>
          <w:b/>
        </w:rPr>
        <w:t>Dirección:</w:t>
      </w:r>
      <w:r>
        <w:t xml:space="preserve"> </w:t>
      </w:r>
      <w:r>
        <w:t>https://www.biblegateway.com/passage/?search=Luke+6%3A31&amp;version=RVA</w:t>
      </w:r>
      <w:r>
        <w:br/>
      </w:r>
      <w:r>
        <w:rPr>
          <w:b/>
        </w:rPr>
        <w:t>Tal como está en la fuente:</w:t>
      </w:r>
      <w:r>
        <w:t xml:space="preserve"> Así que, todas las cosas que quisierais que los hombres hiciesen con vosotros, así también haced vosotros con ellos; porque esta es la ley y los profetas.</w:t>
      </w:r>
      <w:r>
        <w:t>.</w:t>
      </w:r>
    </w:p>
    <w:p>
      <w:pPr>
        <w:pStyle w:val="ListBullet"/>
      </w:pPr>
      <w:r>
        <w:t>A quien invita a los que no pueden devolverle la invitación: «porque no te pueden retribuir; mas te será recompensado en la resurrección de los justos»</w:t>
      </w:r>
      <w:r>
        <w:t xml:space="preserve"> (Lc 14:14)</w:t>
      </w:r>
      <w:r>
        <w:br/>
      </w:r>
      <w:r>
        <w:rPr>
          <w:b/>
        </w:rPr>
        <w:t>leída en su fuente · Lc 14:14</w:t>
      </w:r>
      <w:r>
        <w:br/>
      </w:r>
      <w:r>
        <w:rPr>
          <w:b/>
        </w:rPr>
        <w:t>Archivo leído:</w:t>
      </w:r>
      <w:r>
        <w:t xml:space="preserve"> lc_14_14_rva.html (c9h\lc_14_14_rva.html) · contraste del archivo de pasajes: ✔</w:t>
      </w:r>
      <w:r>
        <w:br/>
      </w:r>
      <w:r>
        <w:rPr>
          <w:b/>
        </w:rPr>
        <w:t>Lugar:</w:t>
      </w:r>
      <w:r>
        <w:t xml:space="preserve"> v. 14</w:t>
      </w:r>
      <w:r>
        <w:br/>
      </w:r>
      <w:r>
        <w:rPr>
          <w:b/>
        </w:rPr>
        <w:t>Dirección:</w:t>
      </w:r>
      <w:r>
        <w:t xml:space="preserve"> </w:t>
      </w:r>
      <w:r>
        <w:t>https://www.biblegateway.com/passage/?search=Luke+14%3A14&amp;version=RVA</w:t>
      </w:r>
      <w:r>
        <w:br/>
      </w:r>
      <w:r>
        <w:rPr>
          <w:b/>
        </w:rPr>
        <w:t>Tal como está en la fuente:</w:t>
      </w:r>
      <w:r>
        <w:t xml:space="preserve"> Y serás bienaventurado; porque no te pueden retribuir; mas te será recompensado en la resurrección de los justos.</w:t>
      </w:r>
      <w:r>
        <w:t>.</w:t>
      </w:r>
    </w:p>
    <w:p>
      <w:pPr>
        <w:pStyle w:val="ListBullet"/>
      </w:pPr>
      <w:r>
        <w:t>La parábola del fariseo y el publicano, dicha «á unos que confiaban de sí como justos, y menospreciaban á los otros»</w:t>
      </w:r>
      <w:r>
        <w:t xml:space="preserve"> (Lc 18:9)</w:t>
      </w:r>
      <w:r>
        <w:br/>
      </w:r>
      <w:r>
        <w:rPr>
          <w:b/>
        </w:rPr>
        <w:t>leída en su fuente · Lc 18:9</w:t>
      </w:r>
      <w:r>
        <w:br/>
      </w:r>
      <w:r>
        <w:rPr>
          <w:b/>
        </w:rPr>
        <w:t>Archivo leído:</w:t>
      </w:r>
      <w:r>
        <w:t xml:space="preserve"> lc_18_9-14_rva.html; lc_18_9_rvr1960.html (c9h\lc_18_9-14_rva.html) · contraste del archivo de pasajes: ✔</w:t>
      </w:r>
      <w:r>
        <w:br/>
      </w:r>
      <w:r>
        <w:rPr>
          <w:b/>
        </w:rPr>
        <w:t>Lugar:</w:t>
      </w:r>
      <w:r>
        <w:t xml:space="preserve"> RVA, v. 9</w:t>
      </w:r>
      <w:r>
        <w:br/>
      </w:r>
      <w:r>
        <w:rPr>
          <w:b/>
        </w:rPr>
        <w:t>Dirección:</w:t>
      </w:r>
      <w:r>
        <w:t xml:space="preserve"> </w:t>
      </w:r>
      <w:r>
        <w:t>https://www.biblegateway.com/passage/?search=Luke+18%3A9-14&amp;version=RVA</w:t>
      </w:r>
      <w:r>
        <w:t xml:space="preserve"> ; </w:t>
      </w:r>
      <w:r>
        <w:t>https://www.biblegateway.com/passage/?search=Luke+18%3A9&amp;version=RVR1960</w:t>
      </w:r>
      <w:r>
        <w:br/>
      </w:r>
      <w:r>
        <w:rPr>
          <w:b/>
        </w:rPr>
        <w:t>Tal como está en la fuente:</w:t>
      </w:r>
      <w:r>
        <w:t xml:space="preserve"> Y dijo también á unos que confiaban de sí como justos, y menospreciaban á los otros, esta parábola:</w:t>
      </w:r>
      <w:r>
        <w:t>, acaba así: «cualquiera que se ensalza, será humillado; y el que se humilla, será ensalzado»</w:t>
      </w:r>
      <w:r>
        <w:t xml:space="preserve"> (Lc 18:14)</w:t>
      </w:r>
      <w:r>
        <w:br/>
      </w:r>
      <w:r>
        <w:rPr>
          <w:b/>
        </w:rPr>
        <w:t>leída en su fuente · Lc 18:14</w:t>
      </w:r>
      <w:r>
        <w:br/>
      </w:r>
      <w:r>
        <w:rPr>
          <w:b/>
        </w:rPr>
        <w:t>Archivo leído:</w:t>
      </w:r>
      <w:r>
        <w:t xml:space="preserve"> lc_18_9-14_rva.html; lc_18_14_rvr1960.html (c9h\lc_18_9-14_rva.html; c9h\lc_18_14_rvr1960.html) · contraste del archivo de pasajes: ✔</w:t>
      </w:r>
      <w:r>
        <w:br/>
      </w:r>
      <w:r>
        <w:rPr>
          <w:b/>
        </w:rPr>
        <w:t>Lugar:</w:t>
      </w:r>
      <w:r>
        <w:t xml:space="preserve"> RVA, v. 14</w:t>
      </w:r>
      <w:r>
        <w:br/>
      </w:r>
      <w:r>
        <w:rPr>
          <w:b/>
        </w:rPr>
        <w:t>Tal como está en la fuente:</w:t>
      </w:r>
      <w:r>
        <w:t xml:space="preserve"> Os digo que éste descendió á su casa justificado antes que el otro; porque cualquiera que se ensalza, será humillado; y el que se humilla, será ensalzado.</w:t>
      </w:r>
      <w:r>
        <w:t>.</w:t>
      </w:r>
    </w:p>
    <w:p>
      <w:pPr>
        <w:pStyle w:val="ListBullet"/>
      </w:pPr>
      <w:r>
        <w:t>Hacerse pequeño: «A él conviene crecer, mas á mí menguar»</w:t>
      </w:r>
      <w:r>
        <w:t xml:space="preserve"> (Jn 3:30)</w:t>
      </w:r>
      <w:r>
        <w:br/>
      </w:r>
      <w:r>
        <w:rPr>
          <w:b/>
        </w:rPr>
        <w:t>leída en su fuente · Jn 3:30</w:t>
      </w:r>
      <w:r>
        <w:br/>
      </w:r>
      <w:r>
        <w:rPr>
          <w:b/>
        </w:rPr>
        <w:t>Archivo leído:</w:t>
      </w:r>
      <w:r>
        <w:t xml:space="preserve"> jn_3_30_rva.html; jn_3_30_rvr1960.html (c9h\jn_3_30_rva.html) · contraste del archivo de pasajes: ✔</w:t>
      </w:r>
      <w:r>
        <w:br/>
      </w:r>
      <w:r>
        <w:rPr>
          <w:b/>
        </w:rPr>
        <w:t>Lugar:</w:t>
      </w:r>
      <w:r>
        <w:t xml:space="preserve"> RVA, v. 30</w:t>
      </w:r>
      <w:r>
        <w:br/>
      </w:r>
      <w:r>
        <w:rPr>
          <w:b/>
        </w:rPr>
        <w:t>Dirección:</w:t>
      </w:r>
      <w:r>
        <w:t xml:space="preserve"> </w:t>
      </w:r>
      <w:r>
        <w:t>https://www.biblegateway.com/passage/?search=John+3%3A30&amp;version=RVA</w:t>
      </w:r>
      <w:r>
        <w:t xml:space="preserve"> ; </w:t>
      </w:r>
      <w:r>
        <w:t>https://www.biblegateway.com/passage/?search=John+3%3A30&amp;version=RVR1960</w:t>
      </w:r>
      <w:r>
        <w:br/>
      </w:r>
      <w:r>
        <w:rPr>
          <w:b/>
        </w:rPr>
        <w:t>Tal como está en la fuente:</w:t>
      </w:r>
      <w:r>
        <w:t xml:space="preserve"> A él conviene crecer, mas á mí menguar.</w:t>
      </w:r>
      <w:r>
        <w:t>; «vivo, no ya yo, mas vive Cristo en mí»</w:t>
      </w:r>
      <w:r>
        <w:t xml:space="preserve"> (Gá 2:20)</w:t>
      </w:r>
      <w:r>
        <w:br/>
      </w:r>
      <w:r>
        <w:rPr>
          <w:b/>
        </w:rPr>
        <w:t>leída en su fuente · Gá 2:20</w:t>
      </w:r>
      <w:r>
        <w:br/>
      </w:r>
      <w:r>
        <w:rPr>
          <w:b/>
        </w:rPr>
        <w:t>Archivo leído:</w:t>
      </w:r>
      <w:r>
        <w:t xml:space="preserve"> ga_2_20_rva.html; ga_2_20_rvr1960.html (c9h\ga_2_20_rva.html) · contraste del archivo de pasajes: ✔</w:t>
      </w:r>
      <w:r>
        <w:br/>
      </w:r>
      <w:r>
        <w:rPr>
          <w:b/>
        </w:rPr>
        <w:t>Lugar:</w:t>
      </w:r>
      <w:r>
        <w:t xml:space="preserve"> RVA, v. 20</w:t>
      </w:r>
      <w:r>
        <w:br/>
      </w:r>
      <w:r>
        <w:rPr>
          <w:b/>
        </w:rPr>
        <w:t>Dirección:</w:t>
      </w:r>
      <w:r>
        <w:t xml:space="preserve"> </w:t>
      </w:r>
      <w:r>
        <w:t>https://www.biblegateway.com/passage/?search=Galatians+2%3A20&amp;version=RVA</w:t>
      </w:r>
      <w:r>
        <w:t xml:space="preserve"> ; </w:t>
      </w:r>
      <w:r>
        <w:t>https://www.biblegateway.com/passage/?search=Galatians+2%3A20&amp;version=RVR1960</w:t>
      </w:r>
      <w:r>
        <w:br/>
      </w:r>
      <w:r>
        <w:rPr>
          <w:b/>
        </w:rPr>
        <w:t>Tal como está en la fuente:</w:t>
      </w:r>
      <w:r>
        <w:t xml:space="preserve"> Con Cristo estoy juntamente crucificado, y vivo, no ya yo, mas vive Cristo en mí: y lo que ahora vivo en la carne, lo vivo en la fe del Hijo de Dios, el cual me amó, y se entregó á sí mismo por mí.</w:t>
      </w:r>
      <w:r>
        <w:t>; Abraham, que habla a Dios «aunque soy polvo y ceniza»</w:t>
      </w:r>
      <w:r>
        <w:t xml:space="preserve"> (Gn 18:27)</w:t>
      </w:r>
      <w:r>
        <w:br/>
      </w:r>
      <w:r>
        <w:rPr>
          <w:b/>
        </w:rPr>
        <w:t>pasaje guardado</w:t>
      </w:r>
      <w:r>
        <w:br/>
      </w:r>
      <w:r>
        <w:rPr>
          <w:b/>
        </w:rPr>
        <w:t>Archivo leído:</w:t>
      </w:r>
      <w:r>
        <w:t xml:space="preserve"> gn_18_27_rva.html; gn_18_27_rvr1960.html (c9h\gn_18_27_rva.html; c9h\gn_18_27_rvr1960.html) · contraste del archivo de pasajes: ✔</w:t>
      </w:r>
      <w:r>
        <w:br/>
      </w:r>
      <w:r>
        <w:rPr>
          <w:b/>
        </w:rPr>
        <w:t>Lugar:</w:t>
      </w:r>
      <w:r>
        <w:t xml:space="preserve"> v. 27</w:t>
      </w:r>
      <w:r>
        <w:br/>
      </w:r>
      <w:r>
        <w:rPr>
          <w:b/>
        </w:rPr>
        <w:t>Dirección:</w:t>
      </w:r>
      <w:r>
        <w:t xml:space="preserve"> </w:t>
      </w:r>
      <w:r>
        <w:t>https://www.biblegateway.com/passage/?search=Genesis+18%3A27&amp;version=RVA</w:t>
      </w:r>
      <w:r>
        <w:br/>
      </w:r>
      <w:r>
        <w:rPr>
          <w:b/>
        </w:rPr>
        <w:t>Tal como está en la fuente:</w:t>
      </w:r>
      <w:r>
        <w:t xml:space="preserve"> Y Abraham replicó y dijo: He aquí ahora que he comenzado á hablar á mi Señor, aunque soy polvo y ceniza:</w:t>
      </w:r>
      <w:r>
        <w:t>; Moisés: «¿Quién soy yo, para que vaya á Faraón, y saque de Egipto á los hijos de Israel?»</w:t>
      </w:r>
      <w:r>
        <w:t xml:space="preserve"> (Ex 3:11)</w:t>
      </w:r>
      <w:r>
        <w:br/>
      </w:r>
      <w:r>
        <w:rPr>
          <w:b/>
        </w:rPr>
        <w:t>leída en su fuente · Ex 3:11</w:t>
      </w:r>
      <w:r>
        <w:br/>
      </w:r>
      <w:r>
        <w:rPr>
          <w:b/>
        </w:rPr>
        <w:t>Archivo leído:</w:t>
      </w:r>
      <w:r>
        <w:t xml:space="preserve"> spaRV1909_texto_corrido.txt (biblia_rv1909\spaRV1909_texto_corrido.txt) · contraste del archivo de pasajes: ✔</w:t>
      </w:r>
      <w:r>
        <w:br/>
      </w:r>
      <w:r>
        <w:rPr>
          <w:b/>
        </w:rPr>
        <w:t>Lugar:</w:t>
      </w:r>
      <w:r>
        <w:t xml:space="preserve"> Ex 3:11</w:t>
      </w:r>
      <w:r>
        <w:br/>
      </w:r>
      <w:r>
        <w:rPr>
          <w:b/>
        </w:rPr>
        <w:t>Tal como está en la fuente:</w:t>
      </w:r>
      <w:r>
        <w:t xml:space="preserve"> ¿Quién soy yo, para que vaya á Faraón, y saque de Egipto á los hijos de Israel?</w:t>
      </w:r>
      <w:r>
        <w:t>; y Moisés y Aarón ante las quejas del pueblo: «nosotros, ¿qué somos, para que vosotros murmuréis contra nosotros?»</w:t>
      </w:r>
      <w:r>
        <w:t xml:space="preserve"> (Ex 16:7)</w:t>
      </w:r>
      <w:r>
        <w:br/>
      </w:r>
      <w:r>
        <w:rPr>
          <w:b/>
        </w:rPr>
        <w:t>leída en su fuente · Ex 16:7</w:t>
      </w:r>
      <w:r>
        <w:br/>
      </w:r>
      <w:r>
        <w:rPr>
          <w:b/>
        </w:rPr>
        <w:t>Archivo leído:</w:t>
      </w:r>
      <w:r>
        <w:t xml:space="preserve"> spaRV1909_texto_corrido.txt (biblia_rv1909\spaRV1909_texto_corrido.txt) · contraste del archivo de pasajes: ✔</w:t>
      </w:r>
      <w:r>
        <w:br/>
      </w:r>
      <w:r>
        <w:rPr>
          <w:b/>
        </w:rPr>
        <w:t>Lugar:</w:t>
      </w:r>
      <w:r>
        <w:t xml:space="preserve"> Ex 16:7</w:t>
      </w:r>
      <w:r>
        <w:br/>
      </w:r>
      <w:r>
        <w:rPr>
          <w:b/>
        </w:rPr>
        <w:t>Tal como está en la fuente:</w:t>
      </w:r>
      <w:r>
        <w:t xml:space="preserve"> nosotros, ¿qué somos, para que vosotros murmuréis contra nosotros?</w:t>
      </w:r>
      <w:r>
        <w:t>.</w:t>
      </w:r>
    </w:p>
    <w:p>
      <w:pPr>
        <w:pStyle w:val="ListBullet"/>
      </w:pPr>
      <w:r>
        <w:t xml:space="preserve">«la verdad os libertará» (Jn 8:31-32) y el padre de la mentira (Jn 8:44), en </w:t>
      </w:r>
      <w:r>
        <w:t>4.4</w:t>
      </w:r>
      <w:r>
        <w:t xml:space="preserve">; «Mi reino no es de este mundo» (Jn 18:36), en </w:t>
      </w:r>
      <w:r>
        <w:t>6.2</w:t>
      </w:r>
      <w:r>
        <w:t>.</w:t>
      </w:r>
    </w:p>
    <w:p>
      <w:pPr>
        <w:pStyle w:val="ListBullet"/>
      </w:pPr>
      <w:r>
        <w:t xml:space="preserve">«Despiértate, tú que duermes» (Ef 5:14), en </w:t>
      </w:r>
      <w:r>
        <w:t>11.6</w:t>
      </w:r>
      <w:r>
        <w:t>.</w:t>
      </w:r>
    </w:p>
    <w:p>
      <w:pPr>
        <w:pStyle w:val="ListBullet"/>
      </w:pPr>
      <w:r>
        <w:t>La fe y las obras: «muéstrame tu fe sin tus obras, y yo te mostraré mi fe por mis obras»</w:t>
      </w:r>
      <w:r>
        <w:t xml:space="preserve"> (Stg 2:18)</w:t>
      </w:r>
      <w:r>
        <w:br/>
      </w:r>
      <w:r>
        <w:rPr>
          <w:b/>
        </w:rPr>
        <w:t>leída en su fuente · Stg 2:18</w:t>
      </w:r>
      <w:r>
        <w:br/>
      </w:r>
      <w:r>
        <w:rPr>
          <w:b/>
        </w:rPr>
        <w:t>Archivo leído:</w:t>
      </w:r>
      <w:r>
        <w:t xml:space="preserve"> stg_2_18_rva.html; stg_2_18_rvr1960.html (c9h\stg_2_18_rva.html; c9h\stg_2_18_rvr1960.html) · contraste del archivo de pasajes: ✔</w:t>
      </w:r>
      <w:r>
        <w:br/>
      </w:r>
      <w:r>
        <w:rPr>
          <w:b/>
        </w:rPr>
        <w:t>Lugar:</w:t>
      </w:r>
      <w:r>
        <w:t xml:space="preserve"> v. 18</w:t>
      </w:r>
      <w:r>
        <w:br/>
      </w:r>
      <w:r>
        <w:rPr>
          <w:b/>
        </w:rPr>
        <w:t>Dirección:</w:t>
      </w:r>
      <w:r>
        <w:t xml:space="preserve"> </w:t>
      </w:r>
      <w:r>
        <w:t>https://www.biblegateway.com/passage/?search=James+2%3A18&amp;version=RVA</w:t>
      </w:r>
      <w:r>
        <w:br/>
      </w:r>
      <w:r>
        <w:rPr>
          <w:b/>
        </w:rPr>
        <w:t>Tal como está en la fuente:</w:t>
      </w:r>
      <w:r>
        <w:t xml:space="preserve"> Pero alguno dirá: Tú tienes fe, y yo tengo obras: muéstrame tu fe sin tus obras, y yo te mostraré mi fe por mis obras.</w:t>
      </w:r>
      <w:r>
        <w:br/>
      </w:r>
      <w:r>
        <w:rPr>
          <w:b/>
        </w:rPr>
        <w:t>Traducción guardada:</w:t>
      </w:r>
      <w:r>
        <w:t xml:space="preserve"> igual en la RVR1960</w:t>
      </w:r>
      <w:r>
        <w:t xml:space="preserve">; y el pecado de quien sabe hacer lo bueno y no lo hace (Stg 4:17), en </w:t>
      </w:r>
      <w:r>
        <w:t>10.1</w:t>
      </w:r>
      <w:r>
        <w:t xml:space="preserve"> y </w:t>
      </w:r>
      <w:r>
        <w:t>11.6</w:t>
      </w:r>
      <w:r>
        <w:t>.</w:t>
      </w:r>
    </w:p>
    <w:p>
      <w:pPr>
        <w:pStyle w:val="ListBullet"/>
      </w:pPr>
      <w:r>
        <w:t xml:space="preserve">El Hijo del hombre, que no vino a ser servido sino a servir (Mt 20:28), en </w:t>
      </w:r>
      <w:r>
        <w:t>3.6</w:t>
      </w:r>
      <w:r>
        <w:t>.</w:t>
      </w:r>
    </w:p>
    <w:p>
      <w:pPr>
        <w:pStyle w:val="ListBullet"/>
      </w:pPr>
      <w:r>
        <w:t>«La ciencia hincha, mas la caridad edifica»</w:t>
      </w:r>
      <w:r>
        <w:t xml:space="preserve"> (1 Co 8:1)</w:t>
      </w:r>
      <w:r>
        <w:br/>
      </w:r>
      <w:r>
        <w:rPr>
          <w:b/>
        </w:rPr>
        <w:t>leída en su fuente · 1 Co 8:1</w:t>
      </w:r>
      <w:r>
        <w:br/>
      </w:r>
      <w:r>
        <w:rPr>
          <w:b/>
        </w:rPr>
        <w:t>Archivo leído:</w:t>
      </w:r>
      <w:r>
        <w:t xml:space="preserve"> 1co_8_1_rva.html; 1co_8_1_rvr1960.html (c9h\1co_8_1_rva.html) · contraste del archivo de pasajes: ✔</w:t>
      </w:r>
      <w:r>
        <w:br/>
      </w:r>
      <w:r>
        <w:rPr>
          <w:b/>
        </w:rPr>
        <w:t>Lugar:</w:t>
      </w:r>
      <w:r>
        <w:t xml:space="preserve"> RVA, v. 1</w:t>
      </w:r>
      <w:r>
        <w:br/>
      </w:r>
      <w:r>
        <w:rPr>
          <w:b/>
        </w:rPr>
        <w:t>Dirección:</w:t>
      </w:r>
      <w:r>
        <w:t xml:space="preserve"> </w:t>
      </w:r>
      <w:r>
        <w:t>https://www.biblegateway.com/passage/?search=1+Corinthians+8%3A1&amp;version=RVA</w:t>
      </w:r>
      <w:r>
        <w:t xml:space="preserve"> ; </w:t>
      </w:r>
      <w:r>
        <w:t>https://www.biblegateway.com/passage/?search=1+Corinthians+8%3A1&amp;version=RVR1960</w:t>
      </w:r>
      <w:r>
        <w:br/>
      </w:r>
      <w:r>
        <w:rPr>
          <w:b/>
        </w:rPr>
        <w:t>Tal como está en la fuente:</w:t>
      </w:r>
      <w:r>
        <w:t xml:space="preserve"> Y POR lo que hace á lo sacrificado á los ídolos, sabemos que todos tenemos ciencia. La ciencia hincha, mas la caridad edifica.</w:t>
      </w:r>
      <w:r>
        <w:t>.</w:t>
      </w:r>
    </w:p>
    <w:p>
      <w:pPr>
        <w:pStyle w:val="ListBullet"/>
      </w:pPr>
      <w:r>
        <w:t>«No te pondrás contra la sangre de tu prójimo»</w:t>
      </w:r>
      <w:r>
        <w:t xml:space="preserve"> (Lv 19:16)</w:t>
      </w:r>
      <w:r>
        <w:br/>
      </w:r>
      <w:r>
        <w:rPr>
          <w:b/>
        </w:rPr>
        <w:t>leída en su fuente · Lv 19:16</w:t>
      </w:r>
      <w:r>
        <w:br/>
      </w:r>
      <w:r>
        <w:rPr>
          <w:b/>
        </w:rPr>
        <w:t>Archivo leído:</w:t>
      </w:r>
      <w:r>
        <w:t xml:space="preserve"> lv_19_16_rva.html; lv_19_16_rvr1960.html; lv_19_16_wlc.html (c9h\lv_19_16_rva.html) · contraste del archivo de pasajes: ✔</w:t>
      </w:r>
      <w:r>
        <w:br/>
      </w:r>
      <w:r>
        <w:rPr>
          <w:b/>
        </w:rPr>
        <w:t>Lugar:</w:t>
      </w:r>
      <w:r>
        <w:t xml:space="preserve"> RVA, v. 16</w:t>
      </w:r>
      <w:r>
        <w:br/>
      </w:r>
      <w:r>
        <w:rPr>
          <w:b/>
        </w:rPr>
        <w:t>Dirección:</w:t>
      </w:r>
      <w:r>
        <w:t xml:space="preserve"> </w:t>
      </w:r>
      <w:r>
        <w:t>https://www.biblegateway.com/passage/?search=Leviticus+19%3A16&amp;version=RVA</w:t>
      </w:r>
      <w:r>
        <w:t xml:space="preserve"> ; </w:t>
      </w:r>
      <w:r>
        <w:t>…&amp;version=RVR1960</w:t>
      </w:r>
      <w:r>
        <w:t xml:space="preserve"> ; </w:t>
      </w:r>
      <w:r>
        <w:t>…&amp;version=WLC</w:t>
      </w:r>
      <w:r>
        <w:br/>
      </w:r>
      <w:r>
        <w:rPr>
          <w:b/>
        </w:rPr>
        <w:t>Tal como está en la fuente:</w:t>
      </w:r>
      <w:r>
        <w:t xml:space="preserve"> No andarás chismeando en tus pueblos. No te pondrás contra la sangre de tu prójimo: Yo Jehová.</w:t>
      </w:r>
      <w:r>
        <w:t>. El hebreo dice, palabra por palabra, «no estarás sobre la sangre de tu prójimo»</w:t>
      </w:r>
      <w:r>
        <w:t xml:space="preserve"> [original: «לֹ֥א תַעֲמֹ֖ד עַל־דַּ֣ם רֵעֶ֑ךָ»]</w:t>
      </w:r>
      <w:r>
        <w:t>.</w:t>
      </w:r>
    </w:p>
    <w:p>
      <w:pPr>
        <w:pStyle w:val="ListBullet"/>
      </w:pPr>
      <w:r>
        <w:t>«Decid al justo que le irá bien: porque comerá de los frutos de sus manos»</w:t>
      </w:r>
      <w:r>
        <w:t xml:space="preserve"> (Is 3:10)</w:t>
      </w:r>
      <w:r>
        <w:br/>
      </w:r>
      <w:r>
        <w:rPr>
          <w:b/>
        </w:rPr>
        <w:t>leída en su fuente · Is 3:10</w:t>
      </w:r>
      <w:r>
        <w:br/>
      </w:r>
      <w:r>
        <w:rPr>
          <w:b/>
        </w:rPr>
        <w:t>Archivo leído:</w:t>
      </w:r>
      <w:r>
        <w:t xml:space="preserve"> is_3_10_rva.html; is_3_10_rvr1960.html; is_3_10_wlc.html (c9h\is_3_10_rva.html; c9h\is_3_10_rvr1960.html) · contraste del archivo de pasajes: ✔</w:t>
      </w:r>
      <w:r>
        <w:br/>
      </w:r>
      <w:r>
        <w:rPr>
          <w:b/>
        </w:rPr>
        <w:t>Lugar:</w:t>
      </w:r>
      <w:r>
        <w:t xml:space="preserve"> RVA, v. 10</w:t>
      </w:r>
      <w:r>
        <w:br/>
      </w:r>
      <w:r>
        <w:rPr>
          <w:b/>
        </w:rPr>
        <w:t>Dirección:</w:t>
      </w:r>
      <w:r>
        <w:t xml:space="preserve"> </w:t>
      </w:r>
      <w:r>
        <w:t>https://www.biblegateway.com/passage/?search=Isaiah+3%3A10&amp;version=RVA</w:t>
      </w:r>
      <w:r>
        <w:t xml:space="preserve"> ; </w:t>
      </w:r>
      <w:r>
        <w:t>…&amp;version=WLC</w:t>
      </w:r>
      <w:r>
        <w:br/>
      </w:r>
      <w:r>
        <w:rPr>
          <w:b/>
        </w:rPr>
        <w:t>Tal como está en la fuente:</w:t>
      </w:r>
      <w:r>
        <w:t xml:space="preserve"> Decid al justo que le irá bien: porque comerá de los frutos de sus manos.</w:t>
      </w:r>
      <w:r>
        <w:br/>
      </w:r>
      <w:r>
        <w:rPr>
          <w:b/>
        </w:rPr>
        <w:t>Traducción guardada:</w:t>
      </w:r>
      <w:r>
        <w:t xml:space="preserve"> RVR1960, igual, con coma</w:t>
      </w:r>
      <w:r>
        <w:t>; donde el hebreo dice «el fruto de sus obras»</w:t>
      </w:r>
      <w:r>
        <w:t xml:space="preserve"> [original: «כִּֽי־פְרִ֥י מַעַלְלֵיהֶ֖ם יֹאכֵֽלוּ»]</w:t>
      </w:r>
      <w:r>
        <w:t>.</w:t>
      </w:r>
    </w:p>
    <w:p>
      <w:pPr>
        <w:pStyle w:val="ListBullet"/>
      </w:pPr>
      <w:r>
        <w:t>«Y andaré en anchura, Porque busqué tus mandamientos»</w:t>
      </w:r>
      <w:r>
        <w:t xml:space="preserve"> (Sal 119:45)</w:t>
      </w:r>
      <w:r>
        <w:br/>
      </w:r>
      <w:r>
        <w:rPr>
          <w:b/>
        </w:rPr>
        <w:t>leída en su fuente · Sal 119:45</w:t>
      </w:r>
      <w:r>
        <w:br/>
      </w:r>
      <w:r>
        <w:rPr>
          <w:b/>
        </w:rPr>
        <w:t>Archivo leído:</w:t>
      </w:r>
      <w:r>
        <w:t xml:space="preserve"> sal_119_45_rva.html; sal_119_45_rvr1960.html (c9h\sal_119_45_rva.html) · contraste del archivo de pasajes: ✔</w:t>
      </w:r>
      <w:r>
        <w:br/>
      </w:r>
      <w:r>
        <w:rPr>
          <w:b/>
        </w:rPr>
        <w:t>Lugar:</w:t>
      </w:r>
      <w:r>
        <w:t xml:space="preserve"> RVA, v. 45</w:t>
      </w:r>
      <w:r>
        <w:br/>
      </w:r>
      <w:r>
        <w:rPr>
          <w:b/>
        </w:rPr>
        <w:t>Dirección:</w:t>
      </w:r>
      <w:r>
        <w:t xml:space="preserve"> </w:t>
      </w:r>
      <w:r>
        <w:t>https://www.biblegateway.com/passage/?search=Psalm+119%3A45&amp;version=RVA</w:t>
      </w:r>
      <w:r>
        <w:t xml:space="preserve"> ; </w:t>
      </w:r>
      <w:r>
        <w:t>…&amp;version=RVR1960</w:t>
      </w:r>
      <w:r>
        <w:br/>
      </w:r>
      <w:r>
        <w:rPr>
          <w:b/>
        </w:rPr>
        <w:t>Tal como está en la fuente:</w:t>
      </w:r>
      <w:r>
        <w:t xml:space="preserve"> Y andaré en anchura, Porque busqué tus mandamientos.</w:t>
      </w:r>
      <w:r>
        <w:t>; la revisión de 1960 dice «Y andaré en libertad»</w:t>
      </w:r>
      <w:r>
        <w:t xml:space="preserve"> (Sal 119:45, Reina-Valera 1960)</w:t>
      </w:r>
      <w:r>
        <w:t>.</w:t>
      </w:r>
    </w:p>
    <w:p>
      <w:pPr>
        <w:pStyle w:val="ListBullet"/>
      </w:pPr>
      <w:r>
        <w:t xml:space="preserve">Agustín: los hijos del diablo lo son por imitarlo, no por nacer de él, en </w:t>
      </w:r>
      <w:r>
        <w:t>11.2</w:t>
      </w:r>
      <w:r>
        <w:t>.</w:t>
      </w:r>
    </w:p>
    <w:p>
      <w:pPr>
        <w:pStyle w:val="ListBullet"/>
      </w:pPr>
      <w:r>
        <w:t>San Juan de la Cruz: «Para venir a serlo todo, / no quieras ser algo en nada», y «para venir del todo al todo, / has de negarte del todo en todo»</w:t>
      </w:r>
      <w:r>
        <w:t xml:space="preserve"> (San Juan de la Cruz, Subida del Monte Carmelo, libro I, cap. 13, §§ 11 y 12, ed. P. Silverio de Santa Teresa, Burgos, 1929)</w:t>
      </w:r>
      <w:r>
        <w:br/>
      </w:r>
      <w:r>
        <w:rPr>
          <w:b/>
        </w:rPr>
        <w:t>leída en su fuente · San Juan de la Cruz, Subida del Monte Carmelo, libro I, cap. 13, §§ 11 y 12, ed. P. Silver</w:t>
      </w:r>
      <w:r>
        <w:br/>
      </w:r>
      <w:r>
        <w:rPr>
          <w:b/>
        </w:rPr>
        <w:t>Archivo leído:</w:t>
      </w:r>
      <w:r>
        <w:t xml:space="preserve"> juan_de_la_cruz_BMC11_Silverio_1929_subida_djvu.txt (c9h\juan_de_la_cruz_BMC11_Silverio_1929_subida_djvu.txt) · contraste del archivo de pasajes: ✔</w:t>
      </w:r>
      <w:r>
        <w:br/>
      </w:r>
      <w:r>
        <w:rPr>
          <w:b/>
        </w:rPr>
        <w:t>Lugar:</w:t>
      </w:r>
      <w:r>
        <w:t xml:space="preserve"> San Juan de la Cruz, Subida del Monte Carmelo, libro I, cap. 13, §§ 11 y 12, ed. P. Silverio de Santa Teresa, Burgos, 1929</w:t>
      </w:r>
      <w:r>
        <w:br/>
      </w:r>
      <w:r>
        <w:rPr>
          <w:b/>
        </w:rPr>
        <w:t>Tal como está en la fuente:</w:t>
      </w:r>
      <w:r>
        <w:t xml:space="preserve"> para venir del todo al todo, / has de negarte del todo en todo</w:t>
      </w:r>
      <w:r>
        <w:t>.</w:t>
      </w:r>
    </w:p>
    <w:p>
      <w:pPr>
        <w:pStyle w:val="ListBullet"/>
      </w:pPr>
      <w:r>
        <w:t>Meister Eckhart: «Es un hombre pobre el que nada quiere, nada sabe y nada tiene»</w:t>
      </w:r>
      <w:r>
        <w:t xml:space="preserve"> [original: «Daz ist ein armer mensche, der niht enwil und niht enweiz unde niht enhât»]</w:t>
      </w:r>
      <w:r>
        <w:t xml:space="preserve"> (Meister Eckhart, sermón «Beati pauperes spiritu», n.º LXXXVII en la edición de F. Pfeiffer, Leipzig, 1857, pág. 280)</w:t>
      </w:r>
      <w:r>
        <w:br/>
      </w:r>
      <w:r>
        <w:rPr>
          <w:b/>
        </w:rPr>
        <w:t>pasaje guardado · Meister Eckhart, sermón «Beati pauperes spiritu», n.º LXXXVII en la edición de F. Pfeiffer</w:t>
      </w:r>
      <w:r>
        <w:br/>
      </w:r>
      <w:r>
        <w:rPr>
          <w:b/>
        </w:rPr>
        <w:t>Archivo leído:</w:t>
      </w:r>
      <w:r>
        <w:t xml:space="preserve"> eckhart_pfeiffer_1857_deutsche_mystiker_II_archive_djvu.txt (líneas 14139 y 14169-14170; OCR de archive.org) (c9h\eckhart_pfeiffer_1857_deutsche_mystiker_II_archive_djvu.txt) · contraste del archivo de pasajes: parcial</w:t>
      </w:r>
      <w:r>
        <w:br/>
      </w:r>
      <w:r>
        <w:rPr>
          <w:b/>
        </w:rPr>
        <w:t>Lugar:</w:t>
      </w:r>
      <w:r>
        <w:t xml:space="preserve"> F. Pfeiffer (ed.), *Deutsche Mystiker des vierzehnten Jahrhunderts*, t. II, *Meister Eckhart*, Leipzig, 1857 (reimpresión anastática, Gotinga, 1906), sermón LXX</w:t>
      </w:r>
      <w:r>
        <w:br/>
      </w:r>
      <w:r>
        <w:rPr>
          <w:b/>
        </w:rPr>
        <w:t>Dirección:</w:t>
      </w:r>
      <w:r>
        <w:t xml:space="preserve"> </w:t>
      </w:r>
      <w:r>
        <w:t>https://archive.org/details/deutschemystiker02pfei</w:t>
      </w:r>
      <w:r>
        <w:br/>
      </w:r>
      <w:r>
        <w:rPr>
          <w:b/>
        </w:rPr>
        <w:t>Tal como está en la fuente:</w:t>
      </w:r>
      <w:r>
        <w:t xml:space="preserve"> Daz ist ein armer mensche, der niht enwil und niht enweiz unde niht enhât.</w:t>
      </w:r>
      <w:r>
        <w:br/>
      </w:r>
      <w:r>
        <w:rPr>
          <w:b/>
        </w:rPr>
        <w:t>Traducción guardada:</w:t>
      </w:r>
      <w:r>
        <w:t xml:space="preserve"> Es un hombre pobre el que nada quiere, nada sabe y nada tiene.</w:t>
      </w:r>
      <w:r>
        <w:t>.</w:t>
      </w:r>
    </w:p>
    <w:p>
      <w:r>
        <w:t>[00.00, sección 15 («Cristianismo / Biblia hebrea y cristiana»); cada cita, con su fila del paso 2 (c9g, entradas 8 a 10; c9h, 16 a 40; c9n; c10), y las erratas en su versión correcta]</w:t>
      </w:r>
    </w:p>
    <w:p>
      <w:pPr>
        <w:pStyle w:val="Heading2"/>
      </w:pPr>
      <w:r>
        <w:t>I.2 El judaísmo y el islam</w:t>
      </w:r>
    </w:p>
    <w:p>
      <w:pPr>
        <w:pBdr>
          <w:left w:val="single" w:sz="24" w:space="6" w:color="E2DED6"/>
        </w:pBdr>
        <w:shd w:val="clear" w:color="auto" w:fill="F1EEE8"/>
        <w:spacing w:before="80" w:after="160"/>
        <w:ind w:left="142" w:right="142"/>
      </w:pPr>
      <w:r>
        <w:rPr>
          <w:b/>
        </w:rPr>
        <w:t>La idea: las citas de la tradición judía y del Corán que la obra usa; el Corán, en la traducción de Julio Cortés, y el árabe al lado donde dice más.</w:t>
      </w:r>
    </w:p>
    <w:p>
      <w:pPr>
        <w:pStyle w:val="ListBullet"/>
      </w:pPr>
      <w:r>
        <w:t xml:space="preserve">«¿Quién es sabio? El que aprende de toda persona» (Pirkei Avot 4:1, de Ben Zoma), en </w:t>
      </w:r>
      <w:r>
        <w:t>2.5</w:t>
      </w:r>
      <w:r>
        <w:t>.</w:t>
      </w:r>
    </w:p>
    <w:p>
      <w:pPr>
        <w:pStyle w:val="ListBullet"/>
      </w:pPr>
      <w:r>
        <w:t xml:space="preserve">«Nadie se humilla ante Dios sin que Dios lo eleve» (Sahih Muslim 2588), en </w:t>
      </w:r>
      <w:r>
        <w:t>2.5</w:t>
      </w:r>
      <w:r>
        <w:t>, como fuente secundaria.</w:t>
      </w:r>
    </w:p>
    <w:p>
      <w:pPr>
        <w:pStyle w:val="ListBullet"/>
      </w:pPr>
      <w:r>
        <w:t>El bien que el Corán manda y el mal que prohíbe: «Alá prescribe la justicia, la beneficencia y la liberalidad con los parientes. Prohíbe la deshonestidad, lo reprobable y la opresión»</w:t>
      </w:r>
      <w:r>
        <w:t xml:space="preserve"> (Corán 16:90, traducción de Julio Cortés)</w:t>
      </w:r>
      <w:r>
        <w:br/>
      </w:r>
      <w:r>
        <w:rPr>
          <w:b/>
        </w:rPr>
        <w:t>leída en su fuente · Corán 16:90, traducción de Julio Cortés</w:t>
      </w:r>
      <w:r>
        <w:br/>
      </w:r>
      <w:r>
        <w:rPr>
          <w:b/>
        </w:rPr>
        <w:t>Archivo leído:</w:t>
      </w:r>
      <w:r>
        <w:t xml:space="preserve"> coran_cortes_tanzil_completo.txt (l. 1991); coran_16_90_arabe_y_cortes_alqurancloud.json (c9g\coran_16_90_arabe_y_cortes_alqurancloud.json) · contraste del archivo de pasajes: ✔</w:t>
      </w:r>
      <w:r>
        <w:br/>
      </w:r>
      <w:r>
        <w:rPr>
          <w:b/>
        </w:rPr>
        <w:t>Lugar:</w:t>
      </w:r>
      <w:r>
        <w:t xml:space="preserve"> Cortés</w:t>
      </w:r>
      <w:r>
        <w:br/>
      </w:r>
      <w:r>
        <w:rPr>
          <w:b/>
        </w:rPr>
        <w:t>Dirección:</w:t>
      </w:r>
      <w:r>
        <w:t xml:space="preserve"> </w:t>
      </w:r>
      <w:r>
        <w:t>https://tanzil.net/trans/es.cortes</w:t>
      </w:r>
      <w:r>
        <w:t xml:space="preserve"> ; </w:t>
      </w:r>
      <w:r>
        <w:t>https://api.alquran.cloud/v1/ayah/16:90/editions/quran-uthmani,es.cortes</w:t>
      </w:r>
      <w:r>
        <w:br/>
      </w:r>
      <w:r>
        <w:rPr>
          <w:b/>
        </w:rPr>
        <w:t>Tal como está en la fuente:</w:t>
      </w:r>
      <w:r>
        <w:t xml:space="preserve"> Alá prescribe la justicia, la beneficencia y la liberalidad con los parientes. Prohíbe la deshonestidad, lo reprobable y la opresión. Os exhorta. Quizás, así, os dejéis amonestar.</w:t>
      </w:r>
      <w:r>
        <w:t>.</w:t>
      </w:r>
    </w:p>
    <w:p>
      <w:pPr>
        <w:pStyle w:val="ListBullet"/>
      </w:pPr>
      <w:r>
        <w:t xml:space="preserve">La verdad que deshace lo falso: Corán 17:81, en </w:t>
      </w:r>
      <w:r>
        <w:t>4.4</w:t>
      </w:r>
      <w:r>
        <w:t>; y «lanzamos la Verdad contra lo falso, lo invalida... y éste se disipa»</w:t>
      </w:r>
      <w:r>
        <w:t xml:space="preserve"> (Corán 21:18, traducción de Julio Cortés)</w:t>
      </w:r>
      <w:r>
        <w:br/>
      </w:r>
      <w:r>
        <w:rPr>
          <w:b/>
        </w:rPr>
        <w:t>leída en su fuente · Corán 21:18, traducción de Julio Cortés</w:t>
      </w:r>
      <w:r>
        <w:br/>
      </w:r>
      <w:r>
        <w:rPr>
          <w:b/>
        </w:rPr>
        <w:t>Archivo leído:</w:t>
      </w:r>
      <w:r>
        <w:t xml:space="preserve"> coran_21_18.json (c4\coran_cortes_tanzil_completo.txt) · contraste del archivo de pasajes: ✔</w:t>
      </w:r>
      <w:r>
        <w:br/>
      </w:r>
      <w:r>
        <w:rPr>
          <w:b/>
        </w:rPr>
        <w:t>Lugar:</w:t>
      </w:r>
      <w:r>
        <w:t xml:space="preserve"> Cortés</w:t>
      </w:r>
      <w:r>
        <w:br/>
      </w:r>
      <w:r>
        <w:rPr>
          <w:b/>
        </w:rPr>
        <w:t>Dirección:</w:t>
      </w:r>
      <w:r>
        <w:t xml:space="preserve"> </w:t>
      </w:r>
      <w:r>
        <w:t>https://tanzil.net/trans/es.cortes</w:t>
      </w:r>
      <w:r>
        <w:br/>
      </w:r>
      <w:r>
        <w:rPr>
          <w:b/>
        </w:rPr>
        <w:t>Tal como está en la fuente:</w:t>
      </w:r>
      <w:r>
        <w:t xml:space="preserve"> Antes, al contrario, lanzamos la Verdad contra lo falso, lo invalida... y éste se disipa.</w:t>
      </w:r>
      <w:r>
        <w:t>.</w:t>
      </w:r>
    </w:p>
    <w:p>
      <w:pPr>
        <w:pStyle w:val="ListBullet"/>
      </w:pPr>
      <w:r>
        <w:t xml:space="preserve">El enviado que no se hace dios: «Yo soy sólo un mortal como vosotros» (Corán 18:110), en </w:t>
      </w:r>
      <w:r>
        <w:t>6.2</w:t>
      </w:r>
      <w:r>
        <w:t>.</w:t>
      </w:r>
    </w:p>
    <w:p>
      <w:pPr>
        <w:pStyle w:val="ListBullet"/>
      </w:pPr>
      <w:r>
        <w:t>Lo que permanece: «Todo aquél que está sobre ella es perecedero. Pero subsiste tu Señor, el Majestuoso y Honorable»</w:t>
      </w:r>
      <w:r>
        <w:t xml:space="preserve"> (Corán 55:26-27, traducción de Julio Cortés)</w:t>
      </w:r>
      <w:r>
        <w:br/>
      </w:r>
      <w:r>
        <w:rPr>
          <w:b/>
        </w:rPr>
        <w:t>leída en su fuente · Corán 55:26-27, traducción de Julio Cortés</w:t>
      </w:r>
      <w:r>
        <w:br/>
      </w:r>
      <w:r>
        <w:rPr>
          <w:b/>
        </w:rPr>
        <w:t>Original donde está:</w:t>
      </w:r>
      <w:r>
        <w:t xml:space="preserve"> coran_cortes_texto_corrido.txt</w:t>
      </w:r>
      <w:r>
        <w:br/>
      </w:r>
      <w:r>
        <w:t>El pasaje literal no está en el archivo de pasajes con este comienzo; la auditoría lo halló en ese original.</w:t>
      </w:r>
      <w:r>
        <w:t>; el árabe dice «el rostro de tu Señor»</w:t>
      </w:r>
      <w:r>
        <w:t xml:space="preserve"> [original: «وَيَبْقَىٰ وَجْهُ رَبِّكَ»]</w:t>
      </w:r>
      <w:r>
        <w:t>. Y «¡Todo perece, salvo Él!»</w:t>
      </w:r>
      <w:r>
        <w:t xml:space="preserve"> (Corán 28:88, traducción de Julio Cortés)</w:t>
      </w:r>
      <w:r>
        <w:t>, donde el árabe dice «salvo Su rostro»</w:t>
      </w:r>
      <w:r>
        <w:t xml:space="preserve"> [original: «كُلُّ شَىْءٍ هَالِكٌ إِلَّا وَجْهَهُۥ»]</w:t>
      </w:r>
      <w:r>
        <w:t>.</w:t>
      </w:r>
    </w:p>
    <w:p>
      <w:pPr>
        <w:pStyle w:val="ListBullet"/>
      </w:pPr>
      <w:r>
        <w:t>Nada se pierde: «Quien haya hecho el peso de un átomo de bien, lo verá. Y quien haya hecho el peso de un átomo de mal, lo verá»</w:t>
      </w:r>
      <w:r>
        <w:t xml:space="preserve"> (Corán 99:7-8, traducción de Julio Cortés)</w:t>
      </w:r>
      <w:r>
        <w:br/>
      </w:r>
      <w:r>
        <w:rPr>
          <w:b/>
        </w:rPr>
        <w:t>leída en su fuente · Corán 99:7-8, traducción de Julio Cortés</w:t>
      </w:r>
      <w:r>
        <w:br/>
      </w:r>
      <w:r>
        <w:rPr>
          <w:b/>
        </w:rPr>
        <w:t>Original donde está:</w:t>
      </w:r>
      <w:r>
        <w:t xml:space="preserve"> coran_cortes_texto_corrido.txt</w:t>
      </w:r>
      <w:r>
        <w:br/>
      </w:r>
      <w:r>
        <w:t>El pasaje literal no está en el archivo de pasajes con este comienzo; la auditoría lo halló en ese original.</w:t>
      </w:r>
      <w:r>
        <w:t>.</w:t>
      </w:r>
    </w:p>
    <w:p>
      <w:r>
        <w:t>[00.00, secciones 16 («Judaísmo») y 17 («Islam»); c9g, entradas 11 a 16, y c9h, entradas 41 y 42]</w:t>
      </w:r>
    </w:p>
    <w:p>
      <w:pPr>
        <w:pStyle w:val="Heading2"/>
      </w:pPr>
      <w:r>
        <w:t>I.3 China</w:t>
      </w:r>
    </w:p>
    <w:p>
      <w:pPr>
        <w:pBdr>
          <w:left w:val="single" w:sz="24" w:space="6" w:color="E2DED6"/>
        </w:pBdr>
        <w:shd w:val="clear" w:color="auto" w:fill="F1EEE8"/>
        <w:spacing w:before="80" w:after="160"/>
        <w:ind w:left="142" w:right="142"/>
      </w:pPr>
      <w:r>
        <w:rPr>
          <w:b/>
        </w:rPr>
        <w:t>La idea: Confucio juzga por los actos, no solo por las palabras, y da una sola palabra por regla de toda la vida: la reciprocidad.</w:t>
      </w:r>
    </w:p>
    <w:p>
      <w:pPr>
        <w:pStyle w:val="ListBullet"/>
      </w:pPr>
      <w:r>
        <w:t>«Mira lo que hace, observa por dónde lo hace, examina en qué se queda tranquilo; ¿cómo podría esconderse una persona?»</w:t>
      </w:r>
      <w:r>
        <w:t xml:space="preserve"> [original: «視其所以，觀其所由，察其所安，人焉廋哉！»]</w:t>
      </w:r>
      <w:r>
        <w:t xml:space="preserve"> (Analectas 2.10)</w:t>
      </w:r>
      <w:r>
        <w:br/>
      </w:r>
      <w:r>
        <w:rPr>
          <w:b/>
        </w:rPr>
        <w:t>leída en su fuente · Analectas 2.10</w:t>
      </w:r>
      <w:r>
        <w:br/>
      </w:r>
      <w:r>
        <w:rPr>
          <w:b/>
        </w:rPr>
        <w:t>Original donde está:</w:t>
      </w:r>
      <w:r>
        <w:t xml:space="preserve"> zhwikisource_Analectas_為政第二.txt</w:t>
      </w:r>
      <w:r>
        <w:br/>
      </w:r>
      <w:r>
        <w:t>El pasaje literal no está en el archivo de pasajes con este comienzo; la auditoría lo halló en ese original.</w:t>
      </w:r>
      <w:r>
        <w:t>.</w:t>
      </w:r>
    </w:p>
    <w:p>
      <w:pPr>
        <w:pStyle w:val="ListBullet"/>
      </w:pPr>
      <w:r>
        <w:t>«Al principio, mi manera con los hombres era oír sus palabras y darles crédito en su conducta. Ahora mi manera es oír sus palabras y mirar su conducta»</w:t>
      </w:r>
      <w:r>
        <w:t xml:space="preserve"> [original: «At first, my way with men was to hear their words, and give them credit for their conduct. Now my way is to hear their words, and look at their conduct.»]</w:t>
      </w:r>
      <w:r>
        <w:t xml:space="preserve"> (Analectas 5.10, en la traducción inglesa de James Legge, libro V, cap. IX)</w:t>
      </w:r>
      <w:r>
        <w:br/>
      </w:r>
      <w:r>
        <w:rPr>
          <w:b/>
        </w:rPr>
        <w:t>leída en su fuente · Analectas 5.10, en la traducción inglesa de James Legge, libro V, cap. IX</w:t>
      </w:r>
      <w:r>
        <w:br/>
      </w:r>
      <w:r>
        <w:rPr>
          <w:b/>
        </w:rPr>
        <w:t>Archivo leído:</w:t>
      </w:r>
      <w:r>
        <w:t xml:space="preserve"> 19.00-2.1_Analects_Legge_Gutenberg_3330.txt (líneas 592-595) · contraste del archivo de pasajes: sin archivo</w:t>
      </w:r>
      <w:r>
        <w:br/>
      </w:r>
      <w:r>
        <w:rPr>
          <w:b/>
        </w:rPr>
        <w:t>Dirección:</w:t>
      </w:r>
      <w:r>
        <w:t xml:space="preserve"> </w:t>
      </w:r>
      <w:r>
        <w:t>https://www.gutenberg.org/ebooks/3330</w:t>
      </w:r>
      <w:r>
        <w:br/>
      </w:r>
      <w:r>
        <w:rPr>
          <w:b/>
        </w:rPr>
        <w:t>Tal como está en la fuente:</w:t>
      </w:r>
      <w:r>
        <w:t xml:space="preserve"> Al principio, mi manera con los hombres era oír sus palabras y darles crédito en su conducta. Ahora mi manera es oír sus palabras y mirar su conducta. De Yu he aprendido a hacer este cambio</w:t>
      </w:r>
      <w:r>
        <w:t>.</w:t>
      </w:r>
    </w:p>
    <w:p>
      <w:pPr>
        <w:pStyle w:val="ListBullet"/>
      </w:pPr>
      <w:r>
        <w:t>A la pregunta de si hay una palabra que sirva de regla para toda la vida: «¿No es RECIPROCIDAD esa palabra? Lo que no quieras que te hagan a ti, no lo hagas a otros»</w:t>
      </w:r>
      <w:r>
        <w:t xml:space="preserve"> [original: «Is not RECIPROCITY such a word? What you do not want done to yourself, do not do to others.»]</w:t>
      </w:r>
      <w:r>
        <w:t xml:space="preserve"> (Analectas 15.24, en la traducción inglesa de Legge, libro XV, cap. XXIII)</w:t>
      </w:r>
      <w:r>
        <w:br/>
      </w:r>
      <w:r>
        <w:rPr>
          <w:b/>
        </w:rPr>
        <w:t>leída en su fuente · Analectas 15.24, en la traducción inglesa de Legge, libro XV, cap. XXIII</w:t>
      </w:r>
      <w:r>
        <w:br/>
      </w:r>
      <w:r>
        <w:rPr>
          <w:b/>
        </w:rPr>
        <w:t>Archivo leído:</w:t>
      </w:r>
      <w:r>
        <w:t xml:space="preserve"> ya descargado: ídem (líneas 2409-2412) · contraste del archivo de pasajes: sin archivo</w:t>
      </w:r>
      <w:r>
        <w:br/>
      </w:r>
      <w:r>
        <w:rPr>
          <w:b/>
        </w:rPr>
        <w:t>Tal como está en la fuente:</w:t>
      </w:r>
      <w:r>
        <w:t xml:space="preserve"> ¿No es RECIPROCIDAD esa palabra? Lo que no quieras que te hagan a ti, no lo hagas a otros</w:t>
      </w:r>
      <w:r>
        <w:t>.</w:t>
      </w:r>
    </w:p>
    <w:p>
      <w:pPr>
        <w:pStyle w:val="ListBullet"/>
      </w:pPr>
      <w:r>
        <w:t xml:space="preserve">Saber que no se sabe (Analectas 2.17 y Daodejing 71) y el debate de Mencio y Xunzi sobre si la naturaleza humana nace buena o mala, en </w:t>
      </w:r>
      <w:r>
        <w:t>2.5</w:t>
      </w:r>
      <w:r>
        <w:t xml:space="preserve">; el camino del cielo, que beneficia y no daña (Daodejing 81), en </w:t>
      </w:r>
      <w:r>
        <w:t>3.6</w:t>
      </w:r>
      <w:r>
        <w:t>.</w:t>
      </w:r>
    </w:p>
    <w:p>
      <w:r>
        <w:t>[00.00, sección 18 («Confucianismo / taoísmo»); c9h, entradas 43 a 47]</w:t>
      </w:r>
    </w:p>
    <w:p>
      <w:pPr>
        <w:pStyle w:val="Heading2"/>
      </w:pPr>
      <w:r>
        <w:t>I.4 La India</w:t>
      </w:r>
    </w:p>
    <w:p>
      <w:pPr>
        <w:pBdr>
          <w:left w:val="single" w:sz="24" w:space="6" w:color="E2DED6"/>
        </w:pBdr>
        <w:shd w:val="clear" w:color="auto" w:fill="F1EEE8"/>
        <w:spacing w:before="80" w:after="160"/>
        <w:ind w:left="142" w:right="142"/>
      </w:pPr>
      <w:r>
        <w:rPr>
          <w:b/>
        </w:rPr>
        <w:t>La idea: la Gita describe al que vive sin «mío» y sin «yo», y el Dhammapada pide distinguir lo esencial de lo que no lo es.</w:t>
      </w:r>
    </w:p>
    <w:p>
      <w:pPr>
        <w:pStyle w:val="ListBullet"/>
      </w:pPr>
      <w:r>
        <w:t xml:space="preserve">«Solo la verdad vence, no la mentira» (Mundaka Upanishad 3.1.6), en </w:t>
      </w:r>
      <w:r>
        <w:t>4.4</w:t>
      </w:r>
      <w:r>
        <w:t>.</w:t>
      </w:r>
    </w:p>
    <w:p>
      <w:pPr>
        <w:pStyle w:val="ListBullet"/>
      </w:pPr>
      <w:r>
        <w:t>«Quien, abandonando todos los deseos, anda sin anhelo, sin “mío”, sin sentido del yo, ese alcanza la paz»</w:t>
      </w:r>
      <w:r>
        <w:t xml:space="preserve"> [original: «vihāya kāmān yaḥ sarvān pumāṃś carati niḥspṛhaḥ | nirmamo nirahaṃkāraḥ sa śāntim adhigacchati»]</w:t>
      </w:r>
      <w:r>
        <w:t xml:space="preserve"> (Bhagavad Gita 2.71)</w:t>
      </w:r>
      <w:r>
        <w:br/>
      </w:r>
      <w:r>
        <w:rPr>
          <w:b/>
        </w:rPr>
        <w:t>leída en su fuente · Bhagavad Gita 2.71</w:t>
      </w:r>
      <w:r>
        <w:br/>
      </w:r>
      <w:r>
        <w:rPr>
          <w:b/>
        </w:rPr>
        <w:t>Archivo leído:</w:t>
      </w:r>
      <w:r>
        <w:t xml:space="preserve"> bg_sanscrito_gretil_comm.txt (c4\bg_sanscrito_gretil_comm.txt) · contraste del archivo de pasajes: ✔</w:t>
      </w:r>
      <w:r>
        <w:br/>
      </w:r>
      <w:r>
        <w:rPr>
          <w:b/>
        </w:rPr>
        <w:t>Lugar:</w:t>
      </w:r>
      <w:r>
        <w:t xml:space="preserve"> Bhagavad Gita 2.71</w:t>
      </w:r>
      <w:r>
        <w:br/>
      </w:r>
      <w:r>
        <w:rPr>
          <w:b/>
        </w:rPr>
        <w:t>Tal como está en la fuente:</w:t>
      </w:r>
      <w:r>
        <w:t xml:space="preserve"> vihāya kāmān yaḥ sarvān pumāṃś carati niḥspṛhaḥ / nirmamo nirahaṃkāraḥ sa śāntim adhigacchati</w:t>
      </w:r>
      <w:r>
        <w:t>.</w:t>
      </w:r>
    </w:p>
    <w:p>
      <w:pPr>
        <w:pStyle w:val="ListBullet"/>
      </w:pPr>
      <w:r>
        <w:t>«Quien, por comparación consigo mismo, ve igual en todas partes, oh Arjuna, sea placer o sea dolor, ese yogui es tenido por el más alto»</w:t>
      </w:r>
      <w:r>
        <w:t xml:space="preserve"> [original: «ātmaupamyena sarvatra samaṃ paśyati yo 'rjuna | sukhaṃ vā yadi vā duḥkhaṃ sa yogī paramo mataḥ»]</w:t>
      </w:r>
      <w:r>
        <w:t xml:space="preserve"> (Bhagavad Gita 6.32)</w:t>
      </w:r>
      <w:r>
        <w:br/>
      </w:r>
      <w:r>
        <w:rPr>
          <w:b/>
        </w:rPr>
        <w:t>leída en su fuente · Bhagavad Gita 6.32</w:t>
      </w:r>
      <w:r>
        <w:br/>
      </w:r>
      <w:r>
        <w:rPr>
          <w:b/>
        </w:rPr>
        <w:t>Archivo leído:</w:t>
      </w:r>
      <w:r>
        <w:t xml:space="preserve"> bg_sanscrito_gretil_comm.txt (c4\bg_sanscrito_gretil_comm.txt) · contraste del archivo de pasajes: ✔</w:t>
      </w:r>
      <w:r>
        <w:br/>
      </w:r>
      <w:r>
        <w:rPr>
          <w:b/>
        </w:rPr>
        <w:t>Lugar:</w:t>
      </w:r>
      <w:r>
        <w:t xml:space="preserve"> Bhagavad Gita 6.32</w:t>
      </w:r>
      <w:r>
        <w:br/>
      </w:r>
      <w:r>
        <w:rPr>
          <w:b/>
        </w:rPr>
        <w:t>Tal como está en la fuente:</w:t>
      </w:r>
      <w:r>
        <w:t xml:space="preserve"> ātmaupamyena sarvatra samaṃ paśyati yo 'rjuna / sukhaṃ vā yadi vā duḥkhaṃ sa yogī paramo mataḥ</w:t>
      </w:r>
      <w:r>
        <w:t>.</w:t>
      </w:r>
    </w:p>
    <w:p>
      <w:pPr>
        <w:pStyle w:val="ListBullet"/>
      </w:pPr>
      <w:r>
        <w:t>«Sin odio a ningún ser, amistoso y compasivo; sin “mío”, sin sentido del yo, igual en dolor y placer, paciente»</w:t>
      </w:r>
      <w:r>
        <w:t xml:space="preserve"> [original: «adveṣṭā sarva-bhūtānāṃ maitraḥ karuṇa eva ca | nirmamo nirahaṃkāraḥ sama-duḥkha-sukhaḥ kṣamī»]</w:t>
      </w:r>
      <w:r>
        <w:t xml:space="preserve"> (Bhagavad Gita 12.13)</w:t>
      </w:r>
      <w:r>
        <w:br/>
      </w:r>
      <w:r>
        <w:rPr>
          <w:b/>
        </w:rPr>
        <w:t>leída en su fuente · Bhagavad Gita 12.13</w:t>
      </w:r>
      <w:r>
        <w:br/>
      </w:r>
      <w:r>
        <w:rPr>
          <w:b/>
        </w:rPr>
        <w:t>Archivo leído:</w:t>
      </w:r>
      <w:r>
        <w:t xml:space="preserve"> bg_sanscrito_gretil_comm.txt (c4\bg_sanscrito_gretil_comm.txt) · contraste del archivo de pasajes: ✔</w:t>
      </w:r>
      <w:r>
        <w:br/>
      </w:r>
      <w:r>
        <w:rPr>
          <w:b/>
        </w:rPr>
        <w:t>Lugar:</w:t>
      </w:r>
      <w:r>
        <w:t xml:space="preserve"> Bhagavad Gita 12.13</w:t>
      </w:r>
      <w:r>
        <w:br/>
      </w:r>
      <w:r>
        <w:rPr>
          <w:b/>
        </w:rPr>
        <w:t>Tal como está en la fuente:</w:t>
      </w:r>
      <w:r>
        <w:t xml:space="preserve"> adveṣṭā sarva-bhūtānāṃ maitraḥ karuṇa eva ca / nirmamo nirahaṃkāraḥ sama-duḥkha-sukhaḥ kṣamī</w:t>
      </w:r>
      <w:r>
        <w:t>.</w:t>
      </w:r>
    </w:p>
    <w:p>
      <w:pPr>
        <w:pStyle w:val="ListBullet"/>
      </w:pPr>
      <w:r>
        <w:t>El Dhammapada, en la traducción de Max Müller: «Los que imaginan verdad en lo falso y ven lo falso en la verdad nunca llegan a la verdad, sino que siguen deseos vanos. Los que conocen la verdad en la verdad y lo falso en lo falso llegan a la verdad y siguen deseos verdaderos»</w:t>
      </w:r>
      <w:r>
        <w:t xml:space="preserve"> [original: «They who imagine truth in untruth, and see untruth in truth, never arrive at truth, but follow vain desires. They who know truth in truth, and untruth in untruth, arrive at truth, and follow true desires.»]</w:t>
      </w:r>
      <w:r>
        <w:t xml:space="preserve"> (Dhammapada 11-12, en la traducción inglesa de Max Müller, 1881)</w:t>
      </w:r>
      <w:r>
        <w:br/>
      </w:r>
      <w:r>
        <w:rPr>
          <w:b/>
        </w:rPr>
        <w:t>pasaje guardado · Dhammapada 11-12, en la traducción inglesa de Max Müller, 1881</w:t>
      </w:r>
      <w:r>
        <w:br/>
      </w:r>
      <w:r>
        <w:rPr>
          <w:b/>
        </w:rPr>
        <w:t>Archivo leído:</w:t>
      </w:r>
      <w:r>
        <w:t xml:space="preserve"> dhp1-20.json (c9h\dhammapada_muller_gutenberg_2017.txt) · contraste del archivo de pasajes: ✔</w:t>
      </w:r>
      <w:r>
        <w:br/>
      </w:r>
      <w:r>
        <w:rPr>
          <w:b/>
        </w:rPr>
        <w:t>Lugar:</w:t>
      </w:r>
      <w:r>
        <w:t xml:space="preserve"> Müller</w:t>
      </w:r>
      <w:r>
        <w:br/>
      </w:r>
      <w:r>
        <w:rPr>
          <w:b/>
        </w:rPr>
        <w:t>Dirección:</w:t>
      </w:r>
      <w:r>
        <w:t xml:space="preserve"> </w:t>
      </w:r>
      <w:r>
        <w:t>https://www.gutenberg.org/cache/epub/2017/pg2017.txt</w:t>
      </w:r>
      <w:r>
        <w:t xml:space="preserve"> ; </w:t>
      </w:r>
      <w:r>
        <w:t>https://suttacentral.net/api/bilarasuttas/dhp1-20/sujato?lang=en</w:t>
      </w:r>
      <w:r>
        <w:br/>
      </w:r>
      <w:r>
        <w:rPr>
          <w:b/>
        </w:rPr>
        <w:t>Tal como está en la fuente:</w:t>
      </w:r>
      <w:r>
        <w:t xml:space="preserve"> 11. They who imagine truth in untruth, and see untruth in truth, never arrive at truth, but follow vain desires. / 12. They who know truth in truth, and untruth in untruth, arrive at truth, and follow true desires.</w:t>
      </w:r>
      <w:r>
        <w:br/>
      </w:r>
      <w:r>
        <w:rPr>
          <w:b/>
        </w:rPr>
        <w:t>Traducción guardada:</w:t>
      </w:r>
      <w:r>
        <w:t xml:space="preserve"> Los que imaginan verdad en lo falso y ven lo falso en la verdad nunca llegan a la verdad, sino que siguen deseos vanos. Los que conocen la verdad en la verdad y lo falso en lo falso llegan a la verdad y siguen deseos verdaderos.</w:t>
      </w:r>
      <w:r>
        <w:t xml:space="preserve">. El pali no dice «verdad», sino </w:t>
      </w:r>
      <w:r>
        <w:rPr>
          <w:i/>
        </w:rPr>
        <w:t>sāra</w:t>
      </w:r>
      <w:r>
        <w:t>, «lo esencial»: «tomando lo no esencial por esencial y viendo lo esencial como no esencial, no alcanzan lo esencial»</w:t>
      </w:r>
      <w:r>
        <w:t xml:space="preserve"> [original: «Asāre sāramatino, sāre cāsāradassino; Te sāraṁ nādhigacchanti»]</w:t>
      </w:r>
      <w:r>
        <w:t xml:space="preserve"> (Dhammapada 11, pali y traducción inglesa de Sujato, SuttaCentral)</w:t>
      </w:r>
      <w:r>
        <w:br/>
      </w:r>
      <w:r>
        <w:rPr>
          <w:b/>
        </w:rPr>
        <w:t>leída en su fuente · Dhammapada 11, pali y traducción inglesa de Sujato, SuttaCentral</w:t>
      </w:r>
      <w:r>
        <w:br/>
      </w:r>
      <w:r>
        <w:rPr>
          <w:b/>
        </w:rPr>
        <w:t>Archivo leído:</w:t>
      </w:r>
      <w:r>
        <w:t xml:space="preserve"> suttacentral_dhammapada_pali_ms_texto_corrido.txt (reparacion_citas\suttacentral_dhammapada_pali_ms_texto_corrido.txt) · contraste del archivo de pasajes: ✔</w:t>
      </w:r>
      <w:r>
        <w:br/>
      </w:r>
      <w:r>
        <w:rPr>
          <w:b/>
        </w:rPr>
        <w:t>Lugar:</w:t>
      </w:r>
      <w:r>
        <w:t xml:space="preserve"> Dhammapada 11, pali y traducción inglesa de Sujato, SuttaCentral</w:t>
      </w:r>
      <w:r>
        <w:br/>
      </w:r>
      <w:r>
        <w:rPr>
          <w:b/>
        </w:rPr>
        <w:t>Tal como está en la fuente:</w:t>
      </w:r>
      <w:r>
        <w:t xml:space="preserve"> Asāre sāramatino, sāre cāsāradassino; Te sāraṁ nādhigacchanti</w:t>
      </w:r>
      <w:r>
        <w:t>.</w:t>
      </w:r>
    </w:p>
    <w:p>
      <w:pPr>
        <w:pStyle w:val="ListBullet"/>
      </w:pPr>
      <w:r>
        <w:t xml:space="preserve">«vence al mentiroso con la verdad» (Dhammapada 223), en </w:t>
      </w:r>
      <w:r>
        <w:t>4.4</w:t>
      </w:r>
      <w:r>
        <w:t xml:space="preserve">; «todos temen la muerte» (Dhammapada 129), en </w:t>
      </w:r>
      <w:r>
        <w:t>1.4</w:t>
      </w:r>
      <w:r>
        <w:t>. Y el verso siguiente: «Todos tiemblan ante el castigo, todos aman la vida; tomándose a uno mismo como medida, que nadie mate ni haga matar»</w:t>
      </w:r>
      <w:r>
        <w:t xml:space="preserve"> [original: «Sabbe tasanti daṇḍassa, sabbesaṁ jīvitaṁ piyaṁ; Attānaṁ upamaṁ katvā, na haneyya na ghātaye.»]</w:t>
      </w:r>
      <w:r>
        <w:t xml:space="preserve"> (Dhammapada 130)</w:t>
      </w:r>
      <w:r>
        <w:br/>
      </w:r>
      <w:r>
        <w:rPr>
          <w:b/>
        </w:rPr>
        <w:t>leída en su fuente · Dhammapada 130</w:t>
      </w:r>
      <w:r>
        <w:br/>
      </w:r>
      <w:r>
        <w:rPr>
          <w:b/>
        </w:rPr>
        <w:t>Archivo leído:</w:t>
      </w:r>
      <w:r>
        <w:t xml:space="preserve"> dhp129-145_suttacentral.json; Müller: dhammapada_muller_gutenberg_2017.txt (líneas 603-604) (reparacion_citas\suttacentral_dhammapada_pali_ms_texto_corrido.txt) · contraste del archivo de pasajes: ✔</w:t>
      </w:r>
      <w:r>
        <w:br/>
      </w:r>
      <w:r>
        <w:rPr>
          <w:b/>
        </w:rPr>
        <w:t>Lugar:</w:t>
      </w:r>
      <w:r>
        <w:t xml:space="preserve"> Pali</w:t>
      </w:r>
      <w:r>
        <w:br/>
      </w:r>
      <w:r>
        <w:rPr>
          <w:b/>
        </w:rPr>
        <w:t>Tal como está en la fuente:</w:t>
      </w:r>
      <w:r>
        <w:t xml:space="preserve"> Sabbe tasanti daṇḍassa, sabbesaṁ jīvitaṁ piyaṁ; Attānaṁ upamaṁ katvā, na haneyya na ghātaye.</w:t>
      </w:r>
      <w:r>
        <w:t>.</w:t>
      </w:r>
    </w:p>
    <w:p>
      <w:r>
        <w:t>[00.00, secciones 19 («Hinduismo») y 20 («Budismo»); c9h, entradas 48 a 55]</w:t>
      </w:r>
    </w:p>
    <w:p>
      <w:pPr>
        <w:pStyle w:val="Heading2"/>
      </w:pPr>
      <w:r>
        <w:t>I.5 Grecia y Roma</w:t>
      </w:r>
    </w:p>
    <w:p>
      <w:pPr>
        <w:pBdr>
          <w:left w:val="single" w:sz="24" w:space="6" w:color="E2DED6"/>
        </w:pBdr>
        <w:shd w:val="clear" w:color="auto" w:fill="F1EEE8"/>
        <w:spacing w:before="80" w:after="160"/>
        <w:ind w:left="142" w:right="142"/>
      </w:pPr>
      <w:r>
        <w:rPr>
          <w:b/>
        </w:rPr>
        <w:t>La idea: los textos de Grecia y Roma que la obra usa ya están en sus capítulos; aquí, solo su lugar.</w:t>
      </w:r>
    </w:p>
    <w:p>
      <w:pPr>
        <w:pStyle w:val="ListBullet"/>
      </w:pPr>
      <w:r>
        <w:t xml:space="preserve">Sócrates, que no cree saber lo que no sabe (Platón, Apología 21d), y el auriga y sus dos caballos (Fedro 246b), en </w:t>
      </w:r>
      <w:r>
        <w:t>2.5</w:t>
      </w:r>
      <w:r>
        <w:t>.</w:t>
      </w:r>
    </w:p>
    <w:p>
      <w:pPr>
        <w:pStyle w:val="ListBullet"/>
      </w:pPr>
      <w:r>
        <w:t xml:space="preserve">La caverna: el prisionero liberado y obligado a mirar hacia la luz sufre (República VII, 515c), en </w:t>
      </w:r>
      <w:r>
        <w:t>11.6</w:t>
      </w:r>
      <w:r>
        <w:t>.</w:t>
      </w:r>
    </w:p>
    <w:p>
      <w:pPr>
        <w:pStyle w:val="ListBullet"/>
      </w:pPr>
      <w:r>
        <w:t xml:space="preserve">«La insolencia engendra al tirano» (Sófocles, Edipo rey, 873), en </w:t>
      </w:r>
      <w:r>
        <w:t>6.2</w:t>
      </w:r>
      <w:r>
        <w:t>.</w:t>
      </w:r>
    </w:p>
    <w:p>
      <w:pPr>
        <w:pStyle w:val="ListBullet"/>
      </w:pPr>
      <w:r>
        <w:t xml:space="preserve">Augusto, que dice no haber tenido más poder que sus colegas (Res Gestae 34), y Domiciano (Suetonio, Domiciano 13), en </w:t>
      </w:r>
      <w:r>
        <w:t>6.2</w:t>
      </w:r>
      <w:r>
        <w:t>.</w:t>
      </w:r>
    </w:p>
    <w:p>
      <w:pPr>
        <w:pStyle w:val="ListBullet"/>
      </w:pPr>
      <w:r>
        <w:t xml:space="preserve">Marco Aurelio, que aprendió de Rústico que su carácter necesitaba corrección (Meditaciones I, 7), en </w:t>
      </w:r>
      <w:r>
        <w:t>6.2</w:t>
      </w:r>
      <w:r>
        <w:t>.</w:t>
      </w:r>
    </w:p>
    <w:p>
      <w:r>
        <w:t>[00.00, sección 21 («Grecia y Roma»); c9h, entradas 56 a 58]</w:t>
      </w:r>
    </w:p>
    <w:p>
      <w:pPr>
        <w:pStyle w:val="Heading2"/>
      </w:pPr>
      <w:r>
        <w:t>I.6 La historia del poder</w:t>
      </w:r>
    </w:p>
    <w:p>
      <w:pPr>
        <w:pBdr>
          <w:left w:val="single" w:sz="24" w:space="6" w:color="E2DED6"/>
        </w:pBdr>
        <w:shd w:val="clear" w:color="auto" w:fill="F1EEE8"/>
        <w:spacing w:before="80" w:after="160"/>
        <w:ind w:left="142" w:right="142"/>
      </w:pPr>
      <w:r>
        <w:rPr>
          <w:b/>
        </w:rPr>
        <w:t xml:space="preserve">La idea: los textos del poder que se dice sagrado, y de los que se corrigieron, ya están en el </w:t>
      </w:r>
      <w:r>
        <w:rPr>
          <w:b/>
        </w:rPr>
        <w:t>capítulo 6</w:t>
      </w:r>
      <w:r>
        <w:rPr>
          <w:b/>
        </w:rPr>
        <w:t>; aquí, solo su lugar.</w:t>
      </w:r>
    </w:p>
    <w:p>
      <w:pPr>
        <w:pStyle w:val="ListBullet"/>
      </w:pPr>
      <w:r>
        <w:t xml:space="preserve">El faraón, «Hijo de Ra» desde su coronación, y Ciro en su cilindro, en </w:t>
      </w:r>
      <w:r>
        <w:t>6.2</w:t>
      </w:r>
      <w:r>
        <w:t xml:space="preserve">; el emperador de Japón, que en 1946 declaró por escrito que el vínculo con su pueblo no se basa en la idea de que él sea un dios, también en </w:t>
      </w:r>
      <w:r>
        <w:t>6.2</w:t>
      </w:r>
      <w:r>
        <w:t xml:space="preserve">; el prólogo de Hammurabi, llamado por los dioses a implantar la justicia, en </w:t>
      </w:r>
      <w:r>
        <w:t>3.2</w:t>
      </w:r>
      <w:r>
        <w:t>.</w:t>
      </w:r>
    </w:p>
    <w:p>
      <w:pPr>
        <w:pStyle w:val="ListBullet"/>
      </w:pPr>
      <w:r>
        <w:t xml:space="preserve">La Donación de Constantino, falsa, y el Dictatus Papae de 1075, auténtico, en </w:t>
      </w:r>
      <w:r>
        <w:t>6.2</w:t>
      </w:r>
      <w:r>
        <w:t>.</w:t>
      </w:r>
    </w:p>
    <w:p>
      <w:pPr>
        <w:pStyle w:val="ListBullet"/>
      </w:pPr>
      <w:r>
        <w:t xml:space="preserve">Jacobo VI de Escocia y la monarquía absoluta, en </w:t>
      </w:r>
      <w:r>
        <w:t>6.2</w:t>
      </w:r>
      <w:r>
        <w:t xml:space="preserve">; Hobbes y el Leviatán, en </w:t>
      </w:r>
      <w:r>
        <w:t>6.1</w:t>
      </w:r>
      <w:r>
        <w:t>.</w:t>
      </w:r>
    </w:p>
    <w:p>
      <w:pPr>
        <w:pStyle w:val="ListBullet"/>
      </w:pPr>
      <w:r>
        <w:t xml:space="preserve">Ashoka y su propia guerra, con cien mil muertos, y el Dalai Lama, que en 2011 puso fin a la doble autoridad, espiritual y política, de su institución, en </w:t>
      </w:r>
      <w:r>
        <w:t>6.2</w:t>
      </w:r>
      <w:r>
        <w:t>.</w:t>
      </w:r>
    </w:p>
    <w:p>
      <w:pPr>
        <w:pStyle w:val="ListBullet"/>
      </w:pPr>
      <w:r>
        <w:t xml:space="preserve">Salomón, que pidió «corazón dócil» (1 Re 3:9), y su hijo, que no alivió el yugo, con lo que las tribus del norte se apartaron (1 Re 12), en </w:t>
      </w:r>
      <w:r>
        <w:t>6.2</w:t>
      </w:r>
      <w:r>
        <w:t>.</w:t>
      </w:r>
    </w:p>
    <w:p>
      <w:r>
        <w:t>[00.00, sección 22 («Historia del poder y el Estado»)]</w:t>
      </w:r>
    </w:p>
    <w:p>
      <w:pPr>
        <w:pStyle w:val="Heading2"/>
      </w:pPr>
      <w:r>
        <w:t>I.7 Los textos modernos</w:t>
      </w:r>
    </w:p>
    <w:p>
      <w:pPr>
        <w:pBdr>
          <w:left w:val="single" w:sz="24" w:space="6" w:color="E2DED6"/>
        </w:pBdr>
        <w:shd w:val="clear" w:color="auto" w:fill="F1EEE8"/>
        <w:spacing w:before="80" w:after="160"/>
        <w:ind w:left="142" w:right="142"/>
      </w:pPr>
      <w:r>
        <w:rPr>
          <w:b/>
        </w:rPr>
        <w:t>La idea: la línea entre el bien y el mal pasa por cada corazón, el fin del Estado es la libertad, y lo de abajo es como lo de arriba.</w:t>
      </w:r>
    </w:p>
    <w:p>
      <w:pPr>
        <w:pStyle w:val="ListBullet"/>
      </w:pPr>
      <w:r>
        <w:t xml:space="preserve">Solzhenitsyn: la línea que separa el bien del mal pasa por cada corazón humano (Archipiélago Gulag), en </w:t>
      </w:r>
      <w:r>
        <w:t>2.5</w:t>
      </w:r>
      <w:r>
        <w:t>.</w:t>
      </w:r>
    </w:p>
    <w:p>
      <w:pPr>
        <w:pStyle w:val="ListBullet"/>
      </w:pPr>
      <w:r>
        <w:t>Espinosa: el fin del Estado es la libertad (Tratado teológico-político, cap. XX), en 11.3.</w:t>
      </w:r>
    </w:p>
    <w:p>
      <w:pPr>
        <w:pStyle w:val="ListBullet"/>
      </w:pPr>
      <w:r>
        <w:t>La Tabla Esmeralda: «Lo que está abajo es como lo que está arriba, y lo que está arriba es como lo que está abajo»</w:t>
      </w:r>
      <w:r>
        <w:t xml:space="preserve"> [original: «Quod est inferius, est sicut quod est superius, et quod est superius, est sicut quod est inferius»]</w:t>
      </w:r>
      <w:r>
        <w:t xml:space="preserve"> (Tabla Esmeralda, versión latina corriente, en J. Ruska, Tabula Smaragdina, Heidelberg, 1926, pág. 2)</w:t>
      </w:r>
      <w:r>
        <w:br/>
      </w:r>
      <w:r>
        <w:rPr>
          <w:b/>
        </w:rPr>
        <w:t>leída en su fuente · Tabla Esmeralda, versión latina corriente, en J. Ruska, Tabula Smaragdina, Heidelberg, 192</w:t>
      </w:r>
      <w:r>
        <w:br/>
      </w:r>
      <w:r>
        <w:rPr>
          <w:b/>
        </w:rPr>
        <w:t>Archivo leído:</w:t>
      </w:r>
      <w:r>
        <w:t xml:space="preserve"> tabula_smaragdina_ruska_1926_archive_djvu.txt (c9h\tabula_smaragdina_ruska_1926_archive_djvu.txt) · contraste del archivo de pasajes: ✔</w:t>
      </w:r>
      <w:r>
        <w:br/>
      </w:r>
      <w:r>
        <w:rPr>
          <w:b/>
        </w:rPr>
        <w:t>Lugar:</w:t>
      </w:r>
      <w:r>
        <w:t xml:space="preserve"> Tabla Esmeralda, versión latina corriente, en J. Ruska, Tabula Smaragdina, Heidelberg, 1926, pág. 2</w:t>
      </w:r>
      <w:r>
        <w:br/>
      </w:r>
      <w:r>
        <w:rPr>
          <w:b/>
        </w:rPr>
        <w:t>Tal como está en la fuente:</w:t>
      </w:r>
      <w:r>
        <w:t xml:space="preserve"> Quod est inferius, est sicut quod est superius, et quod est superius, est sicut quod est inferius</w:t>
      </w:r>
      <w:r>
        <w:t>. Es lo que se resume en «como es arriba, es abajo».</w:t>
      </w:r>
    </w:p>
    <w:p>
      <w:r>
        <w:t>[00.00, sección 23 («Textos modernos no religiosos»); c9h, entradas 59 a 61]</w:t>
      </w:r>
    </w:p>
    <w:p>
      <w:pPr>
        <w:pStyle w:val="Heading2"/>
      </w:pPr>
      <w:r>
        <w:t>I.8 Las leyes y las sentencias</w:t>
      </w:r>
    </w:p>
    <w:p>
      <w:pPr>
        <w:pBdr>
          <w:left w:val="single" w:sz="24" w:space="6" w:color="E2DED6"/>
        </w:pBdr>
        <w:shd w:val="clear" w:color="auto" w:fill="F1EEE8"/>
        <w:spacing w:before="80" w:after="160"/>
        <w:ind w:left="142" w:right="142"/>
      </w:pPr>
      <w:r>
        <w:rPr>
          <w:b/>
        </w:rPr>
        <w:t xml:space="preserve">La idea: las leyes y sentencias de la prensa libre y del control del poder ya están en el </w:t>
      </w:r>
      <w:r>
        <w:rPr>
          <w:b/>
        </w:rPr>
        <w:t>capítulo 10</w:t>
      </w:r>
      <w:r>
        <w:rPr>
          <w:b/>
        </w:rPr>
        <w:t>; aquí, solo su lugar.</w:t>
      </w:r>
    </w:p>
    <w:p>
      <w:pPr>
        <w:pStyle w:val="ListBullet"/>
      </w:pPr>
      <w:r>
        <w:t xml:space="preserve">La libertad de información y la prohibición de la censura previa (Constitución, art. 20.1.d y 20.2), la prensa como «perro guardián» (TEDH, Observer y Guardian c. Reino Unido, 1991) y el Reglamento Europeo sobre la Libertad de los Medios de Comunicación (Reglamento (UE) 2024/1083), en </w:t>
      </w:r>
      <w:r>
        <w:t>10.2</w:t>
      </w:r>
      <w:r>
        <w:t>.</w:t>
      </w:r>
    </w:p>
    <w:p>
      <w:pPr>
        <w:pStyle w:val="ListBullet"/>
      </w:pPr>
      <w:r>
        <w:t>La transparencia (Ley 19/2013), en 10.2 y 10.4; la pensión compatible con el trabajo (Ley General de la Seguridad Social, art. 214), en 10.2.</w:t>
      </w:r>
    </w:p>
    <w:p>
      <w:pPr>
        <w:pStyle w:val="ListBullet"/>
      </w:pPr>
      <w:r>
        <w:t xml:space="preserve">La moneda del euro, competencia de la Unión (Tratado de Funcionamiento de la UE, art. 3.1.c), en 5.1 y 10.2; y Juan de Mariana, en 1609, contra la rebaja de la moneda, en </w:t>
      </w:r>
      <w:r>
        <w:t>8.2</w:t>
      </w:r>
      <w:r>
        <w:t>.</w:t>
      </w:r>
    </w:p>
    <w:p>
      <w:pPr>
        <w:pStyle w:val="ListBullet"/>
      </w:pPr>
      <w:r>
        <w:t xml:space="preserve">El jurado (Ley Orgánica 5/1995, arts. 8 y 13) y la asamblea de ciudadanos de Irlanda, en </w:t>
      </w:r>
      <w:r>
        <w:t>10.2</w:t>
      </w:r>
      <w:r>
        <w:t>.</w:t>
      </w:r>
    </w:p>
    <w:p>
      <w:r>
        <w:t>[00.00, secciones 24 («Prensa libre») y 25 («El Estado nuevo»); c9c, entradas 72 y 73; c9d, entrada 70; paso 2 bis]</w:t>
      </w:r>
    </w:p>
    <w:p>
      <w:pPr>
        <w:pStyle w:val="Heading2"/>
      </w:pPr>
      <w:r>
        <w:t>I.9 Todas las fuentes de la obra</w:t>
      </w:r>
    </w:p>
    <w:p>
      <w:pPr>
        <w:pBdr>
          <w:left w:val="single" w:sz="24" w:space="6" w:color="E2DED6"/>
        </w:pBdr>
        <w:shd w:val="clear" w:color="auto" w:fill="F1EEE8"/>
        <w:spacing w:before="80" w:after="160"/>
        <w:ind w:left="142" w:right="142"/>
      </w:pPr>
      <w:r>
        <w:rPr>
          <w:b/>
        </w:rPr>
        <w:t>La idea: cada fuente que la obra cita, en una sola lista y por tipo, con los apartados donde se usa.</w:t>
      </w:r>
    </w:p>
    <w:p>
      <w:r>
        <w:t>Cada fuente sale una sola vez, con los apartados donde la obra la usa; los números en negrita llevan a su sitio. Lo que dice cada fuente, y con qué peso se usa, está en su apartado: aquí solo se dice dónde. Hay 728 fuentes distintas.</w:t>
      </w:r>
    </w:p>
    <w:p>
      <w:r>
        <w:rPr>
          <w:b/>
        </w:rPr>
        <w:t>La Constitución, las leyes y las normas de España</w:t>
      </w:r>
      <w:r>
        <w:t xml:space="preserve"> (149 fuentes)</w:t>
      </w:r>
    </w:p>
    <w:p>
      <w:pPr>
        <w:pStyle w:val="ListBullet"/>
      </w:pPr>
      <w:r>
        <w:t xml:space="preserve">Boletín Oficial del Estado (BOE): </w:t>
      </w:r>
      <w:r>
        <w:rPr>
          <w:b/>
        </w:rPr>
        <w:t>7.2</w:t>
      </w:r>
      <w:r>
        <w:t xml:space="preserve">, </w:t>
      </w:r>
      <w:r>
        <w:rPr>
          <w:b/>
        </w:rPr>
        <w:t>8.3</w:t>
      </w:r>
      <w:r>
        <w:t xml:space="preserve">, </w:t>
      </w:r>
      <w:r>
        <w:rPr>
          <w:b/>
        </w:rPr>
        <w:t>8.7</w:t>
      </w:r>
      <w:r>
        <w:t xml:space="preserve">, </w:t>
      </w:r>
      <w:r>
        <w:rPr>
          <w:b/>
        </w:rPr>
        <w:t>11.3</w:t>
      </w:r>
      <w:r>
        <w:t xml:space="preserve">, </w:t>
      </w:r>
      <w:r>
        <w:rPr>
          <w:b/>
        </w:rPr>
        <w:t>A.1</w:t>
      </w:r>
      <w:r>
        <w:t xml:space="preserve">, </w:t>
      </w:r>
      <w:r>
        <w:rPr>
          <w:b/>
        </w:rPr>
        <w:t>A.2</w:t>
      </w:r>
      <w:r>
        <w:t xml:space="preserve">, </w:t>
      </w:r>
      <w:r>
        <w:rPr>
          <w:b/>
        </w:rPr>
        <w:t>A.3</w:t>
      </w:r>
      <w:r>
        <w:t xml:space="preserve">, </w:t>
      </w:r>
      <w:r>
        <w:rPr>
          <w:b/>
        </w:rPr>
        <w:t>A.4</w:t>
      </w:r>
      <w:r>
        <w:t xml:space="preserve">, </w:t>
      </w:r>
      <w:r>
        <w:rPr>
          <w:b/>
        </w:rPr>
        <w:t>A.5</w:t>
      </w:r>
      <w:r>
        <w:t xml:space="preserve">, </w:t>
      </w:r>
      <w:r>
        <w:rPr>
          <w:b/>
        </w:rPr>
        <w:t>A.8</w:t>
      </w:r>
      <w:r>
        <w:t xml:space="preserve">, </w:t>
      </w:r>
      <w:r>
        <w:rPr>
          <w:b/>
        </w:rPr>
        <w:t>A.10</w:t>
      </w:r>
      <w:r>
        <w:t xml:space="preserve">, </w:t>
      </w:r>
      <w:r>
        <w:rPr>
          <w:b/>
        </w:rPr>
        <w:t>A.11</w:t>
      </w:r>
      <w:r>
        <w:t>.</w:t>
      </w:r>
    </w:p>
    <w:p>
      <w:pPr>
        <w:pStyle w:val="ListBullet"/>
      </w:pPr>
      <w:r>
        <w:t xml:space="preserve">Código Civil: </w:t>
      </w:r>
      <w:r>
        <w:rPr>
          <w:b/>
        </w:rPr>
        <w:t>1.1</w:t>
      </w:r>
      <w:r>
        <w:t xml:space="preserve">, </w:t>
      </w:r>
      <w:r>
        <w:rPr>
          <w:b/>
        </w:rPr>
        <w:t>1.5</w:t>
      </w:r>
      <w:r>
        <w:t xml:space="preserve">, </w:t>
      </w:r>
      <w:r>
        <w:rPr>
          <w:b/>
        </w:rPr>
        <w:t>1.6</w:t>
      </w:r>
      <w:r>
        <w:t xml:space="preserve">, </w:t>
      </w:r>
      <w:r>
        <w:rPr>
          <w:b/>
        </w:rPr>
        <w:t>1.7</w:t>
      </w:r>
      <w:r>
        <w:t xml:space="preserve">, </w:t>
      </w:r>
      <w:r>
        <w:rPr>
          <w:b/>
        </w:rPr>
        <w:t>1.8</w:t>
      </w:r>
      <w:r>
        <w:t xml:space="preserve">, </w:t>
      </w:r>
      <w:r>
        <w:rPr>
          <w:b/>
        </w:rPr>
        <w:t>2.1</w:t>
      </w:r>
      <w:r>
        <w:t xml:space="preserve">, </w:t>
      </w:r>
      <w:r>
        <w:rPr>
          <w:b/>
        </w:rPr>
        <w:t>2.5</w:t>
      </w:r>
      <w:r>
        <w:t xml:space="preserve">, </w:t>
      </w:r>
      <w:r>
        <w:rPr>
          <w:b/>
        </w:rPr>
        <w:t>5.1</w:t>
      </w:r>
      <w:r>
        <w:t xml:space="preserve">, </w:t>
      </w:r>
      <w:r>
        <w:rPr>
          <w:b/>
        </w:rPr>
        <w:t>5.2</w:t>
      </w:r>
      <w:r>
        <w:t xml:space="preserve">, </w:t>
      </w:r>
      <w:r>
        <w:rPr>
          <w:b/>
        </w:rPr>
        <w:t>5.4</w:t>
      </w:r>
      <w:r>
        <w:t xml:space="preserve">, </w:t>
      </w:r>
      <w:r>
        <w:t>capítulo 9</w:t>
      </w:r>
      <w:r>
        <w:t xml:space="preserve">, </w:t>
      </w:r>
      <w:r>
        <w:rPr>
          <w:b/>
        </w:rPr>
        <w:t>9.1</w:t>
      </w:r>
      <w:r>
        <w:t xml:space="preserve">, </w:t>
      </w:r>
      <w:r>
        <w:rPr>
          <w:b/>
        </w:rPr>
        <w:t>10.4</w:t>
      </w:r>
      <w:r>
        <w:t xml:space="preserve">, </w:t>
      </w:r>
      <w:r>
        <w:rPr>
          <w:b/>
        </w:rPr>
        <w:t>10.6</w:t>
      </w:r>
      <w:r>
        <w:t xml:space="preserve">, </w:t>
      </w:r>
      <w:r>
        <w:rPr>
          <w:b/>
        </w:rPr>
        <w:t>10.7</w:t>
      </w:r>
      <w:r>
        <w:t xml:space="preserve">, </w:t>
      </w:r>
      <w:r>
        <w:rPr>
          <w:b/>
        </w:rPr>
        <w:t>11.2</w:t>
      </w:r>
      <w:r>
        <w:t xml:space="preserve">, </w:t>
      </w:r>
      <w:r>
        <w:rPr>
          <w:b/>
        </w:rPr>
        <w:t>11.3</w:t>
      </w:r>
      <w:r>
        <w:t xml:space="preserve">, </w:t>
      </w:r>
      <w:r>
        <w:rPr>
          <w:b/>
        </w:rPr>
        <w:t>A.2</w:t>
      </w:r>
      <w:r>
        <w:t xml:space="preserve">, </w:t>
      </w:r>
      <w:r>
        <w:t>anexo D</w:t>
      </w:r>
      <w:r>
        <w:t xml:space="preserve">, </w:t>
      </w:r>
      <w:r>
        <w:rPr>
          <w:b/>
        </w:rPr>
        <w:t>D.9</w:t>
      </w:r>
      <w:r>
        <w:t xml:space="preserve">, </w:t>
      </w:r>
      <w:r>
        <w:rPr>
          <w:b/>
        </w:rPr>
        <w:t>D.13</w:t>
      </w:r>
      <w:r>
        <w:t xml:space="preserve">, </w:t>
      </w:r>
      <w:r>
        <w:rPr>
          <w:b/>
        </w:rPr>
        <w:t>H.10</w:t>
      </w:r>
      <w:r>
        <w:t>.</w:t>
      </w:r>
    </w:p>
    <w:p>
      <w:pPr>
        <w:pStyle w:val="ListBullet"/>
      </w:pPr>
      <w:r>
        <w:t xml:space="preserve">Código Penal: </w:t>
      </w:r>
      <w:r>
        <w:rPr>
          <w:b/>
        </w:rPr>
        <w:t>2.5</w:t>
      </w:r>
      <w:r>
        <w:t xml:space="preserve">, </w:t>
      </w:r>
      <w:r>
        <w:rPr>
          <w:b/>
        </w:rPr>
        <w:t>2.6</w:t>
      </w:r>
      <w:r>
        <w:t xml:space="preserve">, </w:t>
      </w:r>
      <w:r>
        <w:rPr>
          <w:b/>
        </w:rPr>
        <w:t>3.1</w:t>
      </w:r>
      <w:r>
        <w:t xml:space="preserve">, </w:t>
      </w:r>
      <w:r>
        <w:rPr>
          <w:b/>
        </w:rPr>
        <w:t>7.7</w:t>
      </w:r>
      <w:r>
        <w:t xml:space="preserve">, </w:t>
      </w:r>
      <w:r>
        <w:rPr>
          <w:b/>
        </w:rPr>
        <w:t>8.5</w:t>
      </w:r>
      <w:r>
        <w:t xml:space="preserve">, </w:t>
      </w:r>
      <w:r>
        <w:t>capítulo 9</w:t>
      </w:r>
      <w:r>
        <w:t xml:space="preserve">, </w:t>
      </w:r>
      <w:r>
        <w:rPr>
          <w:b/>
        </w:rPr>
        <w:t>9.1</w:t>
      </w:r>
      <w:r>
        <w:t xml:space="preserve">, </w:t>
      </w:r>
      <w:r>
        <w:rPr>
          <w:b/>
        </w:rPr>
        <w:t>10.4</w:t>
      </w:r>
      <w:r>
        <w:t xml:space="preserve">, </w:t>
      </w:r>
      <w:r>
        <w:rPr>
          <w:b/>
        </w:rPr>
        <w:t>10.7</w:t>
      </w:r>
      <w:r>
        <w:t xml:space="preserve">, </w:t>
      </w:r>
      <w:r>
        <w:rPr>
          <w:b/>
        </w:rPr>
        <w:t>11.2</w:t>
      </w:r>
      <w:r>
        <w:t>.</w:t>
      </w:r>
    </w:p>
    <w:p>
      <w:pPr>
        <w:pStyle w:val="ListBullet"/>
      </w:pPr>
      <w:r>
        <w:t xml:space="preserve">Constitución española: </w:t>
      </w:r>
      <w:r>
        <w:rPr>
          <w:b/>
        </w:rPr>
        <w:t>0.2</w:t>
      </w:r>
      <w:r>
        <w:t xml:space="preserve">, </w:t>
      </w:r>
      <w:r>
        <w:t>capítulo 1</w:t>
      </w:r>
      <w:r>
        <w:t xml:space="preserve">, </w:t>
      </w:r>
      <w:r>
        <w:rPr>
          <w:b/>
        </w:rPr>
        <w:t>1.4</w:t>
      </w:r>
      <w:r>
        <w:t xml:space="preserve">, </w:t>
      </w:r>
      <w:r>
        <w:rPr>
          <w:b/>
        </w:rPr>
        <w:t>1.5</w:t>
      </w:r>
      <w:r>
        <w:t xml:space="preserve">, </w:t>
      </w:r>
      <w:r>
        <w:rPr>
          <w:b/>
        </w:rPr>
        <w:t>1.7</w:t>
      </w:r>
      <w:r>
        <w:t xml:space="preserve">, </w:t>
      </w:r>
      <w:r>
        <w:rPr>
          <w:b/>
        </w:rPr>
        <w:t>1.8</w:t>
      </w:r>
      <w:r>
        <w:t xml:space="preserve">, </w:t>
      </w:r>
      <w:r>
        <w:rPr>
          <w:b/>
        </w:rPr>
        <w:t>1.9</w:t>
      </w:r>
      <w:r>
        <w:t xml:space="preserve">, </w:t>
      </w:r>
      <w:r>
        <w:t>capítulo 2</w:t>
      </w:r>
      <w:r>
        <w:t xml:space="preserve">, </w:t>
      </w:r>
      <w:r>
        <w:rPr>
          <w:b/>
        </w:rPr>
        <w:t>2.2</w:t>
      </w:r>
      <w:r>
        <w:t xml:space="preserve">, </w:t>
      </w:r>
      <w:r>
        <w:rPr>
          <w:b/>
        </w:rPr>
        <w:t>2.3</w:t>
      </w:r>
      <w:r>
        <w:t xml:space="preserve">, </w:t>
      </w:r>
      <w:r>
        <w:rPr>
          <w:b/>
        </w:rPr>
        <w:t>2.4</w:t>
      </w:r>
      <w:r>
        <w:t xml:space="preserve">, </w:t>
      </w:r>
      <w:r>
        <w:rPr>
          <w:b/>
        </w:rPr>
        <w:t>2.6</w:t>
      </w:r>
      <w:r>
        <w:t xml:space="preserve">, </w:t>
      </w:r>
      <w:r>
        <w:rPr>
          <w:b/>
        </w:rPr>
        <w:t>5.1</w:t>
      </w:r>
      <w:r>
        <w:t xml:space="preserve">, </w:t>
      </w:r>
      <w:r>
        <w:rPr>
          <w:b/>
        </w:rPr>
        <w:t>5.2</w:t>
      </w:r>
      <w:r>
        <w:t xml:space="preserve">, </w:t>
      </w:r>
      <w:r>
        <w:rPr>
          <w:b/>
        </w:rPr>
        <w:t>6.4</w:t>
      </w:r>
      <w:r>
        <w:t xml:space="preserve">, </w:t>
      </w:r>
      <w:r>
        <w:rPr>
          <w:b/>
        </w:rPr>
        <w:t>7.2</w:t>
      </w:r>
      <w:r>
        <w:t xml:space="preserve">, </w:t>
      </w:r>
      <w:r>
        <w:rPr>
          <w:b/>
        </w:rPr>
        <w:t>7.3</w:t>
      </w:r>
      <w:r>
        <w:t xml:space="preserve">, </w:t>
      </w:r>
      <w:r>
        <w:rPr>
          <w:b/>
        </w:rPr>
        <w:t>7.6</w:t>
      </w:r>
      <w:r>
        <w:t xml:space="preserve">, </w:t>
      </w:r>
      <w:r>
        <w:rPr>
          <w:b/>
        </w:rPr>
        <w:t>8.1</w:t>
      </w:r>
      <w:r>
        <w:t xml:space="preserve">, </w:t>
      </w:r>
      <w:r>
        <w:rPr>
          <w:b/>
        </w:rPr>
        <w:t>8.5</w:t>
      </w:r>
      <w:r>
        <w:t xml:space="preserve">, </w:t>
      </w:r>
      <w:r>
        <w:t>capítulo 9</w:t>
      </w:r>
      <w:r>
        <w:t xml:space="preserve">, </w:t>
      </w:r>
      <w:r>
        <w:rPr>
          <w:b/>
        </w:rPr>
        <w:t>10.0</w:t>
      </w:r>
      <w:r>
        <w:t xml:space="preserve">, </w:t>
      </w:r>
      <w:r>
        <w:rPr>
          <w:b/>
        </w:rPr>
        <w:t>10.1</w:t>
      </w:r>
      <w:r>
        <w:t xml:space="preserve">, </w:t>
      </w:r>
      <w:r>
        <w:rPr>
          <w:b/>
        </w:rPr>
        <w:t>10.2</w:t>
      </w:r>
      <w:r>
        <w:t xml:space="preserve">, </w:t>
      </w:r>
      <w:r>
        <w:rPr>
          <w:b/>
        </w:rPr>
        <w:t>10.4</w:t>
      </w:r>
      <w:r>
        <w:t xml:space="preserve">, </w:t>
      </w:r>
      <w:r>
        <w:rPr>
          <w:b/>
        </w:rPr>
        <w:t>10.6</w:t>
      </w:r>
      <w:r>
        <w:t xml:space="preserve">, </w:t>
      </w:r>
      <w:r>
        <w:rPr>
          <w:b/>
        </w:rPr>
        <w:t>10.7</w:t>
      </w:r>
      <w:r>
        <w:t xml:space="preserve">, </w:t>
      </w:r>
      <w:r>
        <w:rPr>
          <w:b/>
        </w:rPr>
        <w:t>10.8</w:t>
      </w:r>
      <w:r>
        <w:t xml:space="preserve">, </w:t>
      </w:r>
      <w:r>
        <w:rPr>
          <w:b/>
        </w:rPr>
        <w:t>11.0</w:t>
      </w:r>
      <w:r>
        <w:t xml:space="preserve">, </w:t>
      </w:r>
      <w:r>
        <w:rPr>
          <w:b/>
        </w:rPr>
        <w:t>11.1</w:t>
      </w:r>
      <w:r>
        <w:t xml:space="preserve">, </w:t>
      </w:r>
      <w:r>
        <w:rPr>
          <w:b/>
        </w:rPr>
        <w:t>11.2</w:t>
      </w:r>
      <w:r>
        <w:t xml:space="preserve">, </w:t>
      </w:r>
      <w:r>
        <w:rPr>
          <w:b/>
        </w:rPr>
        <w:t>11.3</w:t>
      </w:r>
      <w:r>
        <w:t xml:space="preserve">, </w:t>
      </w:r>
      <w:r>
        <w:rPr>
          <w:b/>
        </w:rPr>
        <w:t>11.4</w:t>
      </w:r>
      <w:r>
        <w:t xml:space="preserve">, </w:t>
      </w:r>
      <w:r>
        <w:rPr>
          <w:b/>
        </w:rPr>
        <w:t>A.3</w:t>
      </w:r>
      <w:r>
        <w:t xml:space="preserve">, </w:t>
      </w:r>
      <w:r>
        <w:rPr>
          <w:b/>
        </w:rPr>
        <w:t>A.10</w:t>
      </w:r>
      <w:r>
        <w:t xml:space="preserve">, </w:t>
      </w:r>
      <w:r>
        <w:rPr>
          <w:b/>
        </w:rPr>
        <w:t>C.4</w:t>
      </w:r>
      <w:r>
        <w:t xml:space="preserve">, </w:t>
      </w:r>
      <w:r>
        <w:rPr>
          <w:b/>
        </w:rPr>
        <w:t>D.9</w:t>
      </w:r>
      <w:r>
        <w:t xml:space="preserve">, </w:t>
      </w:r>
      <w:r>
        <w:rPr>
          <w:b/>
        </w:rPr>
        <w:t>D.13</w:t>
      </w:r>
      <w:r>
        <w:t xml:space="preserve">, </w:t>
      </w:r>
      <w:r>
        <w:rPr>
          <w:b/>
        </w:rPr>
        <w:t>H.10</w:t>
      </w:r>
      <w:r>
        <w:t xml:space="preserve">, </w:t>
      </w:r>
      <w:r>
        <w:rPr>
          <w:b/>
        </w:rPr>
        <w:t>J.6</w:t>
      </w:r>
      <w:r>
        <w:t>.</w:t>
      </w:r>
    </w:p>
    <w:p>
      <w:pPr>
        <w:pStyle w:val="ListBullet"/>
      </w:pPr>
      <w:r>
        <w:t xml:space="preserve">Decreto 2065/1974: </w:t>
      </w:r>
      <w:r>
        <w:rPr>
          <w:b/>
        </w:rPr>
        <w:t>9.1</w:t>
      </w:r>
      <w:r>
        <w:t>.</w:t>
      </w:r>
    </w:p>
    <w:p>
      <w:pPr>
        <w:pStyle w:val="ListBullet"/>
      </w:pPr>
      <w:r>
        <w:t xml:space="preserve">Decreto 2926/1974: </w:t>
      </w:r>
      <w:r>
        <w:rPr>
          <w:b/>
        </w:rPr>
        <w:t>8.5</w:t>
      </w:r>
      <w:r>
        <w:t>.</w:t>
      </w:r>
    </w:p>
    <w:p>
      <w:pPr>
        <w:pStyle w:val="ListBullet"/>
      </w:pPr>
      <w:r>
        <w:t xml:space="preserve">Decreto 3530/1972: </w:t>
      </w:r>
      <w:r>
        <w:rPr>
          <w:b/>
        </w:rPr>
        <w:t>8.5</w:t>
      </w:r>
      <w:r>
        <w:t>.</w:t>
      </w:r>
    </w:p>
    <w:p>
      <w:pPr>
        <w:pStyle w:val="ListBullet"/>
      </w:pPr>
      <w:r>
        <w:t xml:space="preserve">Decreto 720/1970: </w:t>
      </w:r>
      <w:r>
        <w:rPr>
          <w:b/>
        </w:rPr>
        <w:t>8.3</w:t>
      </w:r>
      <w:r>
        <w:t>.</w:t>
      </w:r>
    </w:p>
    <w:p>
      <w:pPr>
        <w:pStyle w:val="ListBullet"/>
      </w:pPr>
      <w:r>
        <w:t xml:space="preserve">Decreto 73/2006 de la Generalitat Valenciana: </w:t>
      </w:r>
      <w:r>
        <w:rPr>
          <w:b/>
        </w:rPr>
        <w:t>1.5</w:t>
      </w:r>
      <w:r>
        <w:t>.</w:t>
      </w:r>
    </w:p>
    <w:p>
      <w:pPr>
        <w:pStyle w:val="ListBullet"/>
      </w:pPr>
      <w:r>
        <w:t xml:space="preserve">Decreto de las Cortes de Cádiz de 6 de agosto de 1811: </w:t>
      </w:r>
      <w:r>
        <w:rPr>
          <w:b/>
        </w:rPr>
        <w:t>2.2</w:t>
      </w:r>
      <w:r>
        <w:t xml:space="preserve">, </w:t>
      </w:r>
      <w:r>
        <w:rPr>
          <w:b/>
        </w:rPr>
        <w:t>6.3</w:t>
      </w:r>
      <w:r>
        <w:t>.</w:t>
      </w:r>
    </w:p>
    <w:p>
      <w:pPr>
        <w:pStyle w:val="ListBullet"/>
      </w:pPr>
      <w:r>
        <w:t xml:space="preserve">Decreto ley 3/2026 de Canarias: </w:t>
      </w:r>
      <w:r>
        <w:rPr>
          <w:b/>
        </w:rPr>
        <w:t>8.5</w:t>
      </w:r>
      <w:r>
        <w:t>.</w:t>
      </w:r>
    </w:p>
    <w:p>
      <w:pPr>
        <w:pStyle w:val="ListBullet"/>
      </w:pPr>
      <w:r>
        <w:t xml:space="preserve">Estatuto Básico del Empleado Público: </w:t>
      </w:r>
      <w:r>
        <w:rPr>
          <w:b/>
        </w:rPr>
        <w:t>8.6</w:t>
      </w:r>
      <w:r>
        <w:t xml:space="preserve">, </w:t>
      </w:r>
      <w:r>
        <w:rPr>
          <w:b/>
        </w:rPr>
        <w:t>10.2</w:t>
      </w:r>
      <w:r>
        <w:t xml:space="preserve">, </w:t>
      </w:r>
      <w:r>
        <w:rPr>
          <w:b/>
        </w:rPr>
        <w:t>10.4</w:t>
      </w:r>
      <w:r>
        <w:t xml:space="preserve">, </w:t>
      </w:r>
      <w:r>
        <w:rPr>
          <w:b/>
        </w:rPr>
        <w:t>C.0</w:t>
      </w:r>
      <w:r>
        <w:t xml:space="preserve">, </w:t>
      </w:r>
      <w:r>
        <w:rPr>
          <w:b/>
        </w:rPr>
        <w:t>C.4</w:t>
      </w:r>
      <w:r>
        <w:t>.</w:t>
      </w:r>
    </w:p>
    <w:p>
      <w:pPr>
        <w:pStyle w:val="ListBullet"/>
      </w:pPr>
      <w:r>
        <w:t xml:space="preserve">Estatuto de los Trabajadores: </w:t>
      </w:r>
      <w:r>
        <w:rPr>
          <w:b/>
        </w:rPr>
        <w:t>8.6</w:t>
      </w:r>
      <w:r>
        <w:t xml:space="preserve">, </w:t>
      </w:r>
      <w:r>
        <w:rPr>
          <w:b/>
        </w:rPr>
        <w:t>C.4</w:t>
      </w:r>
      <w:r>
        <w:t>.</w:t>
      </w:r>
    </w:p>
    <w:p>
      <w:pPr>
        <w:pStyle w:val="ListBullet"/>
      </w:pPr>
      <w:r>
        <w:t xml:space="preserve">Fuero Nuevo de Navarra: </w:t>
      </w:r>
      <w:r>
        <w:rPr>
          <w:b/>
        </w:rPr>
        <w:t>1.1</w:t>
      </w:r>
      <w:r>
        <w:t>.</w:t>
      </w:r>
    </w:p>
    <w:p>
      <w:pPr>
        <w:pStyle w:val="ListBullet"/>
      </w:pPr>
      <w:r>
        <w:t xml:space="preserve">Ley 74/1980: </w:t>
      </w:r>
      <w:r>
        <w:rPr>
          <w:b/>
        </w:rPr>
        <w:t>C.4</w:t>
      </w:r>
      <w:r>
        <w:t>.</w:t>
      </w:r>
    </w:p>
    <w:p>
      <w:pPr>
        <w:pStyle w:val="ListBullet"/>
      </w:pPr>
      <w:r>
        <w:t xml:space="preserve">Ley 7/1981: </w:t>
      </w:r>
      <w:r>
        <w:rPr>
          <w:b/>
        </w:rPr>
        <w:t>C.4</w:t>
      </w:r>
      <w:r>
        <w:t>.</w:t>
      </w:r>
    </w:p>
    <w:p>
      <w:pPr>
        <w:pStyle w:val="ListBullet"/>
      </w:pPr>
      <w:r>
        <w:t xml:space="preserve">Ley 39/1981: </w:t>
      </w:r>
      <w:r>
        <w:rPr>
          <w:b/>
        </w:rPr>
        <w:t>A.1</w:t>
      </w:r>
      <w:r>
        <w:t>.</w:t>
      </w:r>
    </w:p>
    <w:p>
      <w:pPr>
        <w:pStyle w:val="ListBullet"/>
      </w:pPr>
      <w:r>
        <w:t xml:space="preserve">Ley 7/1985: </w:t>
      </w:r>
      <w:r>
        <w:rPr>
          <w:b/>
        </w:rPr>
        <w:t>C.5</w:t>
      </w:r>
      <w:r>
        <w:t xml:space="preserve">, </w:t>
      </w:r>
      <w:r>
        <w:rPr>
          <w:b/>
        </w:rPr>
        <w:t>D.13</w:t>
      </w:r>
      <w:r>
        <w:t>.</w:t>
      </w:r>
    </w:p>
    <w:p>
      <w:pPr>
        <w:pStyle w:val="ListBullet"/>
      </w:pPr>
      <w:r>
        <w:t xml:space="preserve">Ley 26/1985: </w:t>
      </w:r>
      <w:r>
        <w:rPr>
          <w:b/>
        </w:rPr>
        <w:t>9.1</w:t>
      </w:r>
      <w:r>
        <w:t>.</w:t>
      </w:r>
    </w:p>
    <w:p>
      <w:pPr>
        <w:pStyle w:val="ListBullet"/>
      </w:pPr>
      <w:r>
        <w:t xml:space="preserve">Ley 30/1985: </w:t>
      </w:r>
      <w:r>
        <w:rPr>
          <w:b/>
        </w:rPr>
        <w:t>8.5</w:t>
      </w:r>
      <w:r>
        <w:t>.</w:t>
      </w:r>
    </w:p>
    <w:p>
      <w:pPr>
        <w:pStyle w:val="ListBullet"/>
      </w:pPr>
      <w:r>
        <w:t xml:space="preserve">Ley 9/1988: </w:t>
      </w:r>
      <w:r>
        <w:rPr>
          <w:b/>
        </w:rPr>
        <w:t>A.2</w:t>
      </w:r>
      <w:r>
        <w:t>.</w:t>
      </w:r>
    </w:p>
    <w:p>
      <w:pPr>
        <w:pStyle w:val="ListBullet"/>
      </w:pPr>
      <w:r>
        <w:t xml:space="preserve">Ley 22/1988: </w:t>
      </w:r>
      <w:r>
        <w:rPr>
          <w:b/>
        </w:rPr>
        <w:t>A.8</w:t>
      </w:r>
      <w:r>
        <w:t>.</w:t>
      </w:r>
    </w:p>
    <w:p>
      <w:pPr>
        <w:pStyle w:val="ListBullet"/>
      </w:pPr>
      <w:r>
        <w:t xml:space="preserve">Ley 29/1990: </w:t>
      </w:r>
      <w:r>
        <w:rPr>
          <w:b/>
        </w:rPr>
        <w:t>A.9</w:t>
      </w:r>
      <w:r>
        <w:t>.</w:t>
      </w:r>
    </w:p>
    <w:p>
      <w:pPr>
        <w:pStyle w:val="ListBullet"/>
      </w:pPr>
      <w:r>
        <w:t xml:space="preserve">Ley 31/1991: </w:t>
      </w:r>
      <w:r>
        <w:rPr>
          <w:b/>
        </w:rPr>
        <w:t>8.5</w:t>
      </w:r>
      <w:r>
        <w:t>.</w:t>
      </w:r>
    </w:p>
    <w:p>
      <w:pPr>
        <w:pStyle w:val="ListBullet"/>
      </w:pPr>
      <w:r>
        <w:t xml:space="preserve">Ley 37/1992: </w:t>
      </w:r>
      <w:r>
        <w:rPr>
          <w:b/>
        </w:rPr>
        <w:t>B.4</w:t>
      </w:r>
      <w:r>
        <w:t>.</w:t>
      </w:r>
    </w:p>
    <w:p>
      <w:pPr>
        <w:pStyle w:val="ListBullet"/>
      </w:pPr>
      <w:r>
        <w:t xml:space="preserve">Ley 38/1992: </w:t>
      </w:r>
      <w:r>
        <w:rPr>
          <w:b/>
        </w:rPr>
        <w:t>B.4</w:t>
      </w:r>
      <w:r>
        <w:t>.</w:t>
      </w:r>
    </w:p>
    <w:p>
      <w:pPr>
        <w:pStyle w:val="ListBullet"/>
      </w:pPr>
      <w:r>
        <w:t xml:space="preserve">Ley 41/1994: </w:t>
      </w:r>
      <w:r>
        <w:rPr>
          <w:b/>
        </w:rPr>
        <w:t>8.5</w:t>
      </w:r>
      <w:r>
        <w:t>.</w:t>
      </w:r>
    </w:p>
    <w:p>
      <w:pPr>
        <w:pStyle w:val="ListBullet"/>
      </w:pPr>
      <w:r>
        <w:t xml:space="preserve">Ley 29/1998: </w:t>
      </w:r>
      <w:r>
        <w:rPr>
          <w:b/>
        </w:rPr>
        <w:t>1.6</w:t>
      </w:r>
      <w:r>
        <w:t xml:space="preserve">, </w:t>
      </w:r>
      <w:r>
        <w:rPr>
          <w:b/>
        </w:rPr>
        <w:t>10.4</w:t>
      </w:r>
      <w:r>
        <w:t xml:space="preserve">, </w:t>
      </w:r>
      <w:r>
        <w:rPr>
          <w:b/>
        </w:rPr>
        <w:t>10.8</w:t>
      </w:r>
      <w:r>
        <w:t xml:space="preserve">, </w:t>
      </w:r>
      <w:r>
        <w:rPr>
          <w:b/>
        </w:rPr>
        <w:t>11.2</w:t>
      </w:r>
      <w:r>
        <w:t xml:space="preserve">, </w:t>
      </w:r>
      <w:r>
        <w:rPr>
          <w:b/>
        </w:rPr>
        <w:t>D.5</w:t>
      </w:r>
      <w:r>
        <w:t>.</w:t>
      </w:r>
    </w:p>
    <w:p>
      <w:pPr>
        <w:pStyle w:val="ListBullet"/>
      </w:pPr>
      <w:r>
        <w:t xml:space="preserve">Ley 46/1998: </w:t>
      </w:r>
      <w:r>
        <w:rPr>
          <w:b/>
        </w:rPr>
        <w:t>1.6</w:t>
      </w:r>
      <w:r>
        <w:t xml:space="preserve">, </w:t>
      </w:r>
      <w:r>
        <w:rPr>
          <w:b/>
        </w:rPr>
        <w:t>5.1</w:t>
      </w:r>
      <w:r>
        <w:t xml:space="preserve">, </w:t>
      </w:r>
      <w:r>
        <w:rPr>
          <w:b/>
        </w:rPr>
        <w:t>8.3</w:t>
      </w:r>
      <w:r>
        <w:t xml:space="preserve">, </w:t>
      </w:r>
      <w:r>
        <w:rPr>
          <w:b/>
        </w:rPr>
        <w:t>11.3</w:t>
      </w:r>
      <w:r>
        <w:t>.</w:t>
      </w:r>
    </w:p>
    <w:p>
      <w:pPr>
        <w:pStyle w:val="ListBullet"/>
      </w:pPr>
      <w:r>
        <w:t xml:space="preserve">Ley 17/1999: </w:t>
      </w:r>
      <w:r>
        <w:rPr>
          <w:b/>
        </w:rPr>
        <w:t>7.6</w:t>
      </w:r>
      <w:r>
        <w:t>.</w:t>
      </w:r>
    </w:p>
    <w:p>
      <w:pPr>
        <w:pStyle w:val="ListBullet"/>
      </w:pPr>
      <w:r>
        <w:t xml:space="preserve">Ley 38/1999: </w:t>
      </w:r>
      <w:r>
        <w:rPr>
          <w:b/>
        </w:rPr>
        <w:t>8.4</w:t>
      </w:r>
      <w:r>
        <w:t>.</w:t>
      </w:r>
    </w:p>
    <w:p>
      <w:pPr>
        <w:pStyle w:val="ListBullet"/>
      </w:pPr>
      <w:r>
        <w:t xml:space="preserve">Ley 6/2003: </w:t>
      </w:r>
      <w:r>
        <w:rPr>
          <w:b/>
        </w:rPr>
        <w:t>C.4</w:t>
      </w:r>
      <w:r>
        <w:t>.</w:t>
      </w:r>
    </w:p>
    <w:p>
      <w:pPr>
        <w:pStyle w:val="ListBullet"/>
      </w:pPr>
      <w:r>
        <w:t xml:space="preserve">Ley 60/2003: </w:t>
      </w:r>
      <w:r>
        <w:rPr>
          <w:b/>
        </w:rPr>
        <w:t>11.3</w:t>
      </w:r>
      <w:r>
        <w:t>.</w:t>
      </w:r>
    </w:p>
    <w:p>
      <w:pPr>
        <w:pStyle w:val="ListBullet"/>
      </w:pPr>
      <w:r>
        <w:t xml:space="preserve">Ley 2/2005: </w:t>
      </w:r>
      <w:r>
        <w:rPr>
          <w:b/>
        </w:rPr>
        <w:t>C.4</w:t>
      </w:r>
      <w:r>
        <w:t>.</w:t>
      </w:r>
    </w:p>
    <w:p>
      <w:pPr>
        <w:pStyle w:val="ListBullet"/>
      </w:pPr>
      <w:r>
        <w:t xml:space="preserve">Ley 15/2005: </w:t>
      </w:r>
      <w:r>
        <w:rPr>
          <w:b/>
        </w:rPr>
        <w:t>8.10</w:t>
      </w:r>
      <w:r>
        <w:t>.</w:t>
      </w:r>
    </w:p>
    <w:p>
      <w:pPr>
        <w:pStyle w:val="ListBullet"/>
      </w:pPr>
      <w:r>
        <w:t xml:space="preserve">Ley 35/2006: </w:t>
      </w:r>
      <w:r>
        <w:rPr>
          <w:b/>
        </w:rPr>
        <w:t>5.1</w:t>
      </w:r>
      <w:r>
        <w:t xml:space="preserve">, </w:t>
      </w:r>
      <w:r>
        <w:rPr>
          <w:b/>
        </w:rPr>
        <w:t>8.3</w:t>
      </w:r>
      <w:r>
        <w:t>.</w:t>
      </w:r>
    </w:p>
    <w:p>
      <w:pPr>
        <w:pStyle w:val="ListBullet"/>
      </w:pPr>
      <w:r>
        <w:t xml:space="preserve">Ley 42/2006: </w:t>
      </w:r>
      <w:r>
        <w:rPr>
          <w:b/>
        </w:rPr>
        <w:t>A.2</w:t>
      </w:r>
      <w:r>
        <w:t>.</w:t>
      </w:r>
    </w:p>
    <w:p>
      <w:pPr>
        <w:pStyle w:val="ListBullet"/>
      </w:pPr>
      <w:r>
        <w:t xml:space="preserve">Ley 20/2007: </w:t>
      </w:r>
      <w:r>
        <w:rPr>
          <w:b/>
        </w:rPr>
        <w:t>11.3</w:t>
      </w:r>
      <w:r>
        <w:t>.</w:t>
      </w:r>
    </w:p>
    <w:p>
      <w:pPr>
        <w:pStyle w:val="ListBullet"/>
      </w:pPr>
      <w:r>
        <w:t xml:space="preserve">Ley 22/2009: </w:t>
      </w:r>
      <w:r>
        <w:rPr>
          <w:b/>
        </w:rPr>
        <w:t>7.2</w:t>
      </w:r>
      <w:r>
        <w:t xml:space="preserve">, </w:t>
      </w:r>
      <w:r>
        <w:rPr>
          <w:b/>
        </w:rPr>
        <w:t>A.9</w:t>
      </w:r>
      <w:r>
        <w:t xml:space="preserve">, </w:t>
      </w:r>
      <w:r>
        <w:rPr>
          <w:b/>
        </w:rPr>
        <w:t>C.2</w:t>
      </w:r>
      <w:r>
        <w:t>.</w:t>
      </w:r>
    </w:p>
    <w:p>
      <w:pPr>
        <w:pStyle w:val="ListBullet"/>
      </w:pPr>
      <w:r>
        <w:t xml:space="preserve">Ley 26/2009: </w:t>
      </w:r>
      <w:r>
        <w:rPr>
          <w:b/>
        </w:rPr>
        <w:t>8.5</w:t>
      </w:r>
      <w:r>
        <w:t>.</w:t>
      </w:r>
    </w:p>
    <w:p>
      <w:pPr>
        <w:pStyle w:val="ListBullet"/>
      </w:pPr>
      <w:r>
        <w:t xml:space="preserve">Ley 25/2010: </w:t>
      </w:r>
      <w:r>
        <w:rPr>
          <w:b/>
        </w:rPr>
        <w:t>A.2</w:t>
      </w:r>
      <w:r>
        <w:t>.</w:t>
      </w:r>
    </w:p>
    <w:p>
      <w:pPr>
        <w:pStyle w:val="ListBullet"/>
      </w:pPr>
      <w:r>
        <w:t xml:space="preserve">Ley 9/2011: </w:t>
      </w:r>
      <w:r>
        <w:rPr>
          <w:b/>
        </w:rPr>
        <w:t>C.4</w:t>
      </w:r>
      <w:r>
        <w:t>.</w:t>
      </w:r>
    </w:p>
    <w:p>
      <w:pPr>
        <w:pStyle w:val="ListBullet"/>
      </w:pPr>
      <w:r>
        <w:t xml:space="preserve">Ley 20/2011: </w:t>
      </w:r>
      <w:r>
        <w:rPr>
          <w:b/>
        </w:rPr>
        <w:t>5.4</w:t>
      </w:r>
      <w:r>
        <w:t>.</w:t>
      </w:r>
    </w:p>
    <w:p>
      <w:pPr>
        <w:pStyle w:val="ListBullet"/>
      </w:pPr>
      <w:r>
        <w:t xml:space="preserve">Ley 7/2012: </w:t>
      </w:r>
      <w:r>
        <w:rPr>
          <w:b/>
        </w:rPr>
        <w:t>8.11</w:t>
      </w:r>
      <w:r>
        <w:t>.</w:t>
      </w:r>
    </w:p>
    <w:p>
      <w:pPr>
        <w:pStyle w:val="ListBullet"/>
      </w:pPr>
      <w:r>
        <w:t xml:space="preserve">Ley 19/2013: </w:t>
      </w:r>
      <w:r>
        <w:rPr>
          <w:b/>
        </w:rPr>
        <w:t>5.1</w:t>
      </w:r>
      <w:r>
        <w:t xml:space="preserve">, </w:t>
      </w:r>
      <w:r>
        <w:rPr>
          <w:b/>
        </w:rPr>
        <w:t>8.6</w:t>
      </w:r>
      <w:r>
        <w:t xml:space="preserve">, </w:t>
      </w:r>
      <w:r>
        <w:rPr>
          <w:b/>
        </w:rPr>
        <w:t>10.2</w:t>
      </w:r>
      <w:r>
        <w:t xml:space="preserve">, </w:t>
      </w:r>
      <w:r>
        <w:rPr>
          <w:b/>
        </w:rPr>
        <w:t>10.4</w:t>
      </w:r>
      <w:r>
        <w:t xml:space="preserve">, </w:t>
      </w:r>
      <w:r>
        <w:rPr>
          <w:b/>
        </w:rPr>
        <w:t>11.3</w:t>
      </w:r>
      <w:r>
        <w:t xml:space="preserve">, </w:t>
      </w:r>
      <w:r>
        <w:rPr>
          <w:b/>
        </w:rPr>
        <w:t>C.0</w:t>
      </w:r>
      <w:r>
        <w:t xml:space="preserve">, </w:t>
      </w:r>
      <w:r>
        <w:rPr>
          <w:b/>
        </w:rPr>
        <w:t>D.2</w:t>
      </w:r>
      <w:r>
        <w:t xml:space="preserve">, </w:t>
      </w:r>
      <w:r>
        <w:rPr>
          <w:b/>
        </w:rPr>
        <w:t>D.13</w:t>
      </w:r>
      <w:r>
        <w:t>.</w:t>
      </w:r>
    </w:p>
    <w:p>
      <w:pPr>
        <w:pStyle w:val="ListBullet"/>
      </w:pPr>
      <w:r>
        <w:t xml:space="preserve">Ley 27/2013: </w:t>
      </w:r>
      <w:r>
        <w:rPr>
          <w:b/>
        </w:rPr>
        <w:t>A.9</w:t>
      </w:r>
      <w:r>
        <w:t>.</w:t>
      </w:r>
    </w:p>
    <w:p>
      <w:pPr>
        <w:pStyle w:val="ListBullet"/>
      </w:pPr>
      <w:r>
        <w:t xml:space="preserve">Ley 12/2014: </w:t>
      </w:r>
      <w:r>
        <w:rPr>
          <w:b/>
        </w:rPr>
        <w:t>A.2</w:t>
      </w:r>
      <w:r>
        <w:t>.</w:t>
      </w:r>
    </w:p>
    <w:p>
      <w:pPr>
        <w:pStyle w:val="ListBullet"/>
      </w:pPr>
      <w:r>
        <w:t xml:space="preserve">Ley 27/2014: </w:t>
      </w:r>
      <w:r>
        <w:rPr>
          <w:b/>
        </w:rPr>
        <w:t>8.4</w:t>
      </w:r>
      <w:r>
        <w:t>.</w:t>
      </w:r>
    </w:p>
    <w:p>
      <w:pPr>
        <w:pStyle w:val="ListBullet"/>
      </w:pPr>
      <w:r>
        <w:t xml:space="preserve">Ley 3/2015: </w:t>
      </w:r>
      <w:r>
        <w:rPr>
          <w:b/>
        </w:rPr>
        <w:t>C.0</w:t>
      </w:r>
      <w:r>
        <w:t>.</w:t>
      </w:r>
    </w:p>
    <w:p>
      <w:pPr>
        <w:pStyle w:val="ListBullet"/>
      </w:pPr>
      <w:r>
        <w:t xml:space="preserve">Ley 22/2015: </w:t>
      </w:r>
      <w:r>
        <w:rPr>
          <w:b/>
        </w:rPr>
        <w:t>9.1</w:t>
      </w:r>
      <w:r>
        <w:t>.</w:t>
      </w:r>
    </w:p>
    <w:p>
      <w:pPr>
        <w:pStyle w:val="ListBullet"/>
      </w:pPr>
      <w:r>
        <w:t xml:space="preserve">Ley 39/2015: </w:t>
      </w:r>
      <w:r>
        <w:rPr>
          <w:b/>
        </w:rPr>
        <w:t>1.6</w:t>
      </w:r>
      <w:r>
        <w:t xml:space="preserve">, </w:t>
      </w:r>
      <w:r>
        <w:rPr>
          <w:b/>
        </w:rPr>
        <w:t>5.1</w:t>
      </w:r>
      <w:r>
        <w:t xml:space="preserve">, </w:t>
      </w:r>
      <w:r>
        <w:rPr>
          <w:b/>
        </w:rPr>
        <w:t>5.2</w:t>
      </w:r>
      <w:r>
        <w:t xml:space="preserve">, </w:t>
      </w:r>
      <w:r>
        <w:rPr>
          <w:b/>
        </w:rPr>
        <w:t>7.5</w:t>
      </w:r>
      <w:r>
        <w:t xml:space="preserve">, </w:t>
      </w:r>
      <w:r>
        <w:rPr>
          <w:b/>
        </w:rPr>
        <w:t>7.6</w:t>
      </w:r>
      <w:r>
        <w:t xml:space="preserve">, </w:t>
      </w:r>
      <w:r>
        <w:rPr>
          <w:b/>
        </w:rPr>
        <w:t>8.4</w:t>
      </w:r>
      <w:r>
        <w:t xml:space="preserve">, </w:t>
      </w:r>
      <w:r>
        <w:rPr>
          <w:b/>
        </w:rPr>
        <w:t>8.5</w:t>
      </w:r>
      <w:r>
        <w:t xml:space="preserve">, </w:t>
      </w:r>
      <w:r>
        <w:rPr>
          <w:b/>
        </w:rPr>
        <w:t>10.1</w:t>
      </w:r>
      <w:r>
        <w:t xml:space="preserve">, </w:t>
      </w:r>
      <w:r>
        <w:rPr>
          <w:b/>
        </w:rPr>
        <w:t>10.4</w:t>
      </w:r>
      <w:r>
        <w:t xml:space="preserve">, </w:t>
      </w:r>
      <w:r>
        <w:rPr>
          <w:b/>
        </w:rPr>
        <w:t>10.5</w:t>
      </w:r>
      <w:r>
        <w:t xml:space="preserve">, </w:t>
      </w:r>
      <w:r>
        <w:rPr>
          <w:b/>
        </w:rPr>
        <w:t>10.7</w:t>
      </w:r>
      <w:r>
        <w:t xml:space="preserve">, </w:t>
      </w:r>
      <w:r>
        <w:rPr>
          <w:b/>
        </w:rPr>
        <w:t>11.2</w:t>
      </w:r>
      <w:r>
        <w:t xml:space="preserve">, </w:t>
      </w:r>
      <w:r>
        <w:rPr>
          <w:b/>
        </w:rPr>
        <w:t>11.3</w:t>
      </w:r>
      <w:r>
        <w:t xml:space="preserve">, </w:t>
      </w:r>
      <w:r>
        <w:rPr>
          <w:b/>
        </w:rPr>
        <w:t>D.3</w:t>
      </w:r>
      <w:r>
        <w:t xml:space="preserve">, </w:t>
      </w:r>
      <w:r>
        <w:rPr>
          <w:b/>
        </w:rPr>
        <w:t>D.5</w:t>
      </w:r>
      <w:r>
        <w:t xml:space="preserve">, </w:t>
      </w:r>
      <w:r>
        <w:rPr>
          <w:b/>
        </w:rPr>
        <w:t>D.8</w:t>
      </w:r>
      <w:r>
        <w:t xml:space="preserve">, </w:t>
      </w:r>
      <w:r>
        <w:rPr>
          <w:b/>
        </w:rPr>
        <w:t>D.10</w:t>
      </w:r>
      <w:r>
        <w:t xml:space="preserve">, </w:t>
      </w:r>
      <w:r>
        <w:rPr>
          <w:b/>
        </w:rPr>
        <w:t>D.12</w:t>
      </w:r>
      <w:r>
        <w:t xml:space="preserve">, </w:t>
      </w:r>
      <w:r>
        <w:rPr>
          <w:b/>
        </w:rPr>
        <w:t>D.13</w:t>
      </w:r>
      <w:r>
        <w:t>.</w:t>
      </w:r>
    </w:p>
    <w:p>
      <w:pPr>
        <w:pStyle w:val="ListBullet"/>
      </w:pPr>
      <w:r>
        <w:t xml:space="preserve">Ley 40/2015: </w:t>
      </w:r>
      <w:r>
        <w:rPr>
          <w:b/>
        </w:rPr>
        <w:t>1.7</w:t>
      </w:r>
      <w:r>
        <w:t xml:space="preserve">, </w:t>
      </w:r>
      <w:r>
        <w:rPr>
          <w:b/>
        </w:rPr>
        <w:t>2.1</w:t>
      </w:r>
      <w:r>
        <w:t xml:space="preserve">, </w:t>
      </w:r>
      <w:r>
        <w:rPr>
          <w:b/>
        </w:rPr>
        <w:t>10.4</w:t>
      </w:r>
      <w:r>
        <w:t xml:space="preserve">, </w:t>
      </w:r>
      <w:r>
        <w:rPr>
          <w:b/>
        </w:rPr>
        <w:t>10.6</w:t>
      </w:r>
      <w:r>
        <w:t xml:space="preserve">, </w:t>
      </w:r>
      <w:r>
        <w:rPr>
          <w:b/>
        </w:rPr>
        <w:t>11.2</w:t>
      </w:r>
      <w:r>
        <w:t xml:space="preserve">, </w:t>
      </w:r>
      <w:r>
        <w:rPr>
          <w:b/>
        </w:rPr>
        <w:t>11.3</w:t>
      </w:r>
      <w:r>
        <w:t xml:space="preserve">, </w:t>
      </w:r>
      <w:r>
        <w:rPr>
          <w:b/>
        </w:rPr>
        <w:t>D.12</w:t>
      </w:r>
      <w:r>
        <w:t xml:space="preserve">, </w:t>
      </w:r>
      <w:r>
        <w:rPr>
          <w:b/>
        </w:rPr>
        <w:t>D.13</w:t>
      </w:r>
      <w:r>
        <w:t>.</w:t>
      </w:r>
    </w:p>
    <w:p>
      <w:pPr>
        <w:pStyle w:val="ListBullet"/>
      </w:pPr>
      <w:r>
        <w:t xml:space="preserve">Ley 11/2021: </w:t>
      </w:r>
      <w:r>
        <w:rPr>
          <w:b/>
        </w:rPr>
        <w:t>8.11</w:t>
      </w:r>
      <w:r>
        <w:t>.</w:t>
      </w:r>
    </w:p>
    <w:p>
      <w:pPr>
        <w:pStyle w:val="ListBullet"/>
      </w:pPr>
      <w:r>
        <w:t xml:space="preserve">Ley 20/2021: </w:t>
      </w:r>
      <w:r>
        <w:rPr>
          <w:b/>
        </w:rPr>
        <w:t>A.5</w:t>
      </w:r>
      <w:r>
        <w:t>.</w:t>
      </w:r>
    </w:p>
    <w:p>
      <w:pPr>
        <w:pStyle w:val="ListBullet"/>
      </w:pPr>
      <w:r>
        <w:t xml:space="preserve">Ley 31/2022: </w:t>
      </w:r>
      <w:r>
        <w:rPr>
          <w:b/>
        </w:rPr>
        <w:t>11.3</w:t>
      </w:r>
      <w:r>
        <w:t>.</w:t>
      </w:r>
    </w:p>
    <w:p>
      <w:pPr>
        <w:pStyle w:val="ListBullet"/>
      </w:pPr>
      <w:r>
        <w:t xml:space="preserve">Ley Concursal (texto refundido): </w:t>
      </w:r>
      <w:r>
        <w:rPr>
          <w:b/>
        </w:rPr>
        <w:t>5.1</w:t>
      </w:r>
      <w:r>
        <w:t xml:space="preserve">, </w:t>
      </w:r>
      <w:r>
        <w:rPr>
          <w:b/>
        </w:rPr>
        <w:t>11.3</w:t>
      </w:r>
      <w:r>
        <w:t xml:space="preserve">, </w:t>
      </w:r>
      <w:r>
        <w:rPr>
          <w:b/>
        </w:rPr>
        <w:t>11.4</w:t>
      </w:r>
      <w:r>
        <w:t>.</w:t>
      </w:r>
    </w:p>
    <w:p>
      <w:pPr>
        <w:pStyle w:val="ListBullet"/>
      </w:pPr>
      <w:r>
        <w:t xml:space="preserve">Ley de 16 de diciembre de 1954: </w:t>
      </w:r>
      <w:r>
        <w:rPr>
          <w:b/>
        </w:rPr>
        <w:t>10.6</w:t>
      </w:r>
      <w:r>
        <w:t>.</w:t>
      </w:r>
    </w:p>
    <w:p>
      <w:pPr>
        <w:pStyle w:val="ListBullet"/>
      </w:pPr>
      <w:r>
        <w:t xml:space="preserve">Ley de 22 de marzo de 1873: </w:t>
      </w:r>
      <w:r>
        <w:rPr>
          <w:b/>
        </w:rPr>
        <w:t>3.1</w:t>
      </w:r>
      <w:r>
        <w:t>.</w:t>
      </w:r>
    </w:p>
    <w:p>
      <w:pPr>
        <w:pStyle w:val="ListBullet"/>
      </w:pPr>
      <w:r>
        <w:t xml:space="preserve">Ley de 23 de julio de 1908: </w:t>
      </w:r>
      <w:r>
        <w:rPr>
          <w:b/>
        </w:rPr>
        <w:t>3.3</w:t>
      </w:r>
      <w:r>
        <w:t>.</w:t>
      </w:r>
    </w:p>
    <w:p>
      <w:pPr>
        <w:pStyle w:val="ListBullet"/>
      </w:pPr>
      <w:r>
        <w:t xml:space="preserve">Ley de Amnistía (2024): </w:t>
      </w:r>
      <w:r>
        <w:rPr>
          <w:b/>
        </w:rPr>
        <w:t>A.4</w:t>
      </w:r>
      <w:r>
        <w:t>.</w:t>
      </w:r>
    </w:p>
    <w:p>
      <w:pPr>
        <w:pStyle w:val="ListBullet"/>
      </w:pPr>
      <w:r>
        <w:t xml:space="preserve">Ley de Bases de 11 de mayo de 1888: </w:t>
      </w:r>
      <w:r>
        <w:rPr>
          <w:b/>
        </w:rPr>
        <w:t>1.5</w:t>
      </w:r>
      <w:r>
        <w:t>.</w:t>
      </w:r>
    </w:p>
    <w:p>
      <w:pPr>
        <w:pStyle w:val="ListBullet"/>
      </w:pPr>
      <w:r>
        <w:t xml:space="preserve">Ley de Enjuiciamiento Civil: </w:t>
      </w:r>
      <w:r>
        <w:rPr>
          <w:b/>
        </w:rPr>
        <w:t>0.4</w:t>
      </w:r>
      <w:r>
        <w:t xml:space="preserve">, </w:t>
      </w:r>
      <w:r>
        <w:rPr>
          <w:b/>
        </w:rPr>
        <w:t>5.1</w:t>
      </w:r>
      <w:r>
        <w:t xml:space="preserve">, </w:t>
      </w:r>
      <w:r>
        <w:rPr>
          <w:b/>
        </w:rPr>
        <w:t>7.7</w:t>
      </w:r>
      <w:r>
        <w:t xml:space="preserve">, </w:t>
      </w:r>
      <w:r>
        <w:rPr>
          <w:b/>
        </w:rPr>
        <w:t>9.1</w:t>
      </w:r>
      <w:r>
        <w:t xml:space="preserve">, </w:t>
      </w:r>
      <w:r>
        <w:rPr>
          <w:b/>
        </w:rPr>
        <w:t>10.5</w:t>
      </w:r>
      <w:r>
        <w:t xml:space="preserve">, </w:t>
      </w:r>
      <w:r>
        <w:rPr>
          <w:b/>
        </w:rPr>
        <w:t>10.7</w:t>
      </w:r>
      <w:r>
        <w:t xml:space="preserve">, </w:t>
      </w:r>
      <w:r>
        <w:rPr>
          <w:b/>
        </w:rPr>
        <w:t>11.1</w:t>
      </w:r>
      <w:r>
        <w:t xml:space="preserve">, </w:t>
      </w:r>
      <w:r>
        <w:rPr>
          <w:b/>
        </w:rPr>
        <w:t>11.3</w:t>
      </w:r>
      <w:r>
        <w:t xml:space="preserve">, </w:t>
      </w:r>
      <w:r>
        <w:rPr>
          <w:b/>
        </w:rPr>
        <w:t>D.9</w:t>
      </w:r>
      <w:r>
        <w:t xml:space="preserve">, </w:t>
      </w:r>
      <w:r>
        <w:rPr>
          <w:b/>
        </w:rPr>
        <w:t>D.13</w:t>
      </w:r>
      <w:r>
        <w:t>.</w:t>
      </w:r>
    </w:p>
    <w:p>
      <w:pPr>
        <w:pStyle w:val="ListBullet"/>
      </w:pPr>
      <w:r>
        <w:t xml:space="preserve">Ley de Enjuiciamiento Criminal: </w:t>
      </w:r>
      <w:r>
        <w:rPr>
          <w:b/>
        </w:rPr>
        <w:t>7.7</w:t>
      </w:r>
      <w:r>
        <w:t xml:space="preserve">, </w:t>
      </w:r>
      <w:r>
        <w:rPr>
          <w:b/>
        </w:rPr>
        <w:t>10.7</w:t>
      </w:r>
      <w:r>
        <w:t xml:space="preserve">, </w:t>
      </w:r>
      <w:r>
        <w:rPr>
          <w:b/>
        </w:rPr>
        <w:t>11.1</w:t>
      </w:r>
      <w:r>
        <w:t>.</w:t>
      </w:r>
    </w:p>
    <w:p>
      <w:pPr>
        <w:pStyle w:val="ListBullet"/>
      </w:pPr>
      <w:r>
        <w:t xml:space="preserve">Ley de sindicatos de 8-10-1982: </w:t>
      </w:r>
      <w:r>
        <w:rPr>
          <w:b/>
        </w:rPr>
        <w:t>9.2</w:t>
      </w:r>
      <w:r>
        <w:t>.</w:t>
      </w:r>
    </w:p>
    <w:p>
      <w:pPr>
        <w:pStyle w:val="ListBullet"/>
      </w:pPr>
      <w:r>
        <w:t xml:space="preserve">Ley de Sociedades de Capital: </w:t>
      </w:r>
      <w:r>
        <w:rPr>
          <w:b/>
        </w:rPr>
        <w:t>9.1</w:t>
      </w:r>
      <w:r>
        <w:t>.</w:t>
      </w:r>
    </w:p>
    <w:p>
      <w:pPr>
        <w:pStyle w:val="ListBullet"/>
      </w:pPr>
      <w:r>
        <w:t xml:space="preserve">Ley de Tráfico: </w:t>
      </w:r>
      <w:r>
        <w:rPr>
          <w:b/>
        </w:rPr>
        <w:t>10.5</w:t>
      </w:r>
      <w:r>
        <w:t xml:space="preserve">, </w:t>
      </w:r>
      <w:r>
        <w:rPr>
          <w:b/>
        </w:rPr>
        <w:t>D.3</w:t>
      </w:r>
      <w:r>
        <w:t xml:space="preserve">, </w:t>
      </w:r>
      <w:r>
        <w:rPr>
          <w:b/>
        </w:rPr>
        <w:t>D.13</w:t>
      </w:r>
      <w:r>
        <w:t>.</w:t>
      </w:r>
    </w:p>
    <w:p>
      <w:pPr>
        <w:pStyle w:val="ListBullet"/>
      </w:pPr>
      <w:r>
        <w:t xml:space="preserve">Ley General de la Seguridad Social: </w:t>
      </w:r>
      <w:r>
        <w:rPr>
          <w:b/>
        </w:rPr>
        <w:t>5.1</w:t>
      </w:r>
      <w:r>
        <w:t xml:space="preserve">, </w:t>
      </w:r>
      <w:r>
        <w:rPr>
          <w:b/>
        </w:rPr>
        <w:t>8.4</w:t>
      </w:r>
      <w:r>
        <w:t xml:space="preserve">, </w:t>
      </w:r>
      <w:r>
        <w:rPr>
          <w:b/>
        </w:rPr>
        <w:t>9.1</w:t>
      </w:r>
      <w:r>
        <w:t xml:space="preserve">, </w:t>
      </w:r>
      <w:r>
        <w:rPr>
          <w:b/>
        </w:rPr>
        <w:t>10.2</w:t>
      </w:r>
      <w:r>
        <w:t xml:space="preserve">, </w:t>
      </w:r>
      <w:r>
        <w:rPr>
          <w:b/>
        </w:rPr>
        <w:t>11.3</w:t>
      </w:r>
      <w:r>
        <w:t xml:space="preserve">, </w:t>
      </w:r>
      <w:r>
        <w:rPr>
          <w:b/>
        </w:rPr>
        <w:t>B.2</w:t>
      </w:r>
      <w:r>
        <w:t xml:space="preserve">, </w:t>
      </w:r>
      <w:r>
        <w:rPr>
          <w:b/>
        </w:rPr>
        <w:t>B.3</w:t>
      </w:r>
      <w:r>
        <w:t>.</w:t>
      </w:r>
    </w:p>
    <w:p>
      <w:pPr>
        <w:pStyle w:val="ListBullet"/>
      </w:pPr>
      <w:r>
        <w:t xml:space="preserve">Ley General Tributaria: </w:t>
      </w:r>
      <w:r>
        <w:rPr>
          <w:b/>
        </w:rPr>
        <w:t>5.1</w:t>
      </w:r>
      <w:r>
        <w:t xml:space="preserve">, </w:t>
      </w:r>
      <w:r>
        <w:rPr>
          <w:b/>
        </w:rPr>
        <w:t>7.6</w:t>
      </w:r>
      <w:r>
        <w:t xml:space="preserve">, </w:t>
      </w:r>
      <w:r>
        <w:rPr>
          <w:b/>
        </w:rPr>
        <w:t>10.4</w:t>
      </w:r>
      <w:r>
        <w:t xml:space="preserve">, </w:t>
      </w:r>
      <w:r>
        <w:rPr>
          <w:b/>
        </w:rPr>
        <w:t>10.5</w:t>
      </w:r>
      <w:r>
        <w:t xml:space="preserve">, </w:t>
      </w:r>
      <w:r>
        <w:rPr>
          <w:b/>
        </w:rPr>
        <w:t>11.2</w:t>
      </w:r>
      <w:r>
        <w:t xml:space="preserve">, </w:t>
      </w:r>
      <w:r>
        <w:rPr>
          <w:b/>
        </w:rPr>
        <w:t>11.3</w:t>
      </w:r>
      <w:r>
        <w:t xml:space="preserve">, </w:t>
      </w:r>
      <w:r>
        <w:rPr>
          <w:b/>
        </w:rPr>
        <w:t>D.4</w:t>
      </w:r>
      <w:r>
        <w:t xml:space="preserve">, </w:t>
      </w:r>
      <w:r>
        <w:rPr>
          <w:b/>
        </w:rPr>
        <w:t>D.11</w:t>
      </w:r>
      <w:r>
        <w:t xml:space="preserve">, </w:t>
      </w:r>
      <w:r>
        <w:rPr>
          <w:b/>
        </w:rPr>
        <w:t>D.13</w:t>
      </w:r>
      <w:r>
        <w:t>.</w:t>
      </w:r>
    </w:p>
    <w:p>
      <w:pPr>
        <w:pStyle w:val="ListBullet"/>
      </w:pPr>
      <w:r>
        <w:t xml:space="preserve">Ley Orgánica 9/1960: </w:t>
      </w:r>
      <w:r>
        <w:rPr>
          <w:b/>
        </w:rPr>
        <w:t>A.2</w:t>
      </w:r>
      <w:r>
        <w:t>.</w:t>
      </w:r>
    </w:p>
    <w:p>
      <w:pPr>
        <w:pStyle w:val="ListBullet"/>
      </w:pPr>
      <w:r>
        <w:t xml:space="preserve">Ley Orgánica 2/1979: </w:t>
      </w:r>
      <w:r>
        <w:rPr>
          <w:b/>
        </w:rPr>
        <w:t>6.4</w:t>
      </w:r>
      <w:r>
        <w:t xml:space="preserve">, </w:t>
      </w:r>
      <w:r>
        <w:rPr>
          <w:b/>
        </w:rPr>
        <w:t>11.3</w:t>
      </w:r>
      <w:r>
        <w:t xml:space="preserve">, </w:t>
      </w:r>
      <w:r>
        <w:rPr>
          <w:b/>
        </w:rPr>
        <w:t>A.10</w:t>
      </w:r>
      <w:r>
        <w:t>.</w:t>
      </w:r>
    </w:p>
    <w:p>
      <w:pPr>
        <w:pStyle w:val="ListBullet"/>
      </w:pPr>
      <w:r>
        <w:t xml:space="preserve">Ley Orgánica 3/1980: </w:t>
      </w:r>
      <w:r>
        <w:rPr>
          <w:b/>
        </w:rPr>
        <w:t>C.4</w:t>
      </w:r>
      <w:r>
        <w:t>.</w:t>
      </w:r>
    </w:p>
    <w:p>
      <w:pPr>
        <w:pStyle w:val="ListBullet"/>
      </w:pPr>
      <w:r>
        <w:t xml:space="preserve">Ley Orgánica 12/1980: </w:t>
      </w:r>
      <w:r>
        <w:rPr>
          <w:b/>
        </w:rPr>
        <w:t>A.9</w:t>
      </w:r>
      <w:r>
        <w:t>.</w:t>
      </w:r>
    </w:p>
    <w:p>
      <w:pPr>
        <w:pStyle w:val="ListBullet"/>
      </w:pPr>
      <w:r>
        <w:t xml:space="preserve">Ley Orgánica 3/1981: </w:t>
      </w:r>
      <w:r>
        <w:rPr>
          <w:b/>
        </w:rPr>
        <w:t>7.3</w:t>
      </w:r>
      <w:r>
        <w:t xml:space="preserve">, </w:t>
      </w:r>
      <w:r>
        <w:rPr>
          <w:b/>
        </w:rPr>
        <w:t>10.4</w:t>
      </w:r>
      <w:r>
        <w:t xml:space="preserve">, </w:t>
      </w:r>
      <w:r>
        <w:rPr>
          <w:b/>
        </w:rPr>
        <w:t>D.6</w:t>
      </w:r>
      <w:r>
        <w:t>.</w:t>
      </w:r>
    </w:p>
    <w:p>
      <w:pPr>
        <w:pStyle w:val="ListBullet"/>
      </w:pPr>
      <w:r>
        <w:t xml:space="preserve">Ley Orgánica 4/1981: </w:t>
      </w:r>
      <w:r>
        <w:rPr>
          <w:b/>
        </w:rPr>
        <w:t>8.5</w:t>
      </w:r>
      <w:r>
        <w:t>.</w:t>
      </w:r>
    </w:p>
    <w:p>
      <w:pPr>
        <w:pStyle w:val="ListBullet"/>
      </w:pPr>
      <w:r>
        <w:t xml:space="preserve">Ley Orgánica 2/1982: </w:t>
      </w:r>
      <w:r>
        <w:rPr>
          <w:b/>
        </w:rPr>
        <w:t>6.4</w:t>
      </w:r>
      <w:r>
        <w:t>.</w:t>
      </w:r>
    </w:p>
    <w:p>
      <w:pPr>
        <w:pStyle w:val="ListBullet"/>
      </w:pPr>
      <w:r>
        <w:t xml:space="preserve">Ley Orgánica 3/1984: </w:t>
      </w:r>
      <w:r>
        <w:rPr>
          <w:b/>
        </w:rPr>
        <w:t>6.4</w:t>
      </w:r>
      <w:r>
        <w:t>.</w:t>
      </w:r>
    </w:p>
    <w:p>
      <w:pPr>
        <w:pStyle w:val="ListBullet"/>
      </w:pPr>
      <w:r>
        <w:t xml:space="preserve">Ley Orgánica 2/1986: </w:t>
      </w:r>
      <w:r>
        <w:rPr>
          <w:b/>
        </w:rPr>
        <w:t>10.4</w:t>
      </w:r>
      <w:r>
        <w:t>.</w:t>
      </w:r>
    </w:p>
    <w:p>
      <w:pPr>
        <w:pStyle w:val="ListBullet"/>
      </w:pPr>
      <w:r>
        <w:t xml:space="preserve">Ley Orgánica 1/1995: </w:t>
      </w:r>
      <w:r>
        <w:rPr>
          <w:b/>
        </w:rPr>
        <w:t>A.9</w:t>
      </w:r>
      <w:r>
        <w:t>.</w:t>
      </w:r>
    </w:p>
    <w:p>
      <w:pPr>
        <w:pStyle w:val="ListBullet"/>
      </w:pPr>
      <w:r>
        <w:t xml:space="preserve">Ley Orgánica 5/1995: </w:t>
      </w:r>
      <w:r>
        <w:rPr>
          <w:b/>
        </w:rPr>
        <w:t>10.2</w:t>
      </w:r>
      <w:r>
        <w:t xml:space="preserve">, </w:t>
      </w:r>
      <w:r>
        <w:rPr>
          <w:b/>
        </w:rPr>
        <w:t>11.1</w:t>
      </w:r>
      <w:r>
        <w:t>.</w:t>
      </w:r>
    </w:p>
    <w:p>
      <w:pPr>
        <w:pStyle w:val="ListBullet"/>
      </w:pPr>
      <w:r>
        <w:t xml:space="preserve">Ley Orgánica 4/2001: </w:t>
      </w:r>
      <w:r>
        <w:rPr>
          <w:b/>
        </w:rPr>
        <w:t>10.4</w:t>
      </w:r>
      <w:r>
        <w:t xml:space="preserve">, </w:t>
      </w:r>
      <w:r>
        <w:rPr>
          <w:b/>
        </w:rPr>
        <w:t>10.7</w:t>
      </w:r>
      <w:r>
        <w:t xml:space="preserve">, </w:t>
      </w:r>
      <w:r>
        <w:rPr>
          <w:b/>
        </w:rPr>
        <w:t>10.8</w:t>
      </w:r>
      <w:r>
        <w:t xml:space="preserve">, </w:t>
      </w:r>
      <w:r>
        <w:rPr>
          <w:b/>
        </w:rPr>
        <w:t>A.2</w:t>
      </w:r>
      <w:r>
        <w:t xml:space="preserve">, </w:t>
      </w:r>
      <w:r>
        <w:rPr>
          <w:b/>
        </w:rPr>
        <w:t>D.1</w:t>
      </w:r>
      <w:r>
        <w:t xml:space="preserve">, </w:t>
      </w:r>
      <w:r>
        <w:rPr>
          <w:b/>
        </w:rPr>
        <w:t>D.9</w:t>
      </w:r>
      <w:r>
        <w:t>.</w:t>
      </w:r>
    </w:p>
    <w:p>
      <w:pPr>
        <w:pStyle w:val="ListBullet"/>
      </w:pPr>
      <w:r>
        <w:t xml:space="preserve">Ley Orgánica 6/2002: </w:t>
      </w:r>
      <w:r>
        <w:rPr>
          <w:b/>
        </w:rPr>
        <w:t>5.1</w:t>
      </w:r>
      <w:r>
        <w:t xml:space="preserve">, </w:t>
      </w:r>
      <w:r>
        <w:rPr>
          <w:b/>
        </w:rPr>
        <w:t>6.4</w:t>
      </w:r>
      <w:r>
        <w:t>.</w:t>
      </w:r>
    </w:p>
    <w:p>
      <w:pPr>
        <w:pStyle w:val="ListBullet"/>
      </w:pPr>
      <w:r>
        <w:t xml:space="preserve">Ley Orgánica 5/2005: </w:t>
      </w:r>
      <w:r>
        <w:rPr>
          <w:b/>
        </w:rPr>
        <w:t>A.2</w:t>
      </w:r>
      <w:r>
        <w:t xml:space="preserve">, </w:t>
      </w:r>
      <w:r>
        <w:rPr>
          <w:b/>
        </w:rPr>
        <w:t>A.3</w:t>
      </w:r>
      <w:r>
        <w:t>.</w:t>
      </w:r>
    </w:p>
    <w:p>
      <w:pPr>
        <w:pStyle w:val="ListBullet"/>
      </w:pPr>
      <w:r>
        <w:t xml:space="preserve">Ley Orgánica 2/2007: </w:t>
      </w:r>
      <w:r>
        <w:rPr>
          <w:b/>
        </w:rPr>
        <w:t>A.9</w:t>
      </w:r>
      <w:r>
        <w:t>.</w:t>
      </w:r>
    </w:p>
    <w:p>
      <w:pPr>
        <w:pStyle w:val="ListBullet"/>
      </w:pPr>
      <w:r>
        <w:t xml:space="preserve">Ley Orgánica 8/2007: </w:t>
      </w:r>
      <w:r>
        <w:rPr>
          <w:b/>
        </w:rPr>
        <w:t>6.4</w:t>
      </w:r>
      <w:r>
        <w:t>.</w:t>
      </w:r>
    </w:p>
    <w:p>
      <w:pPr>
        <w:pStyle w:val="ListBullet"/>
      </w:pPr>
      <w:r>
        <w:t xml:space="preserve">Ley Orgánica 8/2013: </w:t>
      </w:r>
      <w:r>
        <w:rPr>
          <w:b/>
        </w:rPr>
        <w:t>7.3</w:t>
      </w:r>
      <w:r>
        <w:t>.</w:t>
      </w:r>
    </w:p>
    <w:p>
      <w:pPr>
        <w:pStyle w:val="ListBullet"/>
      </w:pPr>
      <w:r>
        <w:t xml:space="preserve">Ley Orgánica 3/2014: </w:t>
      </w:r>
      <w:r>
        <w:rPr>
          <w:b/>
        </w:rPr>
        <w:t>A.3</w:t>
      </w:r>
      <w:r>
        <w:t>.</w:t>
      </w:r>
    </w:p>
    <w:p>
      <w:pPr>
        <w:pStyle w:val="ListBullet"/>
      </w:pPr>
      <w:r>
        <w:t xml:space="preserve">Ley Orgánica 3/2015: </w:t>
      </w:r>
      <w:r>
        <w:rPr>
          <w:b/>
        </w:rPr>
        <w:t>A.1</w:t>
      </w:r>
      <w:r>
        <w:t>.</w:t>
      </w:r>
    </w:p>
    <w:p>
      <w:pPr>
        <w:pStyle w:val="ListBullet"/>
      </w:pPr>
      <w:r>
        <w:t xml:space="preserve">Ley Orgánica 4/2015: </w:t>
      </w:r>
      <w:r>
        <w:rPr>
          <w:b/>
        </w:rPr>
        <w:t>7.3</w:t>
      </w:r>
      <w:r>
        <w:t>.</w:t>
      </w:r>
    </w:p>
    <w:p>
      <w:pPr>
        <w:pStyle w:val="ListBullet"/>
      </w:pPr>
      <w:r>
        <w:t xml:space="preserve">Ley Orgánica 2/2016: </w:t>
      </w:r>
      <w:r>
        <w:rPr>
          <w:b/>
        </w:rPr>
        <w:t>A.5</w:t>
      </w:r>
      <w:r>
        <w:t>.</w:t>
      </w:r>
    </w:p>
    <w:p>
      <w:pPr>
        <w:pStyle w:val="ListBullet"/>
      </w:pPr>
      <w:r>
        <w:t xml:space="preserve">Ley Orgánica 3/2020: </w:t>
      </w:r>
      <w:r>
        <w:rPr>
          <w:b/>
        </w:rPr>
        <w:t>7.3</w:t>
      </w:r>
      <w:r>
        <w:t xml:space="preserve">, </w:t>
      </w:r>
      <w:r>
        <w:rPr>
          <w:b/>
        </w:rPr>
        <w:t>A.1</w:t>
      </w:r>
      <w:r>
        <w:t>.</w:t>
      </w:r>
    </w:p>
    <w:p>
      <w:pPr>
        <w:pStyle w:val="ListBullet"/>
      </w:pPr>
      <w:r>
        <w:t xml:space="preserve">Ley Orgánica 4/2021: </w:t>
      </w:r>
      <w:r>
        <w:rPr>
          <w:b/>
        </w:rPr>
        <w:t>A.10</w:t>
      </w:r>
      <w:r>
        <w:t>.</w:t>
      </w:r>
    </w:p>
    <w:p>
      <w:pPr>
        <w:pStyle w:val="ListBullet"/>
      </w:pPr>
      <w:r>
        <w:t xml:space="preserve">Ley Orgánica 10/2021: </w:t>
      </w:r>
      <w:r>
        <w:rPr>
          <w:b/>
        </w:rPr>
        <w:t>1.5</w:t>
      </w:r>
      <w:r>
        <w:t>.</w:t>
      </w:r>
    </w:p>
    <w:p>
      <w:pPr>
        <w:pStyle w:val="ListBullet"/>
      </w:pPr>
      <w:r>
        <w:t xml:space="preserve">Ley Orgánica 8/2022: </w:t>
      </w:r>
      <w:r>
        <w:rPr>
          <w:b/>
        </w:rPr>
        <w:t>A.10</w:t>
      </w:r>
      <w:r>
        <w:t>.</w:t>
      </w:r>
    </w:p>
    <w:p>
      <w:pPr>
        <w:pStyle w:val="ListBullet"/>
      </w:pPr>
      <w:r>
        <w:t xml:space="preserve">Ley Orgánica 12/2022: </w:t>
      </w:r>
      <w:r>
        <w:rPr>
          <w:b/>
        </w:rPr>
        <w:t>7.3</w:t>
      </w:r>
      <w:r>
        <w:t xml:space="preserve">, </w:t>
      </w:r>
      <w:r>
        <w:rPr>
          <w:b/>
        </w:rPr>
        <w:t>A.2</w:t>
      </w:r>
      <w:r>
        <w:t>.</w:t>
      </w:r>
    </w:p>
    <w:p>
      <w:pPr>
        <w:pStyle w:val="ListBullet"/>
      </w:pPr>
      <w:r>
        <w:t xml:space="preserve">Ley Orgánica 3/2024: </w:t>
      </w:r>
      <w:r>
        <w:rPr>
          <w:b/>
        </w:rPr>
        <w:t>7.2</w:t>
      </w:r>
      <w:r>
        <w:t>.</w:t>
      </w:r>
    </w:p>
    <w:p>
      <w:pPr>
        <w:pStyle w:val="ListBullet"/>
      </w:pPr>
      <w:r>
        <w:t xml:space="preserve">Ley Orgánica 1/2025: </w:t>
      </w:r>
      <w:r>
        <w:rPr>
          <w:b/>
        </w:rPr>
        <w:t>A.7</w:t>
      </w:r>
      <w:r>
        <w:t>.</w:t>
      </w:r>
    </w:p>
    <w:p>
      <w:pPr>
        <w:pStyle w:val="ListBullet"/>
      </w:pPr>
      <w:r>
        <w:t xml:space="preserve">Ley Orgánica del Poder Judicial: </w:t>
      </w:r>
      <w:r>
        <w:rPr>
          <w:b/>
        </w:rPr>
        <w:t>1.5</w:t>
      </w:r>
      <w:r>
        <w:t xml:space="preserve">, </w:t>
      </w:r>
      <w:r>
        <w:rPr>
          <w:b/>
        </w:rPr>
        <w:t>1.6</w:t>
      </w:r>
      <w:r>
        <w:t xml:space="preserve">, </w:t>
      </w:r>
      <w:r>
        <w:rPr>
          <w:b/>
        </w:rPr>
        <w:t>6.4</w:t>
      </w:r>
      <w:r>
        <w:t xml:space="preserve">, </w:t>
      </w:r>
      <w:r>
        <w:rPr>
          <w:b/>
        </w:rPr>
        <w:t>7.7</w:t>
      </w:r>
      <w:r>
        <w:t xml:space="preserve">, </w:t>
      </w:r>
      <w:r>
        <w:rPr>
          <w:b/>
        </w:rPr>
        <w:t>8.5</w:t>
      </w:r>
      <w:r>
        <w:t xml:space="preserve">, </w:t>
      </w:r>
      <w:r>
        <w:rPr>
          <w:b/>
        </w:rPr>
        <w:t>10.4</w:t>
      </w:r>
      <w:r>
        <w:t xml:space="preserve">, </w:t>
      </w:r>
      <w:r>
        <w:rPr>
          <w:b/>
        </w:rPr>
        <w:t>10.6</w:t>
      </w:r>
      <w:r>
        <w:t xml:space="preserve">, </w:t>
      </w:r>
      <w:r>
        <w:rPr>
          <w:b/>
        </w:rPr>
        <w:t>10.8</w:t>
      </w:r>
      <w:r>
        <w:t xml:space="preserve">, </w:t>
      </w:r>
      <w:r>
        <w:rPr>
          <w:b/>
        </w:rPr>
        <w:t>11.3</w:t>
      </w:r>
      <w:r>
        <w:t>.</w:t>
      </w:r>
    </w:p>
    <w:p>
      <w:pPr>
        <w:pStyle w:val="ListBullet"/>
      </w:pPr>
      <w:r>
        <w:t xml:space="preserve">Ley Orgánica del Régimen Electoral General: </w:t>
      </w:r>
      <w:r>
        <w:rPr>
          <w:b/>
        </w:rPr>
        <w:t>6.4</w:t>
      </w:r>
      <w:r>
        <w:t xml:space="preserve">, </w:t>
      </w:r>
      <w:r>
        <w:rPr>
          <w:b/>
        </w:rPr>
        <w:t>8.5</w:t>
      </w:r>
      <w:r>
        <w:t xml:space="preserve">, </w:t>
      </w:r>
      <w:r>
        <w:rPr>
          <w:b/>
        </w:rPr>
        <w:t>8.6</w:t>
      </w:r>
      <w:r>
        <w:t xml:space="preserve">, </w:t>
      </w:r>
      <w:r>
        <w:rPr>
          <w:b/>
        </w:rPr>
        <w:t>C.4</w:t>
      </w:r>
      <w:r>
        <w:t>.</w:t>
      </w:r>
    </w:p>
    <w:p>
      <w:pPr>
        <w:pStyle w:val="ListBullet"/>
      </w:pPr>
      <w:r>
        <w:t xml:space="preserve">Ley Reguladora de las Haciendas Locales: </w:t>
      </w:r>
      <w:r>
        <w:rPr>
          <w:b/>
        </w:rPr>
        <w:t>B.4</w:t>
      </w:r>
      <w:r>
        <w:t xml:space="preserve">, </w:t>
      </w:r>
      <w:r>
        <w:rPr>
          <w:b/>
        </w:rPr>
        <w:t>C.2</w:t>
      </w:r>
      <w:r>
        <w:t>.</w:t>
      </w:r>
    </w:p>
    <w:p>
      <w:pPr>
        <w:pStyle w:val="ListBullet"/>
      </w:pPr>
      <w:r>
        <w:t xml:space="preserve">Leyes y decretos de cada comunidad autónoma sobre sus parlamentos: </w:t>
      </w:r>
      <w:r>
        <w:rPr>
          <w:b/>
        </w:rPr>
        <w:t>C.1</w:t>
      </w:r>
      <w:r>
        <w:t>.</w:t>
      </w:r>
    </w:p>
    <w:p>
      <w:pPr>
        <w:pStyle w:val="ListBullet"/>
      </w:pPr>
      <w:r>
        <w:t xml:space="preserve">Orden de Canarias de 25-VIII-2025: </w:t>
      </w:r>
      <w:r>
        <w:rPr>
          <w:b/>
        </w:rPr>
        <w:t>A.7</w:t>
      </w:r>
      <w:r>
        <w:t>.</w:t>
      </w:r>
    </w:p>
    <w:p>
      <w:pPr>
        <w:pStyle w:val="ListBullet"/>
      </w:pPr>
      <w:r>
        <w:t xml:space="preserve">Orden EHA/3565/2008: </w:t>
      </w:r>
      <w:r>
        <w:rPr>
          <w:b/>
        </w:rPr>
        <w:t>9.1</w:t>
      </w:r>
      <w:r>
        <w:t>.</w:t>
      </w:r>
    </w:p>
    <w:p>
      <w:pPr>
        <w:pStyle w:val="ListBullet"/>
      </w:pPr>
      <w:r>
        <w:t xml:space="preserve">Orden PJC/297/2026: </w:t>
      </w:r>
      <w:r>
        <w:rPr>
          <w:b/>
        </w:rPr>
        <w:t>8.4</w:t>
      </w:r>
      <w:r>
        <w:t xml:space="preserve">, </w:t>
      </w:r>
      <w:r>
        <w:rPr>
          <w:b/>
        </w:rPr>
        <w:t>B.3</w:t>
      </w:r>
      <w:r>
        <w:t xml:space="preserve">, </w:t>
      </w:r>
      <w:r>
        <w:rPr>
          <w:b/>
        </w:rPr>
        <w:t>B.6</w:t>
      </w:r>
      <w:r>
        <w:t>.</w:t>
      </w:r>
    </w:p>
    <w:p>
      <w:pPr>
        <w:pStyle w:val="ListBullet"/>
      </w:pPr>
      <w:r>
        <w:t xml:space="preserve">Ordenanza 2/2026 (BOCM): </w:t>
      </w:r>
      <w:r>
        <w:rPr>
          <w:b/>
        </w:rPr>
        <w:t>8.5</w:t>
      </w:r>
      <w:r>
        <w:t>.</w:t>
      </w:r>
    </w:p>
    <w:p>
      <w:pPr>
        <w:pStyle w:val="ListBullet"/>
      </w:pPr>
      <w:r>
        <w:t xml:space="preserve">Presupuestos Generales del Estado de 2023: </w:t>
      </w:r>
      <w:r>
        <w:rPr>
          <w:b/>
        </w:rPr>
        <w:t>C.4</w:t>
      </w:r>
      <w:r>
        <w:t xml:space="preserve">, </w:t>
      </w:r>
      <w:r>
        <w:rPr>
          <w:b/>
        </w:rPr>
        <w:t>C.5</w:t>
      </w:r>
      <w:r>
        <w:t>.</w:t>
      </w:r>
    </w:p>
    <w:p>
      <w:pPr>
        <w:pStyle w:val="ListBullet"/>
      </w:pPr>
      <w:r>
        <w:t xml:space="preserve">Real Decreto 2560/1978: </w:t>
      </w:r>
      <w:r>
        <w:rPr>
          <w:b/>
        </w:rPr>
        <w:t>6.1</w:t>
      </w:r>
      <w:r>
        <w:t>.</w:t>
      </w:r>
    </w:p>
    <w:p>
      <w:pPr>
        <w:pStyle w:val="ListBullet"/>
      </w:pPr>
      <w:r>
        <w:t xml:space="preserve">Real Decreto 1467/1981: </w:t>
      </w:r>
      <w:r>
        <w:rPr>
          <w:b/>
        </w:rPr>
        <w:t>8.5</w:t>
      </w:r>
      <w:r>
        <w:t>.</w:t>
      </w:r>
    </w:p>
    <w:p>
      <w:pPr>
        <w:pStyle w:val="ListBullet"/>
      </w:pPr>
      <w:r>
        <w:t xml:space="preserve">Real Decreto 769/1987: </w:t>
      </w:r>
      <w:r>
        <w:rPr>
          <w:b/>
        </w:rPr>
        <w:t>A.7</w:t>
      </w:r>
      <w:r>
        <w:t>.</w:t>
      </w:r>
    </w:p>
    <w:p>
      <w:pPr>
        <w:pStyle w:val="ListBullet"/>
      </w:pPr>
      <w:r>
        <w:t xml:space="preserve">Real Decreto 434/1988: </w:t>
      </w:r>
      <w:r>
        <w:rPr>
          <w:b/>
        </w:rPr>
        <w:t>C.2</w:t>
      </w:r>
      <w:r>
        <w:t>.</w:t>
      </w:r>
    </w:p>
    <w:p>
      <w:pPr>
        <w:pStyle w:val="ListBullet"/>
      </w:pPr>
      <w:r>
        <w:t xml:space="preserve">Real Decreto 13/1992: </w:t>
      </w:r>
      <w:r>
        <w:rPr>
          <w:b/>
        </w:rPr>
        <w:t>8.5</w:t>
      </w:r>
      <w:r>
        <w:t>.</w:t>
      </w:r>
    </w:p>
    <w:p>
      <w:pPr>
        <w:pStyle w:val="ListBullet"/>
      </w:pPr>
      <w:r>
        <w:t xml:space="preserve">Real Decreto 405/1992: </w:t>
      </w:r>
      <w:r>
        <w:rPr>
          <w:b/>
        </w:rPr>
        <w:t>7.6</w:t>
      </w:r>
      <w:r>
        <w:t xml:space="preserve">, </w:t>
      </w:r>
      <w:r>
        <w:rPr>
          <w:b/>
        </w:rPr>
        <w:t>C.4</w:t>
      </w:r>
      <w:r>
        <w:t>.</w:t>
      </w:r>
    </w:p>
    <w:p>
      <w:pPr>
        <w:pStyle w:val="ListBullet"/>
      </w:pPr>
      <w:r>
        <w:t xml:space="preserve">Real Decreto 2606/1996: </w:t>
      </w:r>
      <w:r>
        <w:rPr>
          <w:b/>
        </w:rPr>
        <w:t>11.3</w:t>
      </w:r>
      <w:r>
        <w:t>.</w:t>
      </w:r>
    </w:p>
    <w:p>
      <w:pPr>
        <w:pStyle w:val="ListBullet"/>
      </w:pPr>
      <w:r>
        <w:t xml:space="preserve">Real Decreto 247/2001: </w:t>
      </w:r>
      <w:r>
        <w:rPr>
          <w:b/>
        </w:rPr>
        <w:t>7.6</w:t>
      </w:r>
      <w:r>
        <w:t xml:space="preserve">, </w:t>
      </w:r>
      <w:r>
        <w:rPr>
          <w:b/>
        </w:rPr>
        <w:t>A.2</w:t>
      </w:r>
      <w:r>
        <w:t>.</w:t>
      </w:r>
    </w:p>
    <w:p>
      <w:pPr>
        <w:pStyle w:val="ListBullet"/>
      </w:pPr>
      <w:r>
        <w:t xml:space="preserve">Real Decreto 342/2001: </w:t>
      </w:r>
      <w:r>
        <w:rPr>
          <w:b/>
        </w:rPr>
        <w:t>A.2</w:t>
      </w:r>
      <w:r>
        <w:t>.</w:t>
      </w:r>
    </w:p>
    <w:p>
      <w:pPr>
        <w:pStyle w:val="ListBullet"/>
      </w:pPr>
      <w:r>
        <w:t xml:space="preserve">Real Decreto 439/2007: </w:t>
      </w:r>
      <w:r>
        <w:rPr>
          <w:b/>
        </w:rPr>
        <w:t>8.4</w:t>
      </w:r>
      <w:r>
        <w:t>.</w:t>
      </w:r>
    </w:p>
    <w:p>
      <w:pPr>
        <w:pStyle w:val="ListBullet"/>
      </w:pPr>
      <w:r>
        <w:t xml:space="preserve">Real Decreto 1000/2010: </w:t>
      </w:r>
      <w:r>
        <w:rPr>
          <w:b/>
        </w:rPr>
        <w:t>8.4</w:t>
      </w:r>
      <w:r>
        <w:t>.</w:t>
      </w:r>
    </w:p>
    <w:p>
      <w:pPr>
        <w:pStyle w:val="ListBullet"/>
      </w:pPr>
      <w:r>
        <w:t xml:space="preserve">Real Decreto 304/2014: </w:t>
      </w:r>
      <w:r>
        <w:rPr>
          <w:b/>
        </w:rPr>
        <w:t>8.11</w:t>
      </w:r>
      <w:r>
        <w:t>.</w:t>
      </w:r>
    </w:p>
    <w:p>
      <w:pPr>
        <w:pStyle w:val="ListBullet"/>
      </w:pPr>
      <w:r>
        <w:t xml:space="preserve">Real Decreto 900/2015: </w:t>
      </w:r>
      <w:r>
        <w:rPr>
          <w:b/>
        </w:rPr>
        <w:t>8.5</w:t>
      </w:r>
      <w:r>
        <w:t>.</w:t>
      </w:r>
    </w:p>
    <w:p>
      <w:pPr>
        <w:pStyle w:val="ListBullet"/>
      </w:pPr>
      <w:r>
        <w:t xml:space="preserve">Real Decreto 977/2015: </w:t>
      </w:r>
      <w:r>
        <w:rPr>
          <w:b/>
        </w:rPr>
        <w:t>A.4</w:t>
      </w:r>
      <w:r>
        <w:t>.</w:t>
      </w:r>
    </w:p>
    <w:p>
      <w:pPr>
        <w:pStyle w:val="ListBullet"/>
      </w:pPr>
      <w:r>
        <w:t xml:space="preserve">Real Decreto 1167/2015: </w:t>
      </w:r>
      <w:r>
        <w:rPr>
          <w:b/>
        </w:rPr>
        <w:t>A.4</w:t>
      </w:r>
      <w:r>
        <w:t>.</w:t>
      </w:r>
    </w:p>
    <w:p>
      <w:pPr>
        <w:pStyle w:val="ListBullet"/>
      </w:pPr>
      <w:r>
        <w:t xml:space="preserve">Real Decreto 931/2017: </w:t>
      </w:r>
      <w:r>
        <w:rPr>
          <w:b/>
        </w:rPr>
        <w:t>A.4</w:t>
      </w:r>
      <w:r>
        <w:t>.</w:t>
      </w:r>
    </w:p>
    <w:p>
      <w:pPr>
        <w:pStyle w:val="ListBullet"/>
      </w:pPr>
      <w:r>
        <w:t xml:space="preserve">Real Decreto 946/2017: </w:t>
      </w:r>
      <w:r>
        <w:rPr>
          <w:b/>
        </w:rPr>
        <w:t>A.1</w:t>
      </w:r>
      <w:r>
        <w:t>.</w:t>
      </w:r>
    </w:p>
    <w:p>
      <w:pPr>
        <w:pStyle w:val="ListBullet"/>
      </w:pPr>
      <w:r>
        <w:t xml:space="preserve">Real Decreto 954/2017: </w:t>
      </w:r>
      <w:r>
        <w:rPr>
          <w:b/>
        </w:rPr>
        <w:t>A.1</w:t>
      </w:r>
      <w:r>
        <w:t>.</w:t>
      </w:r>
    </w:p>
    <w:p>
      <w:pPr>
        <w:pStyle w:val="ListBullet"/>
      </w:pPr>
      <w:r>
        <w:t xml:space="preserve">Real Decreto 1462/2018: </w:t>
      </w:r>
      <w:r>
        <w:rPr>
          <w:b/>
        </w:rPr>
        <w:t>8.3</w:t>
      </w:r>
      <w:r>
        <w:t>.</w:t>
      </w:r>
    </w:p>
    <w:p>
      <w:pPr>
        <w:pStyle w:val="ListBullet"/>
      </w:pPr>
      <w:r>
        <w:t xml:space="preserve">Real Decreto 297/2022: </w:t>
      </w:r>
      <w:r>
        <w:rPr>
          <w:b/>
        </w:rPr>
        <w:t>7.2</w:t>
      </w:r>
      <w:r>
        <w:t>.</w:t>
      </w:r>
    </w:p>
    <w:p>
      <w:pPr>
        <w:pStyle w:val="ListBullet"/>
      </w:pPr>
      <w:r>
        <w:t xml:space="preserve">Real Decreto 400/2023: </w:t>
      </w:r>
      <w:r>
        <w:rPr>
          <w:b/>
        </w:rPr>
        <w:t>A.4</w:t>
      </w:r>
      <w:r>
        <w:t>.</w:t>
      </w:r>
    </w:p>
    <w:p>
      <w:pPr>
        <w:pStyle w:val="ListBullet"/>
      </w:pPr>
      <w:r>
        <w:t xml:space="preserve">Real Decreto 87/2025: </w:t>
      </w:r>
      <w:r>
        <w:rPr>
          <w:b/>
        </w:rPr>
        <w:t>8.3</w:t>
      </w:r>
      <w:r>
        <w:t>.</w:t>
      </w:r>
    </w:p>
    <w:p>
      <w:pPr>
        <w:pStyle w:val="ListBullet"/>
      </w:pPr>
      <w:r>
        <w:t xml:space="preserve">Real Decreto 126/2026: </w:t>
      </w:r>
      <w:r>
        <w:rPr>
          <w:b/>
        </w:rPr>
        <w:t>B.6</w:t>
      </w:r>
      <w:r>
        <w:t>.</w:t>
      </w:r>
    </w:p>
    <w:p>
      <w:pPr>
        <w:pStyle w:val="ListBullet"/>
      </w:pPr>
      <w:r>
        <w:t xml:space="preserve">Real Decreto 170/2026: </w:t>
      </w:r>
      <w:r>
        <w:rPr>
          <w:b/>
        </w:rPr>
        <w:t>A.2</w:t>
      </w:r>
      <w:r>
        <w:t>.</w:t>
      </w:r>
    </w:p>
    <w:p>
      <w:pPr>
        <w:pStyle w:val="ListBullet"/>
      </w:pPr>
      <w:r>
        <w:t xml:space="preserve">Real Decreto 241/2026: </w:t>
      </w:r>
      <w:r>
        <w:rPr>
          <w:b/>
        </w:rPr>
        <w:t>7.6</w:t>
      </w:r>
      <w:r>
        <w:t>.</w:t>
      </w:r>
    </w:p>
    <w:p>
      <w:pPr>
        <w:pStyle w:val="ListBullet"/>
      </w:pPr>
      <w:r>
        <w:t xml:space="preserve">Real Decreto-ley 20/1977: </w:t>
      </w:r>
      <w:r>
        <w:rPr>
          <w:b/>
        </w:rPr>
        <w:t>6.4</w:t>
      </w:r>
      <w:r>
        <w:t>.</w:t>
      </w:r>
    </w:p>
    <w:p>
      <w:pPr>
        <w:pStyle w:val="ListBullet"/>
      </w:pPr>
      <w:r>
        <w:t xml:space="preserve">Real Decreto-ley 9/1981: </w:t>
      </w:r>
      <w:r>
        <w:rPr>
          <w:b/>
        </w:rPr>
        <w:t>8.7</w:t>
      </w:r>
      <w:r>
        <w:t>.</w:t>
      </w:r>
    </w:p>
    <w:p>
      <w:pPr>
        <w:pStyle w:val="ListBullet"/>
      </w:pPr>
      <w:r>
        <w:t xml:space="preserve">Real Decreto-ley 8/1983: </w:t>
      </w:r>
      <w:r>
        <w:rPr>
          <w:b/>
        </w:rPr>
        <w:t>8.7</w:t>
      </w:r>
      <w:r>
        <w:t>.</w:t>
      </w:r>
    </w:p>
    <w:p>
      <w:pPr>
        <w:pStyle w:val="ListBullet"/>
      </w:pPr>
      <w:r>
        <w:t xml:space="preserve">Real Decreto-ley 5/1992: </w:t>
      </w:r>
      <w:r>
        <w:rPr>
          <w:b/>
        </w:rPr>
        <w:t>8.5</w:t>
      </w:r>
      <w:r>
        <w:t>.</w:t>
      </w:r>
    </w:p>
    <w:p>
      <w:pPr>
        <w:pStyle w:val="ListBullet"/>
      </w:pPr>
      <w:r>
        <w:t xml:space="preserve">Real Decreto-ley 16/2011: </w:t>
      </w:r>
      <w:r>
        <w:rPr>
          <w:b/>
        </w:rPr>
        <w:t>11.3</w:t>
      </w:r>
      <w:r>
        <w:t>.</w:t>
      </w:r>
    </w:p>
    <w:p>
      <w:pPr>
        <w:pStyle w:val="ListBullet"/>
      </w:pPr>
      <w:r>
        <w:t xml:space="preserve">Real Decreto-ley 20/2012: </w:t>
      </w:r>
      <w:r>
        <w:rPr>
          <w:b/>
        </w:rPr>
        <w:t>8.5</w:t>
      </w:r>
      <w:r>
        <w:t>.</w:t>
      </w:r>
    </w:p>
    <w:p>
      <w:pPr>
        <w:pStyle w:val="ListBullet"/>
      </w:pPr>
      <w:r>
        <w:t xml:space="preserve">Real Decreto-ley 28/2012: </w:t>
      </w:r>
      <w:r>
        <w:rPr>
          <w:b/>
        </w:rPr>
        <w:t>8.6</w:t>
      </w:r>
      <w:r>
        <w:t xml:space="preserve">, </w:t>
      </w:r>
      <w:r>
        <w:rPr>
          <w:b/>
        </w:rPr>
        <w:t>A.2</w:t>
      </w:r>
      <w:r>
        <w:t>.</w:t>
      </w:r>
    </w:p>
    <w:p>
      <w:pPr>
        <w:pStyle w:val="ListBullet"/>
      </w:pPr>
      <w:r>
        <w:t xml:space="preserve">Real Decreto-ley 15/2018: </w:t>
      </w:r>
      <w:r>
        <w:rPr>
          <w:b/>
        </w:rPr>
        <w:t>8.5</w:t>
      </w:r>
      <w:r>
        <w:t>.</w:t>
      </w:r>
    </w:p>
    <w:p>
      <w:pPr>
        <w:pStyle w:val="ListBullet"/>
      </w:pPr>
      <w:r>
        <w:t xml:space="preserve">Real Decreto-ley 36/2020: </w:t>
      </w:r>
      <w:r>
        <w:rPr>
          <w:b/>
        </w:rPr>
        <w:t>A.8</w:t>
      </w:r>
      <w:r>
        <w:t>.</w:t>
      </w:r>
    </w:p>
    <w:p>
      <w:pPr>
        <w:pStyle w:val="ListBullet"/>
      </w:pPr>
      <w:r>
        <w:t xml:space="preserve">Real Decreto-ley 32/2021: </w:t>
      </w:r>
      <w:r>
        <w:rPr>
          <w:b/>
        </w:rPr>
        <w:t>A.2</w:t>
      </w:r>
      <w:r>
        <w:t xml:space="preserve">, </w:t>
      </w:r>
      <w:r>
        <w:rPr>
          <w:b/>
        </w:rPr>
        <w:t>A.4</w:t>
      </w:r>
      <w:r>
        <w:t>.</w:t>
      </w:r>
    </w:p>
    <w:p>
      <w:pPr>
        <w:pStyle w:val="ListBullet"/>
      </w:pPr>
      <w:r>
        <w:t xml:space="preserve">Real Decreto-ley 5/2023: </w:t>
      </w:r>
      <w:r>
        <w:rPr>
          <w:b/>
        </w:rPr>
        <w:t>A.7</w:t>
      </w:r>
      <w:r>
        <w:t>.</w:t>
      </w:r>
    </w:p>
    <w:p>
      <w:pPr>
        <w:pStyle w:val="ListBullet"/>
      </w:pPr>
      <w:r>
        <w:t xml:space="preserve">Real Decreto-ley 2/2024: </w:t>
      </w:r>
      <w:r>
        <w:rPr>
          <w:b/>
        </w:rPr>
        <w:t>A.2</w:t>
      </w:r>
      <w:r>
        <w:t>.</w:t>
      </w:r>
    </w:p>
    <w:p>
      <w:pPr>
        <w:pStyle w:val="ListBullet"/>
      </w:pPr>
      <w:r>
        <w:t xml:space="preserve">Real Decreto-ley 4/2024: </w:t>
      </w:r>
      <w:r>
        <w:rPr>
          <w:b/>
        </w:rPr>
        <w:t>8.3</w:t>
      </w:r>
      <w:r>
        <w:t>.</w:t>
      </w:r>
    </w:p>
    <w:p>
      <w:pPr>
        <w:pStyle w:val="ListBullet"/>
      </w:pPr>
      <w:r>
        <w:t xml:space="preserve">Real Decreto-ley 7/2025: </w:t>
      </w:r>
      <w:r>
        <w:rPr>
          <w:b/>
        </w:rPr>
        <w:t>A.4</w:t>
      </w:r>
      <w:r>
        <w:t>.</w:t>
      </w:r>
    </w:p>
    <w:p>
      <w:pPr>
        <w:pStyle w:val="ListBullet"/>
      </w:pPr>
      <w:r>
        <w:t xml:space="preserve">Real Decreto-ley 16/2025: </w:t>
      </w:r>
      <w:r>
        <w:rPr>
          <w:b/>
        </w:rPr>
        <w:t>10.7</w:t>
      </w:r>
      <w:r>
        <w:t>.</w:t>
      </w:r>
    </w:p>
    <w:p>
      <w:pPr>
        <w:pStyle w:val="ListBullet"/>
      </w:pPr>
      <w:r>
        <w:t xml:space="preserve">Real Decreto-ley 8/2026: </w:t>
      </w:r>
      <w:r>
        <w:rPr>
          <w:b/>
        </w:rPr>
        <w:t>A.4</w:t>
      </w:r>
      <w:r>
        <w:t>.</w:t>
      </w:r>
    </w:p>
    <w:p>
      <w:pPr>
        <w:pStyle w:val="ListBullet"/>
      </w:pPr>
      <w:r>
        <w:t xml:space="preserve">Reglamento de Pensiones Parlamentarias: </w:t>
      </w:r>
      <w:r>
        <w:rPr>
          <w:b/>
        </w:rPr>
        <w:t>C.4</w:t>
      </w:r>
      <w:r>
        <w:t>.</w:t>
      </w:r>
    </w:p>
    <w:p>
      <w:pPr>
        <w:pStyle w:val="ListBullet"/>
      </w:pPr>
      <w:r>
        <w:t xml:space="preserve">Reglamento del Congreso de los Diputados: </w:t>
      </w:r>
      <w:r>
        <w:rPr>
          <w:b/>
        </w:rPr>
        <w:t>5.1</w:t>
      </w:r>
      <w:r>
        <w:t xml:space="preserve">, </w:t>
      </w:r>
      <w:r>
        <w:rPr>
          <w:b/>
        </w:rPr>
        <w:t>8.6</w:t>
      </w:r>
      <w:r>
        <w:t xml:space="preserve">, </w:t>
      </w:r>
      <w:r>
        <w:rPr>
          <w:b/>
        </w:rPr>
        <w:t>A.4</w:t>
      </w:r>
      <w:r>
        <w:t>.</w:t>
      </w:r>
    </w:p>
    <w:p>
      <w:pPr>
        <w:pStyle w:val="ListBullet"/>
      </w:pPr>
      <w:r>
        <w:t xml:space="preserve">Reglamento del Senado: </w:t>
      </w:r>
      <w:r>
        <w:rPr>
          <w:b/>
        </w:rPr>
        <w:t>A.4</w:t>
      </w:r>
      <w:r>
        <w:t>.</w:t>
      </w:r>
    </w:p>
    <w:p>
      <w:r>
        <w:rPr>
          <w:b/>
        </w:rPr>
        <w:t>Las normas europeas e internacionales</w:t>
      </w:r>
      <w:r>
        <w:t xml:space="preserve"> (45 fuentes)</w:t>
      </w:r>
    </w:p>
    <w:p>
      <w:pPr>
        <w:pStyle w:val="ListBullet"/>
      </w:pPr>
      <w:r>
        <w:t xml:space="preserve">Acuerdos entre España y la Santa Sede (1979): </w:t>
      </w:r>
      <w:r>
        <w:rPr>
          <w:b/>
        </w:rPr>
        <w:t>A.2</w:t>
      </w:r>
      <w:r>
        <w:t>.</w:t>
      </w:r>
    </w:p>
    <w:p>
      <w:pPr>
        <w:pStyle w:val="ListBullet"/>
      </w:pPr>
      <w:r>
        <w:t xml:space="preserve">Archives parlementaires (Francia): </w:t>
      </w:r>
      <w:r>
        <w:rPr>
          <w:b/>
        </w:rPr>
        <w:t>6.1</w:t>
      </w:r>
      <w:r>
        <w:t>.</w:t>
      </w:r>
    </w:p>
    <w:p>
      <w:pPr>
        <w:pStyle w:val="ListBullet"/>
      </w:pPr>
      <w:r>
        <w:t xml:space="preserve">Bevans, Tratados de los Estados Unidos 1776-1949 (Avalon Project): </w:t>
      </w:r>
      <w:r>
        <w:rPr>
          <w:b/>
        </w:rPr>
        <w:t>11.2</w:t>
      </w:r>
      <w:r>
        <w:t>.</w:t>
      </w:r>
    </w:p>
    <w:p>
      <w:pPr>
        <w:pStyle w:val="ListBullet"/>
      </w:pPr>
      <w:r>
        <w:t xml:space="preserve">Bill of Rights inglés (1689): </w:t>
      </w:r>
      <w:r>
        <w:rPr>
          <w:b/>
        </w:rPr>
        <w:t>6.1</w:t>
      </w:r>
      <w:r>
        <w:t xml:space="preserve">, </w:t>
      </w:r>
      <w:r>
        <w:rPr>
          <w:b/>
        </w:rPr>
        <w:t>9.2</w:t>
      </w:r>
      <w:r>
        <w:t>.</w:t>
      </w:r>
    </w:p>
    <w:p>
      <w:pPr>
        <w:pStyle w:val="ListBullet"/>
      </w:pPr>
      <w:r>
        <w:t xml:space="preserve">Carta de las Naciones Unidas: </w:t>
      </w:r>
      <w:r>
        <w:rPr>
          <w:b/>
        </w:rPr>
        <w:t>6.2</w:t>
      </w:r>
      <w:r>
        <w:t>.</w:t>
      </w:r>
    </w:p>
    <w:p>
      <w:pPr>
        <w:pStyle w:val="ListBullet"/>
      </w:pPr>
      <w:r>
        <w:t xml:space="preserve">Carta de los Derechos Fundamentales de la Unión Europea: </w:t>
      </w:r>
      <w:r>
        <w:rPr>
          <w:b/>
        </w:rPr>
        <w:t>10.4</w:t>
      </w:r>
      <w:r>
        <w:t xml:space="preserve">, </w:t>
      </w:r>
      <w:r>
        <w:rPr>
          <w:b/>
        </w:rPr>
        <w:t>10.7</w:t>
      </w:r>
      <w:r>
        <w:t>.</w:t>
      </w:r>
    </w:p>
    <w:p>
      <w:pPr>
        <w:pStyle w:val="ListBullet"/>
      </w:pPr>
      <w:r>
        <w:t xml:space="preserve">CIDH, Declaración de Principios sobre Libertad de Expresión: </w:t>
      </w:r>
      <w:r>
        <w:rPr>
          <w:b/>
        </w:rPr>
        <w:t>8.5</w:t>
      </w:r>
      <w:r>
        <w:t>.</w:t>
      </w:r>
    </w:p>
    <w:p>
      <w:pPr>
        <w:pStyle w:val="ListBullet"/>
      </w:pPr>
      <w:r>
        <w:t xml:space="preserve">Comisión Europea, propuesta COM(2023) 364 (curso legal de los billetes y monedas en euros): </w:t>
      </w:r>
      <w:r>
        <w:rPr>
          <w:b/>
        </w:rPr>
        <w:t>8.11</w:t>
      </w:r>
      <w:r>
        <w:t>.</w:t>
      </w:r>
    </w:p>
    <w:p>
      <w:pPr>
        <w:pStyle w:val="ListBullet"/>
      </w:pPr>
      <w:r>
        <w:t xml:space="preserve">Constitución de Bolivia: </w:t>
      </w:r>
      <w:r>
        <w:rPr>
          <w:b/>
        </w:rPr>
        <w:t>10.2</w:t>
      </w:r>
      <w:r>
        <w:t>.</w:t>
      </w:r>
    </w:p>
    <w:p>
      <w:pPr>
        <w:pStyle w:val="ListBullet"/>
      </w:pPr>
      <w:r>
        <w:t xml:space="preserve">Constitución de los Estados Unidos: </w:t>
      </w:r>
      <w:r>
        <w:rPr>
          <w:b/>
        </w:rPr>
        <w:t>3.1</w:t>
      </w:r>
      <w:r>
        <w:t>.</w:t>
      </w:r>
    </w:p>
    <w:p>
      <w:pPr>
        <w:pStyle w:val="ListBullet"/>
      </w:pPr>
      <w:r>
        <w:t xml:space="preserve">Constitución de Sudáfrica de 1993: </w:t>
      </w:r>
      <w:r>
        <w:rPr>
          <w:b/>
        </w:rPr>
        <w:t>F.7</w:t>
      </w:r>
      <w:r>
        <w:t>.</w:t>
      </w:r>
    </w:p>
    <w:p>
      <w:pPr>
        <w:pStyle w:val="ListBullet"/>
      </w:pPr>
      <w:r>
        <w:t xml:space="preserve">Constitución francesa de 1793: </w:t>
      </w:r>
      <w:r>
        <w:rPr>
          <w:b/>
        </w:rPr>
        <w:t>6.5</w:t>
      </w:r>
      <w:r>
        <w:t>.</w:t>
      </w:r>
    </w:p>
    <w:p>
      <w:pPr>
        <w:pStyle w:val="ListBullet"/>
      </w:pPr>
      <w:r>
        <w:t xml:space="preserve">Convención de Montevideo sobre Derechos y Deberes de los Estados (1933): </w:t>
      </w:r>
      <w:r>
        <w:rPr>
          <w:b/>
        </w:rPr>
        <w:t>6.2</w:t>
      </w:r>
      <w:r>
        <w:t xml:space="preserve">, </w:t>
      </w:r>
      <w:r>
        <w:rPr>
          <w:b/>
        </w:rPr>
        <w:t>11.2</w:t>
      </w:r>
      <w:r>
        <w:t>.</w:t>
      </w:r>
    </w:p>
    <w:p>
      <w:pPr>
        <w:pStyle w:val="ListBullet"/>
      </w:pPr>
      <w:r>
        <w:t xml:space="preserve">Convenio de Estambul: </w:t>
      </w:r>
      <w:r>
        <w:rPr>
          <w:b/>
        </w:rPr>
        <w:t>11.3</w:t>
      </w:r>
      <w:r>
        <w:t>.</w:t>
      </w:r>
    </w:p>
    <w:p>
      <w:pPr>
        <w:pStyle w:val="ListBullet"/>
      </w:pPr>
      <w:r>
        <w:t xml:space="preserve">Convenio Europeo de Derechos Humanos: </w:t>
      </w:r>
      <w:r>
        <w:rPr>
          <w:b/>
        </w:rPr>
        <w:t>10.7</w:t>
      </w:r>
      <w:r>
        <w:t xml:space="preserve">, </w:t>
      </w:r>
      <w:r>
        <w:rPr>
          <w:b/>
        </w:rPr>
        <w:t>A.2</w:t>
      </w:r>
      <w:r>
        <w:t>.</w:t>
      </w:r>
    </w:p>
    <w:p>
      <w:pPr>
        <w:pStyle w:val="ListBullet"/>
      </w:pPr>
      <w:r>
        <w:t xml:space="preserve">Declaración de Derechos de Virginia: </w:t>
      </w:r>
      <w:r>
        <w:rPr>
          <w:b/>
        </w:rPr>
        <w:t>6.3</w:t>
      </w:r>
      <w:r>
        <w:t>.</w:t>
      </w:r>
    </w:p>
    <w:p>
      <w:pPr>
        <w:pStyle w:val="ListBullet"/>
      </w:pPr>
      <w:r>
        <w:t xml:space="preserve">Declaración de Independencia de los Estados Unidos (1776): </w:t>
      </w:r>
      <w:r>
        <w:rPr>
          <w:b/>
        </w:rPr>
        <w:t>6.1</w:t>
      </w:r>
      <w:r>
        <w:t xml:space="preserve">, </w:t>
      </w:r>
      <w:r>
        <w:rPr>
          <w:b/>
        </w:rPr>
        <w:t>6.3</w:t>
      </w:r>
      <w:r>
        <w:t>.</w:t>
      </w:r>
    </w:p>
    <w:p>
      <w:pPr>
        <w:pStyle w:val="ListBullet"/>
      </w:pPr>
      <w:r>
        <w:t xml:space="preserve">Declaración de los Derechos del Hombre y del Ciudadano (1789): </w:t>
      </w:r>
      <w:r>
        <w:rPr>
          <w:b/>
        </w:rPr>
        <w:t>6.1</w:t>
      </w:r>
      <w:r>
        <w:t xml:space="preserve">, </w:t>
      </w:r>
      <w:r>
        <w:rPr>
          <w:b/>
        </w:rPr>
        <w:t>6.3</w:t>
      </w:r>
      <w:r>
        <w:t xml:space="preserve">, </w:t>
      </w:r>
      <w:r>
        <w:rPr>
          <w:b/>
        </w:rPr>
        <w:t>H.10</w:t>
      </w:r>
      <w:r>
        <w:t>.</w:t>
      </w:r>
    </w:p>
    <w:p>
      <w:pPr>
        <w:pStyle w:val="ListBullet"/>
      </w:pPr>
      <w:r>
        <w:t xml:space="preserve">Declaración Universal de Derechos Humanos: </w:t>
      </w:r>
      <w:r>
        <w:rPr>
          <w:b/>
        </w:rPr>
        <w:t>2.2</w:t>
      </w:r>
      <w:r>
        <w:t xml:space="preserve">, </w:t>
      </w:r>
      <w:r>
        <w:rPr>
          <w:b/>
        </w:rPr>
        <w:t>6.5</w:t>
      </w:r>
      <w:r>
        <w:t xml:space="preserve">, </w:t>
      </w:r>
      <w:r>
        <w:rPr>
          <w:b/>
        </w:rPr>
        <w:t>10.7</w:t>
      </w:r>
      <w:r>
        <w:t xml:space="preserve">, </w:t>
      </w:r>
      <w:r>
        <w:rPr>
          <w:b/>
        </w:rPr>
        <w:t>11.3</w:t>
      </w:r>
      <w:r>
        <w:t>.</w:t>
      </w:r>
    </w:p>
    <w:p>
      <w:pPr>
        <w:pStyle w:val="ListBullet"/>
      </w:pPr>
      <w:r>
        <w:t xml:space="preserve">Directiva (UE) 2024/2853: </w:t>
      </w:r>
      <w:r>
        <w:rPr>
          <w:b/>
        </w:rPr>
        <w:t>10.6</w:t>
      </w:r>
      <w:r>
        <w:t>.</w:t>
      </w:r>
    </w:p>
    <w:p>
      <w:pPr>
        <w:pStyle w:val="ListBullet"/>
      </w:pPr>
      <w:r>
        <w:t xml:space="preserve">Estatuto de Roma: </w:t>
      </w:r>
      <w:r>
        <w:rPr>
          <w:b/>
        </w:rPr>
        <w:t>8.1</w:t>
      </w:r>
      <w:r>
        <w:t>.</w:t>
      </w:r>
    </w:p>
    <w:p>
      <w:pPr>
        <w:pStyle w:val="ListBullet"/>
      </w:pPr>
      <w:r>
        <w:t xml:space="preserve">Indian Independence Act (1947): </w:t>
      </w:r>
      <w:r>
        <w:rPr>
          <w:b/>
        </w:rPr>
        <w:t>9.2</w:t>
      </w:r>
      <w:r>
        <w:t>.</w:t>
      </w:r>
    </w:p>
    <w:p>
      <w:pPr>
        <w:pStyle w:val="ListBullet"/>
      </w:pPr>
      <w:r>
        <w:t xml:space="preserve">Instrumento de ratificación del Convenio de Estambul (BOE-A-2014-5947): </w:t>
      </w:r>
      <w:r>
        <w:rPr>
          <w:b/>
        </w:rPr>
        <w:t>11.3</w:t>
      </w:r>
      <w:r>
        <w:t>.</w:t>
      </w:r>
    </w:p>
    <w:p>
      <w:pPr>
        <w:pStyle w:val="ListBullet"/>
      </w:pPr>
      <w:r>
        <w:t xml:space="preserve">Japón, rescripto imperial de 1-I-1946: </w:t>
      </w:r>
      <w:r>
        <w:rPr>
          <w:b/>
        </w:rPr>
        <w:t>6.2</w:t>
      </w:r>
      <w:r>
        <w:t>.</w:t>
      </w:r>
    </w:p>
    <w:p>
      <w:pPr>
        <w:pStyle w:val="ListBullet"/>
      </w:pPr>
      <w:r>
        <w:t xml:space="preserve">Lex mercatoria, Libro Rojo de Bristol: </w:t>
      </w:r>
      <w:r>
        <w:rPr>
          <w:b/>
        </w:rPr>
        <w:t>1.5</w:t>
      </w:r>
      <w:r>
        <w:t>.</w:t>
      </w:r>
    </w:p>
    <w:p>
      <w:pPr>
        <w:pStyle w:val="ListBullet"/>
      </w:pPr>
      <w:r>
        <w:t xml:space="preserve">Ley Áurea de Brasil (1888): </w:t>
      </w:r>
      <w:r>
        <w:rPr>
          <w:b/>
        </w:rPr>
        <w:t>3.1</w:t>
      </w:r>
      <w:r>
        <w:t>.</w:t>
      </w:r>
    </w:p>
    <w:p>
      <w:pPr>
        <w:pStyle w:val="ListBullet"/>
      </w:pPr>
      <w:r>
        <w:t xml:space="preserve">Ley Fundamental de la República Federal de Alemania: </w:t>
      </w:r>
      <w:r>
        <w:rPr>
          <w:b/>
        </w:rPr>
        <w:t>6.5</w:t>
      </w:r>
      <w:r>
        <w:t>.</w:t>
      </w:r>
    </w:p>
    <w:p>
      <w:pPr>
        <w:pStyle w:val="ListBullet"/>
      </w:pPr>
      <w:r>
        <w:t xml:space="preserve">Leyes y decretos de la Revolución francesa: </w:t>
      </w:r>
      <w:r>
        <w:rPr>
          <w:b/>
        </w:rPr>
        <w:t>3.1</w:t>
      </w:r>
      <w:r>
        <w:t>.</w:t>
      </w:r>
    </w:p>
    <w:p>
      <w:pPr>
        <w:pStyle w:val="ListBullet"/>
      </w:pPr>
      <w:r>
        <w:t xml:space="preserve">OEA, estado de firmas de la Convención de Montevideo (A-40): </w:t>
      </w:r>
      <w:r>
        <w:rPr>
          <w:b/>
        </w:rPr>
        <w:t>11.2</w:t>
      </w:r>
      <w:r>
        <w:t>.</w:t>
      </w:r>
    </w:p>
    <w:p>
      <w:pPr>
        <w:pStyle w:val="ListBullet"/>
      </w:pPr>
      <w:r>
        <w:t xml:space="preserve">Pacto Internacional de Derechos Civiles y Políticos: </w:t>
      </w:r>
      <w:r>
        <w:rPr>
          <w:b/>
        </w:rPr>
        <w:t>8.5</w:t>
      </w:r>
      <w:r>
        <w:t>.</w:t>
      </w:r>
    </w:p>
    <w:p>
      <w:pPr>
        <w:pStyle w:val="ListBullet"/>
      </w:pPr>
      <w:r>
        <w:t xml:space="preserve">Pardessus, Collection de lois maritimes: </w:t>
      </w:r>
      <w:r>
        <w:rPr>
          <w:b/>
        </w:rPr>
        <w:t>1.5</w:t>
      </w:r>
      <w:r>
        <w:t>.</w:t>
      </w:r>
    </w:p>
    <w:p>
      <w:pPr>
        <w:pStyle w:val="ListBullet"/>
      </w:pPr>
      <w:r>
        <w:t xml:space="preserve">Parliamentary Standards Act (Reino Unido): </w:t>
      </w:r>
      <w:r>
        <w:rPr>
          <w:b/>
        </w:rPr>
        <w:t>7.2</w:t>
      </w:r>
      <w:r>
        <w:t>.</w:t>
      </w:r>
    </w:p>
    <w:p>
      <w:pPr>
        <w:pStyle w:val="ListBullet"/>
      </w:pPr>
      <w:r>
        <w:t xml:space="preserve">Plan de Constitución de 1793 (Condorcet): </w:t>
      </w:r>
      <w:r>
        <w:rPr>
          <w:b/>
        </w:rPr>
        <w:t>6.1</w:t>
      </w:r>
      <w:r>
        <w:t>.</w:t>
      </w:r>
    </w:p>
    <w:p>
      <w:pPr>
        <w:pStyle w:val="ListBullet"/>
      </w:pPr>
      <w:r>
        <w:t xml:space="preserve">Principios de Núremberg (1950): </w:t>
      </w:r>
      <w:r>
        <w:rPr>
          <w:b/>
        </w:rPr>
        <w:t>1.4</w:t>
      </w:r>
      <w:r>
        <w:t>.</w:t>
      </w:r>
    </w:p>
    <w:p>
      <w:pPr>
        <w:pStyle w:val="ListBullet"/>
      </w:pPr>
      <w:r>
        <w:t xml:space="preserve">Reglamento (CE) 2866/98: </w:t>
      </w:r>
      <w:r>
        <w:rPr>
          <w:b/>
        </w:rPr>
        <w:t>8.3</w:t>
      </w:r>
      <w:r>
        <w:t>.</w:t>
      </w:r>
    </w:p>
    <w:p>
      <w:pPr>
        <w:pStyle w:val="ListBullet"/>
      </w:pPr>
      <w:r>
        <w:t xml:space="preserve">Reglamento (UE) 2024/1083: </w:t>
      </w:r>
      <w:r>
        <w:rPr>
          <w:b/>
        </w:rPr>
        <w:t>10.2</w:t>
      </w:r>
      <w:r>
        <w:t>.</w:t>
      </w:r>
    </w:p>
    <w:p>
      <w:pPr>
        <w:pStyle w:val="ListBullet"/>
      </w:pPr>
      <w:r>
        <w:t xml:space="preserve">Reglamento (UE) 2024/1624: </w:t>
      </w:r>
      <w:r>
        <w:rPr>
          <w:b/>
        </w:rPr>
        <w:t>8.11</w:t>
      </w:r>
      <w:r>
        <w:t>.</w:t>
      </w:r>
    </w:p>
    <w:p>
      <w:pPr>
        <w:pStyle w:val="ListBullet"/>
      </w:pPr>
      <w:r>
        <w:t xml:space="preserve">Reglamento (UE, Euratom) 2024/2509: </w:t>
      </w:r>
      <w:r>
        <w:rPr>
          <w:b/>
        </w:rPr>
        <w:t>7.5</w:t>
      </w:r>
      <w:r>
        <w:t>.</w:t>
      </w:r>
    </w:p>
    <w:p>
      <w:pPr>
        <w:pStyle w:val="ListBullet"/>
      </w:pPr>
      <w:r>
        <w:t xml:space="preserve">Reglamento General de Protección de Datos: </w:t>
      </w:r>
      <w:r>
        <w:rPr>
          <w:b/>
        </w:rPr>
        <w:t>10.4</w:t>
      </w:r>
      <w:r>
        <w:t>.</w:t>
      </w:r>
    </w:p>
    <w:p>
      <w:pPr>
        <w:pStyle w:val="ListBullet"/>
      </w:pPr>
      <w:r>
        <w:t xml:space="preserve">Sentencia Arbitral de Guadalupe (1486): </w:t>
      </w:r>
      <w:r>
        <w:rPr>
          <w:b/>
        </w:rPr>
        <w:t>2.2</w:t>
      </w:r>
      <w:r>
        <w:t>.</w:t>
      </w:r>
    </w:p>
    <w:p>
      <w:pPr>
        <w:pStyle w:val="ListBullet"/>
      </w:pPr>
      <w:r>
        <w:t xml:space="preserve">Slavery Abolition Act (1833): </w:t>
      </w:r>
      <w:r>
        <w:rPr>
          <w:b/>
        </w:rPr>
        <w:t>3.1</w:t>
      </w:r>
      <w:r>
        <w:t>.</w:t>
      </w:r>
    </w:p>
    <w:p>
      <w:pPr>
        <w:pStyle w:val="ListBullet"/>
      </w:pPr>
      <w:r>
        <w:t xml:space="preserve">Sudáfrica, Ley 34 de 1995, de Promoción de la Unidad Nacional y la Reconciliación: </w:t>
      </w:r>
      <w:r>
        <w:rPr>
          <w:b/>
        </w:rPr>
        <w:t>F.7</w:t>
      </w:r>
      <w:r>
        <w:t>.</w:t>
      </w:r>
    </w:p>
    <w:p>
      <w:pPr>
        <w:pStyle w:val="ListBullet"/>
      </w:pPr>
      <w:r>
        <w:t xml:space="preserve">Tratado de Fort Stanwix: </w:t>
      </w:r>
      <w:r>
        <w:rPr>
          <w:b/>
        </w:rPr>
        <w:t>9.2</w:t>
      </w:r>
      <w:r>
        <w:t>.</w:t>
      </w:r>
    </w:p>
    <w:p>
      <w:pPr>
        <w:pStyle w:val="ListBullet"/>
      </w:pPr>
      <w:r>
        <w:t xml:space="preserve">Tratado de Funcionamiento de la Unión Europea: </w:t>
      </w:r>
      <w:r>
        <w:rPr>
          <w:b/>
        </w:rPr>
        <w:t>5.1</w:t>
      </w:r>
      <w:r>
        <w:t xml:space="preserve">, </w:t>
      </w:r>
      <w:r>
        <w:rPr>
          <w:b/>
        </w:rPr>
        <w:t>8.1</w:t>
      </w:r>
      <w:r>
        <w:t xml:space="preserve">, </w:t>
      </w:r>
      <w:r>
        <w:rPr>
          <w:b/>
        </w:rPr>
        <w:t>8.3</w:t>
      </w:r>
      <w:r>
        <w:t xml:space="preserve">, </w:t>
      </w:r>
      <w:r>
        <w:rPr>
          <w:b/>
        </w:rPr>
        <w:t>10.2</w:t>
      </w:r>
      <w:r>
        <w:t xml:space="preserve">, </w:t>
      </w:r>
      <w:r>
        <w:rPr>
          <w:b/>
        </w:rPr>
        <w:t>11.3</w:t>
      </w:r>
      <w:r>
        <w:t>.</w:t>
      </w:r>
    </w:p>
    <w:p>
      <w:pPr>
        <w:pStyle w:val="ListBullet"/>
      </w:pPr>
      <w:r>
        <w:t xml:space="preserve">Tratado de la Unión Europea: </w:t>
      </w:r>
      <w:r>
        <w:rPr>
          <w:b/>
        </w:rPr>
        <w:t>10.7</w:t>
      </w:r>
      <w:r>
        <w:t>.</w:t>
      </w:r>
    </w:p>
    <w:p>
      <w:r>
        <w:rPr>
          <w:b/>
        </w:rPr>
        <w:t>Las sentencias y las resoluciones de los tribunales</w:t>
      </w:r>
      <w:r>
        <w:t xml:space="preserve"> (193 fuentes)</w:t>
      </w:r>
    </w:p>
    <w:p>
      <w:pPr>
        <w:pStyle w:val="ListBullet"/>
      </w:pPr>
      <w:r>
        <w:t xml:space="preserve">ATC 147/1982: </w:t>
      </w:r>
      <w:r>
        <w:rPr>
          <w:b/>
        </w:rPr>
        <w:t>A.4</w:t>
      </w:r>
      <w:r>
        <w:t>.</w:t>
      </w:r>
    </w:p>
    <w:p>
      <w:pPr>
        <w:pStyle w:val="ListBullet"/>
      </w:pPr>
      <w:r>
        <w:t xml:space="preserve">ATC 141/2016: </w:t>
      </w:r>
      <w:r>
        <w:rPr>
          <w:b/>
        </w:rPr>
        <w:t>A.10</w:t>
      </w:r>
      <w:r>
        <w:t>.</w:t>
      </w:r>
    </w:p>
    <w:p>
      <w:pPr>
        <w:pStyle w:val="ListBullet"/>
      </w:pPr>
      <w:r>
        <w:t xml:space="preserve">ATC 170/2016: </w:t>
      </w:r>
      <w:r>
        <w:rPr>
          <w:b/>
        </w:rPr>
        <w:t>A.10</w:t>
      </w:r>
      <w:r>
        <w:t>.</w:t>
      </w:r>
    </w:p>
    <w:p>
      <w:pPr>
        <w:pStyle w:val="ListBullet"/>
      </w:pPr>
      <w:r>
        <w:t xml:space="preserve">ATC 24/2017: </w:t>
      </w:r>
      <w:r>
        <w:rPr>
          <w:b/>
        </w:rPr>
        <w:t>A.10</w:t>
      </w:r>
      <w:r>
        <w:t>.</w:t>
      </w:r>
    </w:p>
    <w:p>
      <w:pPr>
        <w:pStyle w:val="ListBullet"/>
      </w:pPr>
      <w:r>
        <w:t xml:space="preserve">ATC 123/2017: </w:t>
      </w:r>
      <w:r>
        <w:rPr>
          <w:b/>
        </w:rPr>
        <w:t>A.10</w:t>
      </w:r>
      <w:r>
        <w:t>.</w:t>
      </w:r>
    </w:p>
    <w:p>
      <w:pPr>
        <w:pStyle w:val="ListBullet"/>
      </w:pPr>
      <w:r>
        <w:t xml:space="preserve">ATC 155/2022: </w:t>
      </w:r>
      <w:r>
        <w:rPr>
          <w:b/>
        </w:rPr>
        <w:t>A.10</w:t>
      </w:r>
      <w:r>
        <w:t>.</w:t>
      </w:r>
    </w:p>
    <w:p>
      <w:pPr>
        <w:pStyle w:val="ListBullet"/>
      </w:pPr>
      <w:r>
        <w:t xml:space="preserve">DTC 1/1992: </w:t>
      </w:r>
      <w:r>
        <w:rPr>
          <w:b/>
        </w:rPr>
        <w:t>A.4</w:t>
      </w:r>
      <w:r>
        <w:t>.</w:t>
      </w:r>
    </w:p>
    <w:p>
      <w:pPr>
        <w:pStyle w:val="ListBullet"/>
      </w:pPr>
      <w:r>
        <w:t xml:space="preserve">DTC 1/2004: </w:t>
      </w:r>
      <w:r>
        <w:rPr>
          <w:b/>
        </w:rPr>
        <w:t>A.4</w:t>
      </w:r>
      <w:r>
        <w:t>.</w:t>
      </w:r>
    </w:p>
    <w:p>
      <w:pPr>
        <w:pStyle w:val="ListBullet"/>
      </w:pPr>
      <w:r>
        <w:t xml:space="preserve">STC 11/1981: </w:t>
      </w:r>
      <w:r>
        <w:rPr>
          <w:b/>
        </w:rPr>
        <w:t>10.7</w:t>
      </w:r>
      <w:r>
        <w:t>.</w:t>
      </w:r>
    </w:p>
    <w:p>
      <w:pPr>
        <w:pStyle w:val="ListBullet"/>
      </w:pPr>
      <w:r>
        <w:t xml:space="preserve">STC 18/1981: </w:t>
      </w:r>
      <w:r>
        <w:rPr>
          <w:b/>
        </w:rPr>
        <w:t>7.5</w:t>
      </w:r>
      <w:r>
        <w:t>.</w:t>
      </w:r>
    </w:p>
    <w:p>
      <w:pPr>
        <w:pStyle w:val="ListBullet"/>
      </w:pPr>
      <w:r>
        <w:t xml:space="preserve">STC 26/1981: </w:t>
      </w:r>
      <w:r>
        <w:rPr>
          <w:b/>
        </w:rPr>
        <w:t>A.2</w:t>
      </w:r>
      <w:r>
        <w:t>.</w:t>
      </w:r>
    </w:p>
    <w:p>
      <w:pPr>
        <w:pStyle w:val="ListBullet"/>
      </w:pPr>
      <w:r>
        <w:t xml:space="preserve">STC 10/1983: </w:t>
      </w:r>
      <w:r>
        <w:rPr>
          <w:b/>
        </w:rPr>
        <w:t>A.4</w:t>
      </w:r>
      <w:r>
        <w:t>.</w:t>
      </w:r>
    </w:p>
    <w:p>
      <w:pPr>
        <w:pStyle w:val="ListBullet"/>
      </w:pPr>
      <w:r>
        <w:t xml:space="preserve">STC 76/1983: </w:t>
      </w:r>
      <w:r>
        <w:rPr>
          <w:b/>
        </w:rPr>
        <w:t>A.8</w:t>
      </w:r>
      <w:r>
        <w:t>.</w:t>
      </w:r>
    </w:p>
    <w:p>
      <w:pPr>
        <w:pStyle w:val="ListBullet"/>
      </w:pPr>
      <w:r>
        <w:t xml:space="preserve">STC 111/1983: </w:t>
      </w:r>
      <w:r>
        <w:rPr>
          <w:b/>
        </w:rPr>
        <w:t>A.4</w:t>
      </w:r>
      <w:r>
        <w:t>.</w:t>
      </w:r>
    </w:p>
    <w:p>
      <w:pPr>
        <w:pStyle w:val="ListBullet"/>
      </w:pPr>
      <w:r>
        <w:t xml:space="preserve">STC 42/1985: </w:t>
      </w:r>
      <w:r>
        <w:rPr>
          <w:b/>
        </w:rPr>
        <w:t>A.10</w:t>
      </w:r>
      <w:r>
        <w:t>.</w:t>
      </w:r>
    </w:p>
    <w:p>
      <w:pPr>
        <w:pStyle w:val="ListBullet"/>
      </w:pPr>
      <w:r>
        <w:t xml:space="preserve">STC 44/1986: </w:t>
      </w:r>
      <w:r>
        <w:rPr>
          <w:b/>
        </w:rPr>
        <w:t>A.9</w:t>
      </w:r>
      <w:r>
        <w:t>.</w:t>
      </w:r>
    </w:p>
    <w:p>
      <w:pPr>
        <w:pStyle w:val="ListBullet"/>
      </w:pPr>
      <w:r>
        <w:t xml:space="preserve">STC 53/1986: </w:t>
      </w:r>
      <w:r>
        <w:rPr>
          <w:b/>
        </w:rPr>
        <w:t>A.2</w:t>
      </w:r>
      <w:r>
        <w:t>.</w:t>
      </w:r>
    </w:p>
    <w:p>
      <w:pPr>
        <w:pStyle w:val="ListBullet"/>
      </w:pPr>
      <w:r>
        <w:t xml:space="preserve">STC 108/1986: </w:t>
      </w:r>
      <w:r>
        <w:rPr>
          <w:b/>
        </w:rPr>
        <w:t>6.4</w:t>
      </w:r>
      <w:r>
        <w:t xml:space="preserve">, </w:t>
      </w:r>
      <w:r>
        <w:rPr>
          <w:b/>
        </w:rPr>
        <w:t>A.4</w:t>
      </w:r>
      <w:r>
        <w:t>.</w:t>
      </w:r>
    </w:p>
    <w:p>
      <w:pPr>
        <w:pStyle w:val="ListBullet"/>
      </w:pPr>
      <w:r>
        <w:t xml:space="preserve">STC 152/1988: </w:t>
      </w:r>
      <w:r>
        <w:rPr>
          <w:b/>
        </w:rPr>
        <w:t>A.2</w:t>
      </w:r>
      <w:r>
        <w:t>.</w:t>
      </w:r>
    </w:p>
    <w:p>
      <w:pPr>
        <w:pStyle w:val="ListBullet"/>
      </w:pPr>
      <w:r>
        <w:t xml:space="preserve">STC 132/1989: </w:t>
      </w:r>
      <w:r>
        <w:rPr>
          <w:b/>
        </w:rPr>
        <w:t>A.2</w:t>
      </w:r>
      <w:r>
        <w:t>.</w:t>
      </w:r>
    </w:p>
    <w:p>
      <w:pPr>
        <w:pStyle w:val="ListBullet"/>
      </w:pPr>
      <w:r>
        <w:t xml:space="preserve">STC 219/1989: </w:t>
      </w:r>
      <w:r>
        <w:rPr>
          <w:b/>
        </w:rPr>
        <w:t>A.2</w:t>
      </w:r>
      <w:r>
        <w:t>.</w:t>
      </w:r>
    </w:p>
    <w:p>
      <w:pPr>
        <w:pStyle w:val="ListBullet"/>
      </w:pPr>
      <w:r>
        <w:t xml:space="preserve">STC 76/1990: </w:t>
      </w:r>
      <w:r>
        <w:rPr>
          <w:b/>
        </w:rPr>
        <w:t>7.6</w:t>
      </w:r>
      <w:r>
        <w:t xml:space="preserve">, </w:t>
      </w:r>
      <w:r>
        <w:rPr>
          <w:b/>
        </w:rPr>
        <w:t>11.3</w:t>
      </w:r>
      <w:r>
        <w:t xml:space="preserve">, </w:t>
      </w:r>
      <w:r>
        <w:rPr>
          <w:b/>
        </w:rPr>
        <w:t>A.2</w:t>
      </w:r>
      <w:r>
        <w:t>.</w:t>
      </w:r>
    </w:p>
    <w:p>
      <w:pPr>
        <w:pStyle w:val="ListBullet"/>
      </w:pPr>
      <w:r>
        <w:t xml:space="preserve">STC 150/1990: </w:t>
      </w:r>
      <w:r>
        <w:rPr>
          <w:b/>
        </w:rPr>
        <w:t>7.6</w:t>
      </w:r>
      <w:r>
        <w:t xml:space="preserve">, </w:t>
      </w:r>
      <w:r>
        <w:rPr>
          <w:b/>
        </w:rPr>
        <w:t>A.2</w:t>
      </w:r>
      <w:r>
        <w:t xml:space="preserve">, </w:t>
      </w:r>
      <w:r>
        <w:rPr>
          <w:b/>
        </w:rPr>
        <w:t>A.10</w:t>
      </w:r>
      <w:r>
        <w:t>.</w:t>
      </w:r>
    </w:p>
    <w:p>
      <w:pPr>
        <w:pStyle w:val="ListBullet"/>
      </w:pPr>
      <w:r>
        <w:t xml:space="preserve">STC 10/1991: </w:t>
      </w:r>
      <w:r>
        <w:rPr>
          <w:b/>
        </w:rPr>
        <w:t>10.7</w:t>
      </w:r>
      <w:r>
        <w:t>.</w:t>
      </w:r>
    </w:p>
    <w:p>
      <w:pPr>
        <w:pStyle w:val="ListBullet"/>
      </w:pPr>
      <w:r>
        <w:t xml:space="preserve">STC 145/1991: </w:t>
      </w:r>
      <w:r>
        <w:rPr>
          <w:b/>
        </w:rPr>
        <w:t>A.2</w:t>
      </w:r>
      <w:r>
        <w:t>.</w:t>
      </w:r>
    </w:p>
    <w:p>
      <w:pPr>
        <w:pStyle w:val="ListBullet"/>
      </w:pPr>
      <w:r>
        <w:t xml:space="preserve">STC 147/1991: </w:t>
      </w:r>
      <w:r>
        <w:rPr>
          <w:b/>
        </w:rPr>
        <w:t>A.9</w:t>
      </w:r>
      <w:r>
        <w:t>.</w:t>
      </w:r>
    </w:p>
    <w:p>
      <w:pPr>
        <w:pStyle w:val="ListBullet"/>
      </w:pPr>
      <w:r>
        <w:t xml:space="preserve">STC 149/1991: </w:t>
      </w:r>
      <w:r>
        <w:rPr>
          <w:b/>
        </w:rPr>
        <w:t>A.8</w:t>
      </w:r>
      <w:r>
        <w:t>.</w:t>
      </w:r>
    </w:p>
    <w:p>
      <w:pPr>
        <w:pStyle w:val="ListBullet"/>
      </w:pPr>
      <w:r>
        <w:t xml:space="preserve">STC 245/1991: </w:t>
      </w:r>
      <w:r>
        <w:rPr>
          <w:b/>
        </w:rPr>
        <w:t>A.2</w:t>
      </w:r>
      <w:r>
        <w:t>.</w:t>
      </w:r>
    </w:p>
    <w:p>
      <w:pPr>
        <w:pStyle w:val="ListBullet"/>
      </w:pPr>
      <w:r>
        <w:t xml:space="preserve">STC 66/1995: </w:t>
      </w:r>
      <w:r>
        <w:rPr>
          <w:b/>
        </w:rPr>
        <w:t>10.4</w:t>
      </w:r>
      <w:r>
        <w:t xml:space="preserve">, </w:t>
      </w:r>
      <w:r>
        <w:rPr>
          <w:b/>
        </w:rPr>
        <w:t>10.7</w:t>
      </w:r>
      <w:r>
        <w:t>.</w:t>
      </w:r>
    </w:p>
    <w:p>
      <w:pPr>
        <w:pStyle w:val="ListBullet"/>
      </w:pPr>
      <w:r>
        <w:t xml:space="preserve">STC 55/1996: </w:t>
      </w:r>
      <w:r>
        <w:rPr>
          <w:b/>
        </w:rPr>
        <w:t>10.4</w:t>
      </w:r>
      <w:r>
        <w:t xml:space="preserve">, </w:t>
      </w:r>
      <w:r>
        <w:rPr>
          <w:b/>
        </w:rPr>
        <w:t>10.7</w:t>
      </w:r>
      <w:r>
        <w:t>.</w:t>
      </w:r>
    </w:p>
    <w:p>
      <w:pPr>
        <w:pStyle w:val="ListBullet"/>
      </w:pPr>
      <w:r>
        <w:t xml:space="preserve">STC 118/1996: </w:t>
      </w:r>
      <w:r>
        <w:rPr>
          <w:b/>
        </w:rPr>
        <w:t>A.9</w:t>
      </w:r>
      <w:r>
        <w:t>.</w:t>
      </w:r>
    </w:p>
    <w:p>
      <w:pPr>
        <w:pStyle w:val="ListBullet"/>
      </w:pPr>
      <w:r>
        <w:t xml:space="preserve">STC 173/1996: </w:t>
      </w:r>
      <w:r>
        <w:rPr>
          <w:b/>
        </w:rPr>
        <w:t>A.1</w:t>
      </w:r>
      <w:r>
        <w:t>.</w:t>
      </w:r>
    </w:p>
    <w:p>
      <w:pPr>
        <w:pStyle w:val="ListBullet"/>
      </w:pPr>
      <w:r>
        <w:t xml:space="preserve">STC 207/1996: </w:t>
      </w:r>
      <w:r>
        <w:rPr>
          <w:b/>
        </w:rPr>
        <w:t>10.4</w:t>
      </w:r>
      <w:r>
        <w:t xml:space="preserve">, </w:t>
      </w:r>
      <w:r>
        <w:rPr>
          <w:b/>
        </w:rPr>
        <w:t>10.7</w:t>
      </w:r>
      <w:r>
        <w:t>.</w:t>
      </w:r>
    </w:p>
    <w:p>
      <w:pPr>
        <w:pStyle w:val="ListBullet"/>
      </w:pPr>
      <w:r>
        <w:t xml:space="preserve">STC 61/1997: </w:t>
      </w:r>
      <w:r>
        <w:rPr>
          <w:b/>
        </w:rPr>
        <w:t>A.9</w:t>
      </w:r>
      <w:r>
        <w:t>.</w:t>
      </w:r>
    </w:p>
    <w:p>
      <w:pPr>
        <w:pStyle w:val="ListBullet"/>
      </w:pPr>
      <w:r>
        <w:t xml:space="preserve">STC 182/1997: </w:t>
      </w:r>
      <w:r>
        <w:rPr>
          <w:b/>
        </w:rPr>
        <w:t>A.4</w:t>
      </w:r>
      <w:r>
        <w:t>.</w:t>
      </w:r>
    </w:p>
    <w:p>
      <w:pPr>
        <w:pStyle w:val="ListBullet"/>
      </w:pPr>
      <w:r>
        <w:t xml:space="preserve">STC 233/1999: </w:t>
      </w:r>
      <w:r>
        <w:rPr>
          <w:b/>
        </w:rPr>
        <w:t>A.2</w:t>
      </w:r>
      <w:r>
        <w:t>.</w:t>
      </w:r>
    </w:p>
    <w:p>
      <w:pPr>
        <w:pStyle w:val="ListBullet"/>
      </w:pPr>
      <w:r>
        <w:t xml:space="preserve">STC 105/2000: </w:t>
      </w:r>
      <w:r>
        <w:rPr>
          <w:b/>
        </w:rPr>
        <w:t>6.4</w:t>
      </w:r>
      <w:r>
        <w:t>.</w:t>
      </w:r>
    </w:p>
    <w:p>
      <w:pPr>
        <w:pStyle w:val="ListBullet"/>
      </w:pPr>
      <w:r>
        <w:t xml:space="preserve">STC 68/2001: </w:t>
      </w:r>
      <w:r>
        <w:rPr>
          <w:b/>
        </w:rPr>
        <w:t>A.5</w:t>
      </w:r>
      <w:r>
        <w:t>.</w:t>
      </w:r>
    </w:p>
    <w:p>
      <w:pPr>
        <w:pStyle w:val="ListBullet"/>
      </w:pPr>
      <w:r>
        <w:t xml:space="preserve">STC 5/2004: </w:t>
      </w:r>
      <w:r>
        <w:rPr>
          <w:b/>
        </w:rPr>
        <w:t>6.4</w:t>
      </w:r>
      <w:r>
        <w:t xml:space="preserve">, </w:t>
      </w:r>
      <w:r>
        <w:rPr>
          <w:b/>
        </w:rPr>
        <w:t>A.2</w:t>
      </w:r>
      <w:r>
        <w:t>.</w:t>
      </w:r>
    </w:p>
    <w:p>
      <w:pPr>
        <w:pStyle w:val="ListBullet"/>
      </w:pPr>
      <w:r>
        <w:t xml:space="preserve">STC 6/2004: </w:t>
      </w:r>
      <w:r>
        <w:rPr>
          <w:b/>
        </w:rPr>
        <w:t>A.2</w:t>
      </w:r>
      <w:r>
        <w:t>.</w:t>
      </w:r>
    </w:p>
    <w:p>
      <w:pPr>
        <w:pStyle w:val="ListBullet"/>
      </w:pPr>
      <w:r>
        <w:t xml:space="preserve">STC 166/2007: </w:t>
      </w:r>
      <w:r>
        <w:rPr>
          <w:b/>
        </w:rPr>
        <w:t>A.4</w:t>
      </w:r>
      <w:r>
        <w:t>.</w:t>
      </w:r>
    </w:p>
    <w:p>
      <w:pPr>
        <w:pStyle w:val="ListBullet"/>
      </w:pPr>
      <w:r>
        <w:t xml:space="preserve">STC 31/2010: </w:t>
      </w:r>
      <w:r>
        <w:rPr>
          <w:b/>
        </w:rPr>
        <w:t>A.9</w:t>
      </w:r>
      <w:r>
        <w:t>.</w:t>
      </w:r>
    </w:p>
    <w:p>
      <w:pPr>
        <w:pStyle w:val="ListBullet"/>
      </w:pPr>
      <w:r>
        <w:t xml:space="preserve">STC 163/2011: </w:t>
      </w:r>
      <w:r>
        <w:rPr>
          <w:b/>
        </w:rPr>
        <w:t>6.4</w:t>
      </w:r>
      <w:r>
        <w:t>.</w:t>
      </w:r>
    </w:p>
    <w:p>
      <w:pPr>
        <w:pStyle w:val="ListBullet"/>
      </w:pPr>
      <w:r>
        <w:t xml:space="preserve">STC 145/2012: </w:t>
      </w:r>
      <w:r>
        <w:rPr>
          <w:b/>
        </w:rPr>
        <w:t>11.3</w:t>
      </w:r>
      <w:r>
        <w:t>.</w:t>
      </w:r>
    </w:p>
    <w:p>
      <w:pPr>
        <w:pStyle w:val="ListBullet"/>
      </w:pPr>
      <w:r>
        <w:t xml:space="preserve">STC 198/2012: </w:t>
      </w:r>
      <w:r>
        <w:rPr>
          <w:b/>
        </w:rPr>
        <w:t>7.3</w:t>
      </w:r>
      <w:r>
        <w:t xml:space="preserve">, </w:t>
      </w:r>
      <w:r>
        <w:rPr>
          <w:b/>
        </w:rPr>
        <w:t>A.2</w:t>
      </w:r>
      <w:r>
        <w:t>.</w:t>
      </w:r>
    </w:p>
    <w:p>
      <w:pPr>
        <w:pStyle w:val="ListBullet"/>
      </w:pPr>
      <w:r>
        <w:t xml:space="preserve">STC 205/2013: </w:t>
      </w:r>
      <w:r>
        <w:rPr>
          <w:b/>
        </w:rPr>
        <w:t>A.7</w:t>
      </w:r>
      <w:r>
        <w:t>.</w:t>
      </w:r>
    </w:p>
    <w:p>
      <w:pPr>
        <w:pStyle w:val="ListBullet"/>
      </w:pPr>
      <w:r>
        <w:t xml:space="preserve">STC 26/2014: </w:t>
      </w:r>
      <w:r>
        <w:rPr>
          <w:b/>
        </w:rPr>
        <w:t>A.4</w:t>
      </w:r>
      <w:r>
        <w:t>.</w:t>
      </w:r>
    </w:p>
    <w:p>
      <w:pPr>
        <w:pStyle w:val="ListBullet"/>
      </w:pPr>
      <w:r>
        <w:t xml:space="preserve">STC 31/2015: </w:t>
      </w:r>
      <w:r>
        <w:rPr>
          <w:b/>
        </w:rPr>
        <w:t>7.3</w:t>
      </w:r>
      <w:r>
        <w:t xml:space="preserve">, </w:t>
      </w:r>
      <w:r>
        <w:rPr>
          <w:b/>
        </w:rPr>
        <w:t>A.1</w:t>
      </w:r>
      <w:r>
        <w:t>.</w:t>
      </w:r>
    </w:p>
    <w:p>
      <w:pPr>
        <w:pStyle w:val="ListBullet"/>
      </w:pPr>
      <w:r>
        <w:t xml:space="preserve">STC 49/2015: </w:t>
      </w:r>
      <w:r>
        <w:rPr>
          <w:b/>
        </w:rPr>
        <w:t>A.2</w:t>
      </w:r>
      <w:r>
        <w:t>.</w:t>
      </w:r>
    </w:p>
    <w:p>
      <w:pPr>
        <w:pStyle w:val="ListBullet"/>
      </w:pPr>
      <w:r>
        <w:t xml:space="preserve">STC 95/2015: </w:t>
      </w:r>
      <w:r>
        <w:rPr>
          <w:b/>
        </w:rPr>
        <w:t>A.2</w:t>
      </w:r>
      <w:r>
        <w:t>.</w:t>
      </w:r>
    </w:p>
    <w:p>
      <w:pPr>
        <w:pStyle w:val="ListBullet"/>
      </w:pPr>
      <w:r>
        <w:t xml:space="preserve">STC 4/2016: </w:t>
      </w:r>
      <w:r>
        <w:rPr>
          <w:b/>
        </w:rPr>
        <w:t>A.1</w:t>
      </w:r>
      <w:r>
        <w:t>.</w:t>
      </w:r>
    </w:p>
    <w:p>
      <w:pPr>
        <w:pStyle w:val="ListBullet"/>
      </w:pPr>
      <w:r>
        <w:t xml:space="preserve">STC 41/2016: </w:t>
      </w:r>
      <w:r>
        <w:rPr>
          <w:b/>
        </w:rPr>
        <w:t>A.9</w:t>
      </w:r>
      <w:r>
        <w:t>.</w:t>
      </w:r>
    </w:p>
    <w:p>
      <w:pPr>
        <w:pStyle w:val="ListBullet"/>
      </w:pPr>
      <w:r>
        <w:t xml:space="preserve">STC 104/2016: </w:t>
      </w:r>
      <w:r>
        <w:rPr>
          <w:b/>
        </w:rPr>
        <w:t>A.1</w:t>
      </w:r>
      <w:r>
        <w:t>.</w:t>
      </w:r>
    </w:p>
    <w:p>
      <w:pPr>
        <w:pStyle w:val="ListBullet"/>
      </w:pPr>
      <w:r>
        <w:t xml:space="preserve">STC 111/2016: </w:t>
      </w:r>
      <w:r>
        <w:rPr>
          <w:b/>
        </w:rPr>
        <w:t>A.9</w:t>
      </w:r>
      <w:r>
        <w:t>.</w:t>
      </w:r>
    </w:p>
    <w:p>
      <w:pPr>
        <w:pStyle w:val="ListBullet"/>
      </w:pPr>
      <w:r>
        <w:t xml:space="preserve">STC 185/2016: </w:t>
      </w:r>
      <w:r>
        <w:rPr>
          <w:b/>
        </w:rPr>
        <w:t>A.10</w:t>
      </w:r>
      <w:r>
        <w:t>.</w:t>
      </w:r>
    </w:p>
    <w:p>
      <w:pPr>
        <w:pStyle w:val="ListBullet"/>
      </w:pPr>
      <w:r>
        <w:t xml:space="preserve">STC 215/2016: </w:t>
      </w:r>
      <w:r>
        <w:rPr>
          <w:b/>
        </w:rPr>
        <w:t>A.10</w:t>
      </w:r>
      <w:r>
        <w:t>.</w:t>
      </w:r>
    </w:p>
    <w:p>
      <w:pPr>
        <w:pStyle w:val="ListBullet"/>
      </w:pPr>
      <w:r>
        <w:t xml:space="preserve">STC 51/2017: </w:t>
      </w:r>
      <w:r>
        <w:rPr>
          <w:b/>
        </w:rPr>
        <w:t>7.3</w:t>
      </w:r>
      <w:r>
        <w:t xml:space="preserve">, </w:t>
      </w:r>
      <w:r>
        <w:rPr>
          <w:b/>
        </w:rPr>
        <w:t>A.1</w:t>
      </w:r>
      <w:r>
        <w:t>.</w:t>
      </w:r>
    </w:p>
    <w:p>
      <w:pPr>
        <w:pStyle w:val="ListBullet"/>
      </w:pPr>
      <w:r>
        <w:t xml:space="preserve">STC 59/2017: </w:t>
      </w:r>
      <w:r>
        <w:rPr>
          <w:b/>
        </w:rPr>
        <w:t>10.4</w:t>
      </w:r>
      <w:r>
        <w:t>.</w:t>
      </w:r>
    </w:p>
    <w:p>
      <w:pPr>
        <w:pStyle w:val="ListBullet"/>
      </w:pPr>
      <w:r>
        <w:t xml:space="preserve">STC 73/2017: </w:t>
      </w:r>
      <w:r>
        <w:rPr>
          <w:b/>
        </w:rPr>
        <w:t>5.1</w:t>
      </w:r>
      <w:r>
        <w:t xml:space="preserve">, </w:t>
      </w:r>
      <w:r>
        <w:rPr>
          <w:b/>
        </w:rPr>
        <w:t>11.3</w:t>
      </w:r>
      <w:r>
        <w:t xml:space="preserve">, </w:t>
      </w:r>
      <w:r>
        <w:rPr>
          <w:b/>
        </w:rPr>
        <w:t>A.2</w:t>
      </w:r>
      <w:r>
        <w:t xml:space="preserve">, </w:t>
      </w:r>
      <w:r>
        <w:rPr>
          <w:b/>
        </w:rPr>
        <w:t>A.4</w:t>
      </w:r>
      <w:r>
        <w:t>.</w:t>
      </w:r>
    </w:p>
    <w:p>
      <w:pPr>
        <w:pStyle w:val="ListBullet"/>
      </w:pPr>
      <w:r>
        <w:t xml:space="preserve">STC 79/2017: </w:t>
      </w:r>
      <w:r>
        <w:rPr>
          <w:b/>
        </w:rPr>
        <w:t>A.9</w:t>
      </w:r>
      <w:r>
        <w:t>.</w:t>
      </w:r>
    </w:p>
    <w:p>
      <w:pPr>
        <w:pStyle w:val="ListBullet"/>
      </w:pPr>
      <w:r>
        <w:t xml:space="preserve">STC 111/2017: </w:t>
      </w:r>
      <w:r>
        <w:rPr>
          <w:b/>
        </w:rPr>
        <w:t>A.9</w:t>
      </w:r>
      <w:r>
        <w:t>.</w:t>
      </w:r>
    </w:p>
    <w:p>
      <w:pPr>
        <w:pStyle w:val="ListBullet"/>
      </w:pPr>
      <w:r>
        <w:t xml:space="preserve">STC 114/2017: </w:t>
      </w:r>
      <w:r>
        <w:rPr>
          <w:b/>
        </w:rPr>
        <w:t>7.3</w:t>
      </w:r>
      <w:r>
        <w:t xml:space="preserve">, </w:t>
      </w:r>
      <w:r>
        <w:rPr>
          <w:b/>
        </w:rPr>
        <w:t>A.1</w:t>
      </w:r>
      <w:r>
        <w:t>.</w:t>
      </w:r>
    </w:p>
    <w:p>
      <w:pPr>
        <w:pStyle w:val="ListBullet"/>
      </w:pPr>
      <w:r>
        <w:t xml:space="preserve">STC 45/2018: </w:t>
      </w:r>
      <w:r>
        <w:rPr>
          <w:b/>
        </w:rPr>
        <w:t>A.1</w:t>
      </w:r>
      <w:r>
        <w:t>.</w:t>
      </w:r>
    </w:p>
    <w:p>
      <w:pPr>
        <w:pStyle w:val="ListBullet"/>
      </w:pPr>
      <w:r>
        <w:t xml:space="preserve">STC 51/2018: </w:t>
      </w:r>
      <w:r>
        <w:rPr>
          <w:b/>
        </w:rPr>
        <w:t>A.1</w:t>
      </w:r>
      <w:r>
        <w:t>.</w:t>
      </w:r>
    </w:p>
    <w:p>
      <w:pPr>
        <w:pStyle w:val="ListBullet"/>
      </w:pPr>
      <w:r>
        <w:t xml:space="preserve">STC 61/2018: </w:t>
      </w:r>
      <w:r>
        <w:rPr>
          <w:b/>
        </w:rPr>
        <w:t>11.3</w:t>
      </w:r>
      <w:r>
        <w:t xml:space="preserve">, </w:t>
      </w:r>
      <w:r>
        <w:rPr>
          <w:b/>
        </w:rPr>
        <w:t>A.4</w:t>
      </w:r>
      <w:r>
        <w:t>.</w:t>
      </w:r>
    </w:p>
    <w:p>
      <w:pPr>
        <w:pStyle w:val="ListBullet"/>
      </w:pPr>
      <w:r>
        <w:t xml:space="preserve">STC 124/2018: </w:t>
      </w:r>
      <w:r>
        <w:rPr>
          <w:b/>
        </w:rPr>
        <w:t>A.5</w:t>
      </w:r>
      <w:r>
        <w:t>.</w:t>
      </w:r>
    </w:p>
    <w:p>
      <w:pPr>
        <w:pStyle w:val="ListBullet"/>
      </w:pPr>
      <w:r>
        <w:t xml:space="preserve">STC 32/2019: </w:t>
      </w:r>
      <w:r>
        <w:rPr>
          <w:b/>
        </w:rPr>
        <w:t>A.2</w:t>
      </w:r>
      <w:r>
        <w:t>.</w:t>
      </w:r>
    </w:p>
    <w:p>
      <w:pPr>
        <w:pStyle w:val="ListBullet"/>
      </w:pPr>
      <w:r>
        <w:t xml:space="preserve">STC 89/2019: </w:t>
      </w:r>
      <w:r>
        <w:rPr>
          <w:b/>
        </w:rPr>
        <w:t>A.1</w:t>
      </w:r>
      <w:r>
        <w:t>.</w:t>
      </w:r>
    </w:p>
    <w:p>
      <w:pPr>
        <w:pStyle w:val="ListBullet"/>
      </w:pPr>
      <w:r>
        <w:t xml:space="preserve">STC 90/2019: </w:t>
      </w:r>
      <w:r>
        <w:rPr>
          <w:b/>
        </w:rPr>
        <w:t>A.1</w:t>
      </w:r>
      <w:r>
        <w:t>.</w:t>
      </w:r>
    </w:p>
    <w:p>
      <w:pPr>
        <w:pStyle w:val="ListBullet"/>
      </w:pPr>
      <w:r>
        <w:t xml:space="preserve">STC 98/2019: </w:t>
      </w:r>
      <w:r>
        <w:rPr>
          <w:b/>
        </w:rPr>
        <w:t>A.3</w:t>
      </w:r>
      <w:r>
        <w:t>.</w:t>
      </w:r>
    </w:p>
    <w:p>
      <w:pPr>
        <w:pStyle w:val="ListBullet"/>
      </w:pPr>
      <w:r>
        <w:t xml:space="preserve">STC 108/2019: </w:t>
      </w:r>
      <w:r>
        <w:rPr>
          <w:b/>
        </w:rPr>
        <w:t>A.2</w:t>
      </w:r>
      <w:r>
        <w:t>.</w:t>
      </w:r>
    </w:p>
    <w:p>
      <w:pPr>
        <w:pStyle w:val="ListBullet"/>
      </w:pPr>
      <w:r>
        <w:t xml:space="preserve">STC 126/2019: </w:t>
      </w:r>
      <w:r>
        <w:rPr>
          <w:b/>
        </w:rPr>
        <w:t>7.6</w:t>
      </w:r>
      <w:r>
        <w:t xml:space="preserve">, </w:t>
      </w:r>
      <w:r>
        <w:rPr>
          <w:b/>
        </w:rPr>
        <w:t>A.2</w:t>
      </w:r>
      <w:r>
        <w:t>.</w:t>
      </w:r>
    </w:p>
    <w:p>
      <w:pPr>
        <w:pStyle w:val="ListBullet"/>
      </w:pPr>
      <w:r>
        <w:t xml:space="preserve">STC 14/2020: </w:t>
      </w:r>
      <w:r>
        <w:rPr>
          <w:b/>
        </w:rPr>
        <w:t>A.4</w:t>
      </w:r>
      <w:r>
        <w:t>.</w:t>
      </w:r>
    </w:p>
    <w:p>
      <w:pPr>
        <w:pStyle w:val="ListBullet"/>
      </w:pPr>
      <w:r>
        <w:t xml:space="preserve">STC 79/2020: </w:t>
      </w:r>
      <w:r>
        <w:rPr>
          <w:b/>
        </w:rPr>
        <w:t>A.2</w:t>
      </w:r>
      <w:r>
        <w:t>.</w:t>
      </w:r>
    </w:p>
    <w:p>
      <w:pPr>
        <w:pStyle w:val="ListBullet"/>
      </w:pPr>
      <w:r>
        <w:t xml:space="preserve">STC 172/2020: </w:t>
      </w:r>
      <w:r>
        <w:rPr>
          <w:b/>
        </w:rPr>
        <w:t>7.3</w:t>
      </w:r>
      <w:r>
        <w:t xml:space="preserve">, </w:t>
      </w:r>
      <w:r>
        <w:rPr>
          <w:b/>
        </w:rPr>
        <w:t>A.2</w:t>
      </w:r>
      <w:r>
        <w:t>.</w:t>
      </w:r>
    </w:p>
    <w:p>
      <w:pPr>
        <w:pStyle w:val="ListBullet"/>
      </w:pPr>
      <w:r>
        <w:t xml:space="preserve">STC 73/2021: </w:t>
      </w:r>
      <w:r>
        <w:rPr>
          <w:b/>
        </w:rPr>
        <w:t>A.2</w:t>
      </w:r>
      <w:r>
        <w:t>.</w:t>
      </w:r>
    </w:p>
    <w:p>
      <w:pPr>
        <w:pStyle w:val="ListBullet"/>
      </w:pPr>
      <w:r>
        <w:t xml:space="preserve">STC 148/2021: </w:t>
      </w:r>
      <w:r>
        <w:rPr>
          <w:b/>
        </w:rPr>
        <w:t>7.2</w:t>
      </w:r>
      <w:r>
        <w:t xml:space="preserve">, </w:t>
      </w:r>
      <w:r>
        <w:rPr>
          <w:b/>
        </w:rPr>
        <w:t>8.5</w:t>
      </w:r>
      <w:r>
        <w:t xml:space="preserve">, </w:t>
      </w:r>
      <w:r>
        <w:rPr>
          <w:b/>
        </w:rPr>
        <w:t>10.7</w:t>
      </w:r>
      <w:r>
        <w:t xml:space="preserve">, </w:t>
      </w:r>
      <w:r>
        <w:rPr>
          <w:b/>
        </w:rPr>
        <w:t>A.2</w:t>
      </w:r>
      <w:r>
        <w:t xml:space="preserve">, </w:t>
      </w:r>
      <w:r>
        <w:rPr>
          <w:b/>
        </w:rPr>
        <w:t>A.6</w:t>
      </w:r>
      <w:r>
        <w:t>.</w:t>
      </w:r>
    </w:p>
    <w:p>
      <w:pPr>
        <w:pStyle w:val="ListBullet"/>
      </w:pPr>
      <w:r>
        <w:t xml:space="preserve">STC 169/2021: </w:t>
      </w:r>
      <w:r>
        <w:rPr>
          <w:b/>
        </w:rPr>
        <w:t>7.3</w:t>
      </w:r>
      <w:r>
        <w:t xml:space="preserve">, </w:t>
      </w:r>
      <w:r>
        <w:rPr>
          <w:b/>
        </w:rPr>
        <w:t>A.2</w:t>
      </w:r>
      <w:r>
        <w:t>.</w:t>
      </w:r>
    </w:p>
    <w:p>
      <w:pPr>
        <w:pStyle w:val="ListBullet"/>
      </w:pPr>
      <w:r>
        <w:t xml:space="preserve">STC 182/2021: </w:t>
      </w:r>
      <w:r>
        <w:rPr>
          <w:b/>
        </w:rPr>
        <w:t>5.1</w:t>
      </w:r>
      <w:r>
        <w:t xml:space="preserve">, </w:t>
      </w:r>
      <w:r>
        <w:rPr>
          <w:b/>
        </w:rPr>
        <w:t>7.2</w:t>
      </w:r>
      <w:r>
        <w:t xml:space="preserve">, </w:t>
      </w:r>
      <w:r>
        <w:rPr>
          <w:b/>
        </w:rPr>
        <w:t>10.4</w:t>
      </w:r>
      <w:r>
        <w:t xml:space="preserve">, </w:t>
      </w:r>
      <w:r>
        <w:rPr>
          <w:b/>
        </w:rPr>
        <w:t>A.2</w:t>
      </w:r>
      <w:r>
        <w:t>.</w:t>
      </w:r>
    </w:p>
    <w:p>
      <w:pPr>
        <w:pStyle w:val="ListBullet"/>
      </w:pPr>
      <w:r>
        <w:t xml:space="preserve">STC 183/2021: </w:t>
      </w:r>
      <w:r>
        <w:rPr>
          <w:b/>
        </w:rPr>
        <w:t>7.2</w:t>
      </w:r>
      <w:r>
        <w:t xml:space="preserve">, </w:t>
      </w:r>
      <w:r>
        <w:rPr>
          <w:b/>
        </w:rPr>
        <w:t>A.2</w:t>
      </w:r>
      <w:r>
        <w:t xml:space="preserve">, </w:t>
      </w:r>
      <w:r>
        <w:rPr>
          <w:b/>
        </w:rPr>
        <w:t>A.6</w:t>
      </w:r>
      <w:r>
        <w:t>.</w:t>
      </w:r>
    </w:p>
    <w:p>
      <w:pPr>
        <w:pStyle w:val="ListBullet"/>
      </w:pPr>
      <w:r>
        <w:t xml:space="preserve">STC 2/2022: </w:t>
      </w:r>
      <w:r>
        <w:rPr>
          <w:b/>
        </w:rPr>
        <w:t>A.2</w:t>
      </w:r>
      <w:r>
        <w:t>.</w:t>
      </w:r>
    </w:p>
    <w:p>
      <w:pPr>
        <w:pStyle w:val="ListBullet"/>
      </w:pPr>
      <w:r>
        <w:t xml:space="preserve">STC 49/2022: </w:t>
      </w:r>
      <w:r>
        <w:rPr>
          <w:b/>
        </w:rPr>
        <w:t>A.2</w:t>
      </w:r>
      <w:r>
        <w:t>.</w:t>
      </w:r>
    </w:p>
    <w:p>
      <w:pPr>
        <w:pStyle w:val="ListBullet"/>
      </w:pPr>
      <w:r>
        <w:t xml:space="preserve">STC 103/2022: </w:t>
      </w:r>
      <w:r>
        <w:rPr>
          <w:b/>
        </w:rPr>
        <w:t>A.2</w:t>
      </w:r>
      <w:r>
        <w:t>.</w:t>
      </w:r>
    </w:p>
    <w:p>
      <w:pPr>
        <w:pStyle w:val="ListBullet"/>
      </w:pPr>
      <w:r>
        <w:t xml:space="preserve">STC 125/2022: </w:t>
      </w:r>
      <w:r>
        <w:rPr>
          <w:b/>
        </w:rPr>
        <w:t>10.7</w:t>
      </w:r>
      <w:r>
        <w:t>.</w:t>
      </w:r>
    </w:p>
    <w:p>
      <w:pPr>
        <w:pStyle w:val="ListBullet"/>
      </w:pPr>
      <w:r>
        <w:t xml:space="preserve">STC 9/2023: </w:t>
      </w:r>
      <w:r>
        <w:rPr>
          <w:b/>
        </w:rPr>
        <w:t>A.4</w:t>
      </w:r>
      <w:r>
        <w:t>.</w:t>
      </w:r>
    </w:p>
    <w:p>
      <w:pPr>
        <w:pStyle w:val="ListBullet"/>
      </w:pPr>
      <w:r>
        <w:t xml:space="preserve">STC 17/2023: </w:t>
      </w:r>
      <w:r>
        <w:rPr>
          <w:b/>
        </w:rPr>
        <w:t>A.4</w:t>
      </w:r>
      <w:r>
        <w:t>.</w:t>
      </w:r>
    </w:p>
    <w:p>
      <w:pPr>
        <w:pStyle w:val="ListBullet"/>
      </w:pPr>
      <w:r>
        <w:t xml:space="preserve">STC 49/2023: </w:t>
      </w:r>
      <w:r>
        <w:rPr>
          <w:b/>
        </w:rPr>
        <w:t>7.3</w:t>
      </w:r>
      <w:r>
        <w:t>.</w:t>
      </w:r>
    </w:p>
    <w:p>
      <w:pPr>
        <w:pStyle w:val="ListBullet"/>
      </w:pPr>
      <w:r>
        <w:t xml:space="preserve">STC 94/2023: </w:t>
      </w:r>
      <w:r>
        <w:rPr>
          <w:b/>
        </w:rPr>
        <w:t>A.4</w:t>
      </w:r>
      <w:r>
        <w:t>.</w:t>
      </w:r>
    </w:p>
    <w:p>
      <w:pPr>
        <w:pStyle w:val="ListBullet"/>
      </w:pPr>
      <w:r>
        <w:t xml:space="preserve">STC 128/2023: </w:t>
      </w:r>
      <w:r>
        <w:rPr>
          <w:b/>
        </w:rPr>
        <w:t>A.4</w:t>
      </w:r>
      <w:r>
        <w:t xml:space="preserve">, </w:t>
      </w:r>
      <w:r>
        <w:rPr>
          <w:b/>
        </w:rPr>
        <w:t>A.10</w:t>
      </w:r>
      <w:r>
        <w:t>.</w:t>
      </w:r>
    </w:p>
    <w:p>
      <w:pPr>
        <w:pStyle w:val="ListBullet"/>
      </w:pPr>
      <w:r>
        <w:t xml:space="preserve">STC 149/2023: </w:t>
      </w:r>
      <w:r>
        <w:rPr>
          <w:b/>
        </w:rPr>
        <w:t>A.8</w:t>
      </w:r>
      <w:r>
        <w:t>.</w:t>
      </w:r>
    </w:p>
    <w:p>
      <w:pPr>
        <w:pStyle w:val="ListBullet"/>
      </w:pPr>
      <w:r>
        <w:t xml:space="preserve">STC 31/2024: </w:t>
      </w:r>
      <w:r>
        <w:rPr>
          <w:b/>
        </w:rPr>
        <w:t>A.4</w:t>
      </w:r>
      <w:r>
        <w:t>.</w:t>
      </w:r>
    </w:p>
    <w:p>
      <w:pPr>
        <w:pStyle w:val="ListBullet"/>
      </w:pPr>
      <w:r>
        <w:t xml:space="preserve">STC 45/2024: </w:t>
      </w:r>
      <w:r>
        <w:rPr>
          <w:b/>
        </w:rPr>
        <w:t>A.4</w:t>
      </w:r>
      <w:r>
        <w:t>.</w:t>
      </w:r>
    </w:p>
    <w:p>
      <w:pPr>
        <w:pStyle w:val="ListBullet"/>
      </w:pPr>
      <w:r>
        <w:t xml:space="preserve">STC 79/2024: </w:t>
      </w:r>
      <w:r>
        <w:rPr>
          <w:b/>
        </w:rPr>
        <w:t>A.2</w:t>
      </w:r>
      <w:r>
        <w:t xml:space="preserve">, </w:t>
      </w:r>
      <w:r>
        <w:rPr>
          <w:b/>
        </w:rPr>
        <w:t>A.9</w:t>
      </w:r>
      <w:r>
        <w:t>.</w:t>
      </w:r>
    </w:p>
    <w:p>
      <w:pPr>
        <w:pStyle w:val="ListBullet"/>
      </w:pPr>
      <w:r>
        <w:t xml:space="preserve">STC 85/2024: </w:t>
      </w:r>
      <w:r>
        <w:rPr>
          <w:b/>
        </w:rPr>
        <w:t>A.2</w:t>
      </w:r>
      <w:r>
        <w:t>.</w:t>
      </w:r>
    </w:p>
    <w:p>
      <w:pPr>
        <w:pStyle w:val="ListBullet"/>
      </w:pPr>
      <w:r>
        <w:t xml:space="preserve">STC 139/2024: </w:t>
      </w:r>
      <w:r>
        <w:rPr>
          <w:b/>
        </w:rPr>
        <w:t>A.4</w:t>
      </w:r>
      <w:r>
        <w:t xml:space="preserve">, </w:t>
      </w:r>
      <w:r>
        <w:rPr>
          <w:b/>
        </w:rPr>
        <w:t>A.10</w:t>
      </w:r>
      <w:r>
        <w:t>.</w:t>
      </w:r>
    </w:p>
    <w:p>
      <w:pPr>
        <w:pStyle w:val="ListBullet"/>
      </w:pPr>
      <w:r>
        <w:t xml:space="preserve">STC 153/2024: </w:t>
      </w:r>
      <w:r>
        <w:rPr>
          <w:b/>
        </w:rPr>
        <w:t>A.10</w:t>
      </w:r>
      <w:r>
        <w:t>.</w:t>
      </w:r>
    </w:p>
    <w:p>
      <w:pPr>
        <w:pStyle w:val="ListBullet"/>
      </w:pPr>
      <w:r>
        <w:t xml:space="preserve">STC 26/2025: </w:t>
      </w:r>
      <w:r>
        <w:rPr>
          <w:b/>
        </w:rPr>
        <w:t>A.9</w:t>
      </w:r>
      <w:r>
        <w:t>.</w:t>
      </w:r>
    </w:p>
    <w:p>
      <w:pPr>
        <w:pStyle w:val="ListBullet"/>
      </w:pPr>
      <w:r>
        <w:t xml:space="preserve">STC 121/2025: </w:t>
      </w:r>
      <w:r>
        <w:rPr>
          <w:b/>
        </w:rPr>
        <w:t>10.4</w:t>
      </w:r>
      <w:r>
        <w:t>.</w:t>
      </w:r>
    </w:p>
    <w:p>
      <w:pPr>
        <w:pStyle w:val="ListBullet"/>
      </w:pPr>
      <w:r>
        <w:t xml:space="preserve">STC 137/2025: </w:t>
      </w:r>
      <w:r>
        <w:rPr>
          <w:b/>
        </w:rPr>
        <w:t>7.2</w:t>
      </w:r>
      <w:r>
        <w:t xml:space="preserve">, </w:t>
      </w:r>
      <w:r>
        <w:rPr>
          <w:b/>
        </w:rPr>
        <w:t>H.10</w:t>
      </w:r>
      <w:r>
        <w:t>.</w:t>
      </w:r>
    </w:p>
    <w:p>
      <w:pPr>
        <w:pStyle w:val="ListBullet"/>
      </w:pPr>
      <w:r>
        <w:t xml:space="preserve">STC 164/2025: </w:t>
      </w:r>
      <w:r>
        <w:rPr>
          <w:b/>
        </w:rPr>
        <w:t>7.2</w:t>
      </w:r>
      <w:r>
        <w:t>.</w:t>
      </w:r>
    </w:p>
    <w:p>
      <w:pPr>
        <w:pStyle w:val="ListBullet"/>
      </w:pPr>
      <w:r>
        <w:t xml:space="preserve">STC 184/2025: </w:t>
      </w:r>
      <w:r>
        <w:rPr>
          <w:b/>
        </w:rPr>
        <w:t>10.4</w:t>
      </w:r>
      <w:r>
        <w:t>.</w:t>
      </w:r>
    </w:p>
    <w:p>
      <w:pPr>
        <w:pStyle w:val="ListBullet"/>
      </w:pPr>
      <w:r>
        <w:t xml:space="preserve">STC 190/2025: </w:t>
      </w:r>
      <w:r>
        <w:rPr>
          <w:b/>
        </w:rPr>
        <w:t>A.9</w:t>
      </w:r>
      <w:r>
        <w:t>.</w:t>
      </w:r>
    </w:p>
    <w:p>
      <w:pPr>
        <w:pStyle w:val="ListBullet"/>
      </w:pPr>
      <w:r>
        <w:t xml:space="preserve">STC 17/2026: </w:t>
      </w:r>
      <w:r>
        <w:rPr>
          <w:b/>
        </w:rPr>
        <w:t>A.2</w:t>
      </w:r>
      <w:r>
        <w:t xml:space="preserve">, </w:t>
      </w:r>
      <w:r>
        <w:rPr>
          <w:b/>
        </w:rPr>
        <w:t>A.9</w:t>
      </w:r>
      <w:r>
        <w:t>.</w:t>
      </w:r>
    </w:p>
    <w:p>
      <w:pPr>
        <w:pStyle w:val="ListBullet"/>
      </w:pPr>
      <w:r>
        <w:t xml:space="preserve">STC 21/2026: </w:t>
      </w:r>
      <w:r>
        <w:rPr>
          <w:b/>
        </w:rPr>
        <w:t>A.2</w:t>
      </w:r>
      <w:r>
        <w:t>.</w:t>
      </w:r>
    </w:p>
    <w:p>
      <w:pPr>
        <w:pStyle w:val="ListBullet"/>
      </w:pPr>
      <w:r>
        <w:t xml:space="preserve">STC 44/2026: </w:t>
      </w:r>
      <w:r>
        <w:rPr>
          <w:b/>
        </w:rPr>
        <w:t>A.9</w:t>
      </w:r>
      <w:r>
        <w:t>.</w:t>
      </w:r>
    </w:p>
    <w:p>
      <w:pPr>
        <w:pStyle w:val="ListBullet"/>
      </w:pPr>
      <w:r>
        <w:t xml:space="preserve">Tribunal Constitucional, Auto 177/2022 (BOE-A-2023-1773): </w:t>
      </w:r>
      <w:r>
        <w:rPr>
          <w:b/>
        </w:rPr>
        <w:t>A.10</w:t>
      </w:r>
      <w:r>
        <w:t>.</w:t>
      </w:r>
    </w:p>
    <w:p>
      <w:pPr>
        <w:pStyle w:val="ListBullet"/>
      </w:pPr>
      <w:r>
        <w:t xml:space="preserve">Tribunal Constitucional, conflicto entre órganos n.º 9110-2024: </w:t>
      </w:r>
      <w:r>
        <w:rPr>
          <w:b/>
        </w:rPr>
        <w:t>A.4</w:t>
      </w:r>
      <w:r>
        <w:t>.</w:t>
      </w:r>
    </w:p>
    <w:p>
      <w:pPr>
        <w:pStyle w:val="ListBullet"/>
      </w:pPr>
      <w:r>
        <w:t xml:space="preserve">Tribunal Constitucional, Declaración 1/2025: </w:t>
      </w:r>
      <w:r>
        <w:rPr>
          <w:b/>
        </w:rPr>
        <w:t>A.4</w:t>
      </w:r>
      <w:r>
        <w:t>.</w:t>
      </w:r>
    </w:p>
    <w:p>
      <w:pPr>
        <w:pStyle w:val="ListBullet"/>
      </w:pPr>
      <w:r>
        <w:t xml:space="preserve">Tribunal Constitucional, declaración de 23-IX-2026: </w:t>
      </w:r>
      <w:r>
        <w:rPr>
          <w:b/>
        </w:rPr>
        <w:t>A.4</w:t>
      </w:r>
      <w:r>
        <w:t>.</w:t>
      </w:r>
    </w:p>
    <w:p>
      <w:pPr>
        <w:pStyle w:val="ListBullet"/>
      </w:pPr>
      <w:r>
        <w:t xml:space="preserve">Tribunal Constitucional, sentencias de 23-X-2013 y 25-VI-2015: </w:t>
      </w:r>
      <w:r>
        <w:rPr>
          <w:b/>
        </w:rPr>
        <w:t>A.2</w:t>
      </w:r>
      <w:r>
        <w:t>.</w:t>
      </w:r>
    </w:p>
    <w:p>
      <w:pPr>
        <w:pStyle w:val="ListBullet"/>
      </w:pPr>
      <w:r>
        <w:t xml:space="preserve">STS 2/1998: </w:t>
      </w:r>
      <w:r>
        <w:rPr>
          <w:b/>
        </w:rPr>
        <w:t>A.5</w:t>
      </w:r>
      <w:r>
        <w:t>.</w:t>
      </w:r>
    </w:p>
    <w:p>
      <w:pPr>
        <w:pStyle w:val="ListBullet"/>
      </w:pPr>
      <w:r>
        <w:t xml:space="preserve">STS 279/2003: </w:t>
      </w:r>
      <w:r>
        <w:rPr>
          <w:b/>
        </w:rPr>
        <w:t>A.7</w:t>
      </w:r>
      <w:r>
        <w:t>.</w:t>
      </w:r>
    </w:p>
    <w:p>
      <w:pPr>
        <w:pStyle w:val="ListBullet"/>
      </w:pPr>
      <w:r>
        <w:t xml:space="preserve">STS 1045/2007: </w:t>
      </w:r>
      <w:r>
        <w:rPr>
          <w:b/>
        </w:rPr>
        <w:t>A.7</w:t>
      </w:r>
      <w:r>
        <w:t>.</w:t>
      </w:r>
    </w:p>
    <w:p>
      <w:pPr>
        <w:pStyle w:val="ListBullet"/>
      </w:pPr>
      <w:r>
        <w:t xml:space="preserve">STS 54/2008: </w:t>
      </w:r>
      <w:r>
        <w:rPr>
          <w:b/>
        </w:rPr>
        <w:t>A.7</w:t>
      </w:r>
      <w:r>
        <w:t>.</w:t>
      </w:r>
    </w:p>
    <w:p>
      <w:pPr>
        <w:pStyle w:val="ListBullet"/>
      </w:pPr>
      <w:r>
        <w:t xml:space="preserve">STS 241/2013: </w:t>
      </w:r>
      <w:r>
        <w:rPr>
          <w:b/>
        </w:rPr>
        <w:t>A.2</w:t>
      </w:r>
      <w:r>
        <w:t xml:space="preserve">, </w:t>
      </w:r>
      <w:r>
        <w:rPr>
          <w:b/>
        </w:rPr>
        <w:t>H.10</w:t>
      </w:r>
      <w:r>
        <w:t>.</w:t>
      </w:r>
    </w:p>
    <w:p>
      <w:pPr>
        <w:pStyle w:val="ListBullet"/>
      </w:pPr>
      <w:r>
        <w:t xml:space="preserve">STS 1978/2017: </w:t>
      </w:r>
      <w:r>
        <w:rPr>
          <w:b/>
        </w:rPr>
        <w:t>8.5</w:t>
      </w:r>
      <w:r>
        <w:t>.</w:t>
      </w:r>
    </w:p>
    <w:p>
      <w:pPr>
        <w:pStyle w:val="ListBullet"/>
      </w:pPr>
      <w:r>
        <w:t xml:space="preserve">STS 184/2018: </w:t>
      </w:r>
      <w:r>
        <w:rPr>
          <w:b/>
        </w:rPr>
        <w:t>8.5</w:t>
      </w:r>
      <w:r>
        <w:t>.</w:t>
      </w:r>
    </w:p>
    <w:p>
      <w:pPr>
        <w:pStyle w:val="ListBullet"/>
      </w:pPr>
      <w:r>
        <w:t xml:space="preserve">STS 459/2019: </w:t>
      </w:r>
      <w:r>
        <w:rPr>
          <w:b/>
        </w:rPr>
        <w:t>A.4</w:t>
      </w:r>
      <w:r>
        <w:t>.</w:t>
      </w:r>
    </w:p>
    <w:p>
      <w:pPr>
        <w:pStyle w:val="ListBullet"/>
      </w:pPr>
      <w:r>
        <w:t xml:space="preserve">STS 1484/2019: </w:t>
      </w:r>
      <w:r>
        <w:rPr>
          <w:b/>
        </w:rPr>
        <w:t>A.7</w:t>
      </w:r>
      <w:r>
        <w:t>.</w:t>
      </w:r>
    </w:p>
    <w:p>
      <w:pPr>
        <w:pStyle w:val="ListBullet"/>
      </w:pPr>
      <w:r>
        <w:t xml:space="preserve">STS 572/2021: </w:t>
      </w:r>
      <w:r>
        <w:rPr>
          <w:b/>
        </w:rPr>
        <w:t>A.4</w:t>
      </w:r>
      <w:r>
        <w:t>.</w:t>
      </w:r>
    </w:p>
    <w:p>
      <w:pPr>
        <w:pStyle w:val="ListBullet"/>
      </w:pPr>
      <w:r>
        <w:t xml:space="preserve">STS 932/2021: </w:t>
      </w:r>
      <w:r>
        <w:rPr>
          <w:b/>
        </w:rPr>
        <w:t>10.4</w:t>
      </w:r>
      <w:r>
        <w:t>.</w:t>
      </w:r>
    </w:p>
    <w:p>
      <w:pPr>
        <w:pStyle w:val="ListBullet"/>
      </w:pPr>
      <w:r>
        <w:t xml:space="preserve">STS 162/2022: </w:t>
      </w:r>
      <w:r>
        <w:rPr>
          <w:b/>
        </w:rPr>
        <w:t>A.7</w:t>
      </w:r>
      <w:r>
        <w:t>.</w:t>
      </w:r>
    </w:p>
    <w:p>
      <w:pPr>
        <w:pStyle w:val="ListBullet"/>
      </w:pPr>
      <w:r>
        <w:t xml:space="preserve">STS 291/2022: </w:t>
      </w:r>
      <w:r>
        <w:rPr>
          <w:b/>
        </w:rPr>
        <w:t>11.3</w:t>
      </w:r>
      <w:r>
        <w:t>.</w:t>
      </w:r>
    </w:p>
    <w:p>
      <w:pPr>
        <w:pStyle w:val="ListBullet"/>
      </w:pPr>
      <w:r>
        <w:t xml:space="preserve">STS 132/2023: </w:t>
      </w:r>
      <w:r>
        <w:rPr>
          <w:b/>
        </w:rPr>
        <w:t>A.4</w:t>
      </w:r>
      <w:r>
        <w:t>.</w:t>
      </w:r>
    </w:p>
    <w:p>
      <w:pPr>
        <w:pStyle w:val="ListBullet"/>
      </w:pPr>
      <w:r>
        <w:t xml:space="preserve">STS 444/2023: </w:t>
      </w:r>
      <w:r>
        <w:rPr>
          <w:b/>
        </w:rPr>
        <w:t>A.4</w:t>
      </w:r>
      <w:r>
        <w:t>.</w:t>
      </w:r>
    </w:p>
    <w:p>
      <w:pPr>
        <w:pStyle w:val="ListBullet"/>
      </w:pPr>
      <w:r>
        <w:t xml:space="preserve">STS 1182/2024: </w:t>
      </w:r>
      <w:r>
        <w:rPr>
          <w:b/>
        </w:rPr>
        <w:t>10.4</w:t>
      </w:r>
      <w:r>
        <w:t>.</w:t>
      </w:r>
    </w:p>
    <w:p>
      <w:pPr>
        <w:pStyle w:val="ListBullet"/>
      </w:pPr>
      <w:r>
        <w:t xml:space="preserve">STS 1264/2024: </w:t>
      </w:r>
      <w:r>
        <w:rPr>
          <w:b/>
        </w:rPr>
        <w:t>A.5</w:t>
      </w:r>
      <w:r>
        <w:t>.</w:t>
      </w:r>
    </w:p>
    <w:p>
      <w:pPr>
        <w:pStyle w:val="ListBullet"/>
      </w:pPr>
      <w:r>
        <w:t xml:space="preserve">STS 1000/2025: </w:t>
      </w:r>
      <w:r>
        <w:rPr>
          <w:b/>
        </w:rPr>
        <w:t>A.7</w:t>
      </w:r>
      <w:r>
        <w:t>.</w:t>
      </w:r>
    </w:p>
    <w:p>
      <w:pPr>
        <w:pStyle w:val="ListBullet"/>
      </w:pPr>
      <w:r>
        <w:t xml:space="preserve">STS 1008/2025: </w:t>
      </w:r>
      <w:r>
        <w:rPr>
          <w:b/>
        </w:rPr>
        <w:t>A.3</w:t>
      </w:r>
      <w:r>
        <w:t>.</w:t>
      </w:r>
    </w:p>
    <w:p>
      <w:pPr>
        <w:pStyle w:val="ListBullet"/>
      </w:pPr>
      <w:r>
        <w:t xml:space="preserve">STS 1063/2025: </w:t>
      </w:r>
      <w:r>
        <w:rPr>
          <w:b/>
        </w:rPr>
        <w:t>10.4</w:t>
      </w:r>
      <w:r>
        <w:t>.</w:t>
      </w:r>
    </w:p>
    <w:p>
      <w:pPr>
        <w:pStyle w:val="ListBullet"/>
      </w:pPr>
      <w:r>
        <w:t xml:space="preserve">STS 1119/2025: </w:t>
      </w:r>
      <w:r>
        <w:rPr>
          <w:b/>
        </w:rPr>
        <w:t>8.5</w:t>
      </w:r>
      <w:r>
        <w:t>.</w:t>
      </w:r>
    </w:p>
    <w:p>
      <w:pPr>
        <w:pStyle w:val="ListBullet"/>
      </w:pPr>
      <w:r>
        <w:t xml:space="preserve">STS 1785/2025: </w:t>
      </w:r>
      <w:r>
        <w:rPr>
          <w:b/>
        </w:rPr>
        <w:t>10.4</w:t>
      </w:r>
      <w:r>
        <w:t>.</w:t>
      </w:r>
    </w:p>
    <w:p>
      <w:pPr>
        <w:pStyle w:val="ListBullet"/>
      </w:pPr>
      <w:r>
        <w:t xml:space="preserve">STS 1786/2025: </w:t>
      </w:r>
      <w:r>
        <w:rPr>
          <w:b/>
        </w:rPr>
        <w:t>10.4</w:t>
      </w:r>
      <w:r>
        <w:t>.</w:t>
      </w:r>
    </w:p>
    <w:p>
      <w:pPr>
        <w:pStyle w:val="ListBullet"/>
      </w:pPr>
      <w:r>
        <w:t xml:space="preserve">STS 1796/2025: </w:t>
      </w:r>
      <w:r>
        <w:rPr>
          <w:b/>
        </w:rPr>
        <w:t>10.4</w:t>
      </w:r>
      <w:r>
        <w:t>.</w:t>
      </w:r>
    </w:p>
    <w:p>
      <w:pPr>
        <w:pStyle w:val="ListBullet"/>
      </w:pPr>
      <w:r>
        <w:t xml:space="preserve">STS 3259/2025: </w:t>
      </w:r>
      <w:r>
        <w:rPr>
          <w:b/>
        </w:rPr>
        <w:t>10.4</w:t>
      </w:r>
      <w:r>
        <w:t>.</w:t>
      </w:r>
    </w:p>
    <w:p>
      <w:pPr>
        <w:pStyle w:val="ListBullet"/>
      </w:pPr>
      <w:r>
        <w:t xml:space="preserve">STS 3465/2025: </w:t>
      </w:r>
      <w:r>
        <w:rPr>
          <w:b/>
        </w:rPr>
        <w:t>10.4</w:t>
      </w:r>
      <w:r>
        <w:t>.</w:t>
      </w:r>
    </w:p>
    <w:p>
      <w:pPr>
        <w:pStyle w:val="ListBullet"/>
      </w:pPr>
      <w:r>
        <w:t xml:space="preserve">STS 527/2026: </w:t>
      </w:r>
      <w:r>
        <w:rPr>
          <w:b/>
        </w:rPr>
        <w:t>A.5</w:t>
      </w:r>
      <w:r>
        <w:t>.</w:t>
      </w:r>
    </w:p>
    <w:p>
      <w:pPr>
        <w:pStyle w:val="ListBullet"/>
      </w:pPr>
      <w:r>
        <w:t xml:space="preserve">STS 868/2026: </w:t>
      </w:r>
      <w:r>
        <w:rPr>
          <w:b/>
        </w:rPr>
        <w:t>A.5</w:t>
      </w:r>
      <w:r>
        <w:t>.</w:t>
      </w:r>
    </w:p>
    <w:p>
      <w:pPr>
        <w:pStyle w:val="ListBullet"/>
      </w:pPr>
      <w:r>
        <w:t xml:space="preserve">STS 872/2026: </w:t>
      </w:r>
      <w:r>
        <w:rPr>
          <w:b/>
        </w:rPr>
        <w:t>8.5</w:t>
      </w:r>
      <w:r>
        <w:t>.</w:t>
      </w:r>
    </w:p>
    <w:p>
      <w:pPr>
        <w:pStyle w:val="ListBullet"/>
      </w:pPr>
      <w:r>
        <w:t xml:space="preserve">Tribunal Supremo de Illinois, Bueker v. Madison County, 2016 IL 120024: </w:t>
      </w:r>
      <w:r>
        <w:rPr>
          <w:b/>
        </w:rPr>
        <w:t>E.4</w:t>
      </w:r>
      <w:r>
        <w:t>.</w:t>
      </w:r>
    </w:p>
    <w:p>
      <w:pPr>
        <w:pStyle w:val="ListBullet"/>
      </w:pPr>
      <w:r>
        <w:t xml:space="preserve">Tribunal Supremo de los Estados Unidos, Payton c. Nueva York: </w:t>
      </w:r>
      <w:r>
        <w:rPr>
          <w:b/>
        </w:rPr>
        <w:t>H.10</w:t>
      </w:r>
      <w:r>
        <w:t>.</w:t>
      </w:r>
    </w:p>
    <w:p>
      <w:pPr>
        <w:pStyle w:val="ListBullet"/>
      </w:pPr>
      <w:r>
        <w:t xml:space="preserve">Tribunal Supremo de Nueva Zelanda, Ellis v R [2022] NZSC 114: </w:t>
      </w:r>
      <w:r>
        <w:rPr>
          <w:b/>
        </w:rPr>
        <w:t>F.7</w:t>
      </w:r>
      <w:r>
        <w:t>.</w:t>
      </w:r>
    </w:p>
    <w:p>
      <w:pPr>
        <w:pStyle w:val="ListBullet"/>
      </w:pPr>
      <w:r>
        <w:t xml:space="preserve">Tribunal Supremo, archivo de julio de 2016: </w:t>
      </w:r>
      <w:r>
        <w:rPr>
          <w:b/>
        </w:rPr>
        <w:t>A.4</w:t>
      </w:r>
      <w:r>
        <w:t>.</w:t>
      </w:r>
    </w:p>
    <w:p>
      <w:pPr>
        <w:pStyle w:val="ListBullet"/>
      </w:pPr>
      <w:r>
        <w:t xml:space="preserve">Tribunal Supremo, auto de 15-4-2026: </w:t>
      </w:r>
      <w:r>
        <w:rPr>
          <w:b/>
        </w:rPr>
        <w:t>8.5</w:t>
      </w:r>
      <w:r>
        <w:t>.</w:t>
      </w:r>
    </w:p>
    <w:p>
      <w:pPr>
        <w:pStyle w:val="ListBullet"/>
      </w:pPr>
      <w:r>
        <w:t xml:space="preserve">Tribunal Supremo, auto de 24-4-2025: </w:t>
      </w:r>
      <w:r>
        <w:rPr>
          <w:b/>
        </w:rPr>
        <w:t>7.2</w:t>
      </w:r>
      <w:r>
        <w:t>.</w:t>
      </w:r>
    </w:p>
    <w:p>
      <w:pPr>
        <w:pStyle w:val="ListBullet"/>
      </w:pPr>
      <w:r>
        <w:t xml:space="preserve">Tribunal Supremo, providencia de 18-11-2021: </w:t>
      </w:r>
      <w:r>
        <w:rPr>
          <w:b/>
        </w:rPr>
        <w:t>7.3</w:t>
      </w:r>
      <w:r>
        <w:t>.</w:t>
      </w:r>
    </w:p>
    <w:p>
      <w:pPr>
        <w:pStyle w:val="ListBullet"/>
      </w:pPr>
      <w:r>
        <w:t xml:space="preserve">Tribunal Supremo, Sala Especial, sentencia de 27-III-2003: </w:t>
      </w:r>
      <w:r>
        <w:rPr>
          <w:b/>
        </w:rPr>
        <w:t>A.2</w:t>
      </w:r>
      <w:r>
        <w:t>.</w:t>
      </w:r>
    </w:p>
    <w:p>
      <w:pPr>
        <w:pStyle w:val="ListBullet"/>
      </w:pPr>
      <w:r>
        <w:t xml:space="preserve">Tribunal Supremo, sentencia condenatoria a un mando de la Ertzaintza (número no localizado): </w:t>
      </w:r>
      <w:r>
        <w:rPr>
          <w:b/>
        </w:rPr>
        <w:t>A.5</w:t>
      </w:r>
      <w:r>
        <w:t>.</w:t>
      </w:r>
    </w:p>
    <w:p>
      <w:pPr>
        <w:pStyle w:val="ListBullet"/>
      </w:pPr>
      <w:r>
        <w:t xml:space="preserve">Tribunal Supremo, sentencia de 12-11-2015: </w:t>
      </w:r>
      <w:r>
        <w:rPr>
          <w:b/>
        </w:rPr>
        <w:t>8.5</w:t>
      </w:r>
      <w:r>
        <w:t>.</w:t>
      </w:r>
    </w:p>
    <w:p>
      <w:pPr>
        <w:pStyle w:val="ListBullet"/>
      </w:pPr>
      <w:r>
        <w:t xml:space="preserve">Tribunal Supremo, sentencia de 18-VI-2026: </w:t>
      </w:r>
      <w:r>
        <w:rPr>
          <w:b/>
        </w:rPr>
        <w:t>A.5</w:t>
      </w:r>
      <w:r>
        <w:t>.</w:t>
      </w:r>
    </w:p>
    <w:p>
      <w:pPr>
        <w:pStyle w:val="ListBullet"/>
      </w:pPr>
      <w:r>
        <w:t xml:space="preserve">Tribunal Supremo, sentencia de 20-IX-2005 y STS de 2-XII-2005: </w:t>
      </w:r>
      <w:r>
        <w:rPr>
          <w:b/>
        </w:rPr>
        <w:t>A.5</w:t>
      </w:r>
      <w:r>
        <w:t>.</w:t>
      </w:r>
    </w:p>
    <w:p>
      <w:pPr>
        <w:pStyle w:val="ListBullet"/>
      </w:pPr>
      <w:r>
        <w:t xml:space="preserve">Tribunal Supremo, sentencia de 21 de junio de 1996: </w:t>
      </w:r>
      <w:r>
        <w:rPr>
          <w:b/>
        </w:rPr>
        <w:t>10.6</w:t>
      </w:r>
      <w:r>
        <w:t>.</w:t>
      </w:r>
    </w:p>
    <w:p>
      <w:pPr>
        <w:pStyle w:val="ListBullet"/>
      </w:pPr>
      <w:r>
        <w:t xml:space="preserve">Tribunal Supremo, sentencia de 22 de marzo de 1996: </w:t>
      </w:r>
      <w:r>
        <w:rPr>
          <w:b/>
        </w:rPr>
        <w:t>10.7</w:t>
      </w:r>
      <w:r>
        <w:t>.</w:t>
      </w:r>
    </w:p>
    <w:p>
      <w:pPr>
        <w:pStyle w:val="ListBullet"/>
      </w:pPr>
      <w:r>
        <w:t xml:space="preserve">Tribunal Supremo, sentencia de 7 de julio de 2026: </w:t>
      </w:r>
      <w:r>
        <w:rPr>
          <w:b/>
        </w:rPr>
        <w:t>10.7</w:t>
      </w:r>
      <w:r>
        <w:t>.</w:t>
      </w:r>
    </w:p>
    <w:p>
      <w:pPr>
        <w:pStyle w:val="ListBullet"/>
      </w:pPr>
      <w:r>
        <w:t xml:space="preserve">Tribunal Supremo, sentencia de 9-II-2000: </w:t>
      </w:r>
      <w:r>
        <w:rPr>
          <w:b/>
        </w:rPr>
        <w:t>A.4</w:t>
      </w:r>
      <w:r>
        <w:t>.</w:t>
      </w:r>
    </w:p>
    <w:p>
      <w:pPr>
        <w:pStyle w:val="ListBullet"/>
      </w:pPr>
      <w:r>
        <w:t xml:space="preserve">Tribunal Supremo, sentencia del Pleno de 20-XI-2013: </w:t>
      </w:r>
      <w:r>
        <w:rPr>
          <w:b/>
        </w:rPr>
        <w:t>A.3</w:t>
      </w:r>
      <w:r>
        <w:t>.</w:t>
      </w:r>
    </w:p>
    <w:p>
      <w:pPr>
        <w:pStyle w:val="ListBullet"/>
      </w:pPr>
      <w:r>
        <w:t xml:space="preserve">Tribunal Supremo, sentencias de 23 y 28-IV-2015: </w:t>
      </w:r>
      <w:r>
        <w:rPr>
          <w:b/>
        </w:rPr>
        <w:t>7.3</w:t>
      </w:r>
      <w:r>
        <w:t xml:space="preserve">, </w:t>
      </w:r>
      <w:r>
        <w:rPr>
          <w:b/>
        </w:rPr>
        <w:t>A.1</w:t>
      </w:r>
      <w:r>
        <w:t>.</w:t>
      </w:r>
    </w:p>
    <w:p>
      <w:pPr>
        <w:pStyle w:val="ListBullet"/>
      </w:pPr>
      <w:r>
        <w:t xml:space="preserve">Audiencia Nacional, auto de 22-I-2026: </w:t>
      </w:r>
      <w:r>
        <w:rPr>
          <w:b/>
        </w:rPr>
        <w:t>A.2</w:t>
      </w:r>
      <w:r>
        <w:t>.</w:t>
      </w:r>
    </w:p>
    <w:p>
      <w:pPr>
        <w:pStyle w:val="ListBullet"/>
      </w:pPr>
      <w:r>
        <w:t xml:space="preserve">Juzgado de lo Contencioso-Administrativo n.º 2 de Bilbao: </w:t>
      </w:r>
      <w:r>
        <w:rPr>
          <w:b/>
        </w:rPr>
        <w:t>A.1</w:t>
      </w:r>
      <w:r>
        <w:t>.</w:t>
      </w:r>
    </w:p>
    <w:p>
      <w:pPr>
        <w:pStyle w:val="ListBullet"/>
      </w:pPr>
      <w:r>
        <w:t xml:space="preserve">TSJ de Andalucía, sentencia de 1-II-2002 (rollo 29/2001): </w:t>
      </w:r>
      <w:r>
        <w:rPr>
          <w:b/>
        </w:rPr>
        <w:t>A.7</w:t>
      </w:r>
      <w:r>
        <w:t>.</w:t>
      </w:r>
    </w:p>
    <w:p>
      <w:pPr>
        <w:pStyle w:val="ListBullet"/>
      </w:pPr>
      <w:r>
        <w:t xml:space="preserve">TSJ de Cataluña, autos de 4-V-2022 y 28-VII-2022: </w:t>
      </w:r>
      <w:r>
        <w:rPr>
          <w:b/>
        </w:rPr>
        <w:t>7.3</w:t>
      </w:r>
      <w:r>
        <w:t xml:space="preserve">, </w:t>
      </w:r>
      <w:r>
        <w:rPr>
          <w:b/>
        </w:rPr>
        <w:t>A.1</w:t>
      </w:r>
      <w:r>
        <w:t>.</w:t>
      </w:r>
    </w:p>
    <w:p>
      <w:pPr>
        <w:pStyle w:val="ListBullet"/>
      </w:pPr>
      <w:r>
        <w:t xml:space="preserve">TSJ de Cataluña, sentencia de 16-XII-2020 (rec. 168/2015): </w:t>
      </w:r>
      <w:r>
        <w:rPr>
          <w:b/>
        </w:rPr>
        <w:t>7.3</w:t>
      </w:r>
      <w:r>
        <w:t xml:space="preserve">, </w:t>
      </w:r>
      <w:r>
        <w:rPr>
          <w:b/>
        </w:rPr>
        <w:t>A.1</w:t>
      </w:r>
      <w:r>
        <w:t>.</w:t>
      </w:r>
    </w:p>
    <w:p>
      <w:pPr>
        <w:pStyle w:val="ListBullet"/>
      </w:pPr>
      <w:r>
        <w:t xml:space="preserve">TSJ de Madrid, sentencia 185/2024: </w:t>
      </w:r>
      <w:r>
        <w:rPr>
          <w:b/>
        </w:rPr>
        <w:t>A.5</w:t>
      </w:r>
      <w:r>
        <w:t>.</w:t>
      </w:r>
    </w:p>
    <w:p>
      <w:pPr>
        <w:pStyle w:val="ListBullet"/>
      </w:pPr>
      <w:r>
        <w:t xml:space="preserve">TJUE (Sala Octava), sentencia de 25-VII-2018, asunto C-205/17, fallo, extracto leído en EUR-Lex (CELEX 62017CJ0205): </w:t>
      </w:r>
      <w:r>
        <w:rPr>
          <w:b/>
        </w:rPr>
        <w:t>A.2</w:t>
      </w:r>
      <w:r>
        <w:t>.</w:t>
      </w:r>
    </w:p>
    <w:p>
      <w:pPr>
        <w:pStyle w:val="ListBullet"/>
      </w:pPr>
      <w:r>
        <w:t xml:space="preserve">TJUE, asunto C-502/19: </w:t>
      </w:r>
      <w:r>
        <w:rPr>
          <w:b/>
        </w:rPr>
        <w:t>A.4</w:t>
      </w:r>
      <w:r>
        <w:t>.</w:t>
      </w:r>
    </w:p>
    <w:p>
      <w:pPr>
        <w:pStyle w:val="ListBullet"/>
      </w:pPr>
      <w:r>
        <w:t xml:space="preserve">TJUE, asunto C-504/26 (Diario Oficial de la UE): </w:t>
      </w:r>
      <w:r>
        <w:rPr>
          <w:b/>
        </w:rPr>
        <w:t>7.5</w:t>
      </w:r>
      <w:r>
        <w:t xml:space="preserve">, </w:t>
      </w:r>
      <w:r>
        <w:rPr>
          <w:b/>
        </w:rPr>
        <w:t>8.5</w:t>
      </w:r>
      <w:r>
        <w:t>.</w:t>
      </w:r>
    </w:p>
    <w:p>
      <w:pPr>
        <w:pStyle w:val="ListBullet"/>
      </w:pPr>
      <w:r>
        <w:t xml:space="preserve">TJUE, sentencia de 14-IV-2026, asunto C-418/24 (Obadal): </w:t>
      </w:r>
      <w:r>
        <w:rPr>
          <w:b/>
        </w:rPr>
        <w:t>10.7</w:t>
      </w:r>
      <w:r>
        <w:t xml:space="preserve">, </w:t>
      </w:r>
      <w:r>
        <w:rPr>
          <w:b/>
        </w:rPr>
        <w:t>A.5</w:t>
      </w:r>
      <w:r>
        <w:t>.</w:t>
      </w:r>
    </w:p>
    <w:p>
      <w:pPr>
        <w:pStyle w:val="ListBullet"/>
      </w:pPr>
      <w:r>
        <w:t xml:space="preserve">TJUE, sentencia de 21-XII-2016 (asuntos C-154/15, C-307/15, C-308/15): </w:t>
      </w:r>
      <w:r>
        <w:rPr>
          <w:b/>
        </w:rPr>
        <w:t>A.2</w:t>
      </w:r>
      <w:r>
        <w:t>.</w:t>
      </w:r>
    </w:p>
    <w:p>
      <w:pPr>
        <w:pStyle w:val="ListBullet"/>
      </w:pPr>
      <w:r>
        <w:t xml:space="preserve">TJUE, sentencia de 22-II-2024, asuntos C-59/22, C-110/22 y C-159/22: </w:t>
      </w:r>
      <w:r>
        <w:rPr>
          <w:b/>
        </w:rPr>
        <w:t>10.7</w:t>
      </w:r>
      <w:r>
        <w:t>.</w:t>
      </w:r>
    </w:p>
    <w:p>
      <w:pPr>
        <w:pStyle w:val="ListBullet"/>
      </w:pPr>
      <w:r>
        <w:t xml:space="preserve">TJUE, sentencia de 28-6-2022, asunto C-278/20: </w:t>
      </w:r>
      <w:r>
        <w:rPr>
          <w:b/>
        </w:rPr>
        <w:t>8.5</w:t>
      </w:r>
      <w:r>
        <w:t>.</w:t>
      </w:r>
    </w:p>
    <w:p>
      <w:pPr>
        <w:pStyle w:val="ListBullet"/>
      </w:pPr>
      <w:r>
        <w:t xml:space="preserve">TJUE, sentencia de 30-5-2024, asunto C-743/22: </w:t>
      </w:r>
      <w:r>
        <w:rPr>
          <w:b/>
        </w:rPr>
        <w:t>8.5</w:t>
      </w:r>
      <w:r>
        <w:t>.</w:t>
      </w:r>
    </w:p>
    <w:p>
      <w:pPr>
        <w:pStyle w:val="ListBullet"/>
      </w:pPr>
      <w:r>
        <w:t xml:space="preserve">TJUE, sentencia Gauweiler, asunto C-62/14 (16-6-2015): </w:t>
      </w:r>
      <w:r>
        <w:rPr>
          <w:b/>
        </w:rPr>
        <w:t>8.1</w:t>
      </w:r>
      <w:r>
        <w:t>.</w:t>
      </w:r>
    </w:p>
    <w:p>
      <w:pPr>
        <w:pStyle w:val="ListBullet"/>
      </w:pPr>
      <w:r>
        <w:t xml:space="preserve">TEDH, 30-VI-2009: </w:t>
      </w:r>
      <w:r>
        <w:rPr>
          <w:b/>
        </w:rPr>
        <w:t>A.2</w:t>
      </w:r>
      <w:r>
        <w:t>.</w:t>
      </w:r>
    </w:p>
    <w:p>
      <w:pPr>
        <w:pStyle w:val="ListBullet"/>
      </w:pPr>
      <w:r>
        <w:t xml:space="preserve">TEDH, Casa di Cura Valle Fiorita c. Italia (13-12-2018): </w:t>
      </w:r>
      <w:r>
        <w:rPr>
          <w:b/>
        </w:rPr>
        <w:t>10.7</w:t>
      </w:r>
      <w:r>
        <w:t>.</w:t>
      </w:r>
    </w:p>
    <w:p>
      <w:pPr>
        <w:pStyle w:val="ListBullet"/>
      </w:pPr>
      <w:r>
        <w:t xml:space="preserve">TEDH, caso del director de Egunkaria: </w:t>
      </w:r>
      <w:r>
        <w:rPr>
          <w:b/>
        </w:rPr>
        <w:t>A.2</w:t>
      </w:r>
      <w:r>
        <w:t>.</w:t>
      </w:r>
    </w:p>
    <w:p>
      <w:pPr>
        <w:pStyle w:val="ListBullet"/>
      </w:pPr>
      <w:r>
        <w:t xml:space="preserve">TEDH, demanda 3344/13: </w:t>
      </w:r>
      <w:r>
        <w:rPr>
          <w:b/>
        </w:rPr>
        <w:t>A.2</w:t>
      </w:r>
      <w:r>
        <w:t>.</w:t>
      </w:r>
    </w:p>
    <w:p>
      <w:pPr>
        <w:pStyle w:val="ListBullet"/>
      </w:pPr>
      <w:r>
        <w:t xml:space="preserve">TEDH, demanda 74181/01, sentencia de 6-I-2010: </w:t>
      </w:r>
      <w:r>
        <w:rPr>
          <w:b/>
        </w:rPr>
        <w:t>A.5</w:t>
      </w:r>
      <w:r>
        <w:t>.</w:t>
      </w:r>
    </w:p>
    <w:p>
      <w:pPr>
        <w:pStyle w:val="ListBullet"/>
      </w:pPr>
      <w:r>
        <w:t xml:space="preserve">TEDH, demanda nº 41462/17, sentencia de 6-X-2020: </w:t>
      </w:r>
      <w:r>
        <w:rPr>
          <w:b/>
        </w:rPr>
        <w:t>A.5</w:t>
      </w:r>
      <w:r>
        <w:t>.</w:t>
      </w:r>
    </w:p>
    <w:p>
      <w:pPr>
        <w:pStyle w:val="ListBullet"/>
      </w:pPr>
      <w:r>
        <w:t xml:space="preserve">TEDH, Kafkaris c. Chipre (2008): </w:t>
      </w:r>
      <w:r>
        <w:rPr>
          <w:b/>
        </w:rPr>
        <w:t>7.3</w:t>
      </w:r>
      <w:r>
        <w:t xml:space="preserve">, </w:t>
      </w:r>
      <w:r>
        <w:rPr>
          <w:b/>
        </w:rPr>
        <w:t>A.2</w:t>
      </w:r>
      <w:r>
        <w:t>.</w:t>
      </w:r>
    </w:p>
    <w:p>
      <w:pPr>
        <w:pStyle w:val="ListBullet"/>
      </w:pPr>
      <w:r>
        <w:t xml:space="preserve">TEDH, Observer y Guardian c. Reino Unido (26-11-1991): </w:t>
      </w:r>
      <w:r>
        <w:rPr>
          <w:b/>
        </w:rPr>
        <w:t>10.2</w:t>
      </w:r>
      <w:r>
        <w:t>.</w:t>
      </w:r>
    </w:p>
    <w:p>
      <w:pPr>
        <w:pStyle w:val="ListBullet"/>
      </w:pPr>
      <w:r>
        <w:t xml:space="preserve">TEDH, Papachela y Amazon c. Grecia (3-12-2020): </w:t>
      </w:r>
      <w:r>
        <w:rPr>
          <w:b/>
        </w:rPr>
        <w:t>10.7</w:t>
      </w:r>
      <w:r>
        <w:t>.</w:t>
      </w:r>
    </w:p>
    <w:p>
      <w:pPr>
        <w:pStyle w:val="ListBullet"/>
      </w:pPr>
      <w:r>
        <w:t xml:space="preserve">TEDH, sentencia de 13-III-2018: </w:t>
      </w:r>
      <w:r>
        <w:rPr>
          <w:b/>
        </w:rPr>
        <w:t>A.2</w:t>
      </w:r>
      <w:r>
        <w:t>.</w:t>
      </w:r>
    </w:p>
    <w:p>
      <w:pPr>
        <w:pStyle w:val="ListBullet"/>
      </w:pPr>
      <w:r>
        <w:t xml:space="preserve">TEDH, sentencia de 25-XI-2003: </w:t>
      </w:r>
      <w:r>
        <w:rPr>
          <w:b/>
        </w:rPr>
        <w:t>A.7</w:t>
      </w:r>
      <w:r>
        <w:t>.</w:t>
      </w:r>
    </w:p>
    <w:p>
      <w:pPr>
        <w:pStyle w:val="ListBullet"/>
      </w:pPr>
      <w:r>
        <w:t xml:space="preserve">TEDH, sentencias de 13-XII-2018 (Italia) y 3-XII-2020 (Grecia): </w:t>
      </w:r>
      <w:r>
        <w:rPr>
          <w:b/>
        </w:rPr>
        <w:t>A.2</w:t>
      </w:r>
      <w:r>
        <w:t>.</w:t>
      </w:r>
    </w:p>
    <w:p>
      <w:pPr>
        <w:pStyle w:val="ListBullet"/>
      </w:pPr>
      <w:r>
        <w:t xml:space="preserve">TEDH, Soberanía de la Razón y otros c. España, decisión de 26-5-2015: </w:t>
      </w:r>
      <w:r>
        <w:rPr>
          <w:b/>
        </w:rPr>
        <w:t>6.4</w:t>
      </w:r>
      <w:r>
        <w:t>.</w:t>
      </w:r>
    </w:p>
    <w:p>
      <w:pPr>
        <w:pStyle w:val="ListBullet"/>
      </w:pPr>
      <w:r>
        <w:t xml:space="preserve">TEDH, Stern Taulats y Roura Capellera c. España (13-3-2018): </w:t>
      </w:r>
      <w:r>
        <w:rPr>
          <w:b/>
        </w:rPr>
        <w:t>7.2</w:t>
      </w:r>
      <w:r>
        <w:t>.</w:t>
      </w:r>
    </w:p>
    <w:p>
      <w:pPr>
        <w:pStyle w:val="ListBullet"/>
      </w:pPr>
      <w:r>
        <w:t xml:space="preserve">Casley v Deputy Commissioner of Taxation [2017] WASCA 196 (Tribunal de Apelación de Australia Occidental): </w:t>
      </w:r>
      <w:r>
        <w:rPr>
          <w:b/>
        </w:rPr>
        <w:t>6.2</w:t>
      </w:r>
      <w:r>
        <w:t>.</w:t>
      </w:r>
    </w:p>
    <w:p>
      <w:pPr>
        <w:pStyle w:val="ListBullet"/>
      </w:pPr>
      <w:r>
        <w:t xml:space="preserve">Corte Penal Internacional, audiencia de la Fiscalía (Whitney Harris): </w:t>
      </w:r>
      <w:r>
        <w:rPr>
          <w:b/>
        </w:rPr>
        <w:t>7.2</w:t>
      </w:r>
      <w:r>
        <w:t>.</w:t>
      </w:r>
    </w:p>
    <w:p>
      <w:pPr>
        <w:pStyle w:val="ListBullet"/>
      </w:pPr>
      <w:r>
        <w:t xml:space="preserve">Deputy Commissioner of Taxation v Casley [2017] WASC 161 (Tribunal Supremo de Australia Occidental): </w:t>
      </w:r>
      <w:r>
        <w:rPr>
          <w:b/>
        </w:rPr>
        <w:t>6.2</w:t>
      </w:r>
      <w:r>
        <w:t>.</w:t>
      </w:r>
    </w:p>
    <w:p>
      <w:pPr>
        <w:pStyle w:val="ListBullet"/>
      </w:pPr>
      <w:r>
        <w:t xml:space="preserve">Tribunal Arbitral Mixto germano-polaco, laudo de 1929: </w:t>
      </w:r>
      <w:r>
        <w:rPr>
          <w:b/>
        </w:rPr>
        <w:t>6.2</w:t>
      </w:r>
      <w:r>
        <w:t>.</w:t>
      </w:r>
    </w:p>
    <w:p>
      <w:pPr>
        <w:pStyle w:val="ListBullet"/>
      </w:pPr>
      <w:r>
        <w:t xml:space="preserve">Tribunal de Alberta (Canadá), Meads v. Meads, 2012 ABQB 571: </w:t>
      </w:r>
      <w:r>
        <w:rPr>
          <w:b/>
        </w:rPr>
        <w:t>E.1</w:t>
      </w:r>
      <w:r>
        <w:t xml:space="preserve">, </w:t>
      </w:r>
      <w:r>
        <w:rPr>
          <w:b/>
        </w:rPr>
        <w:t>E.2</w:t>
      </w:r>
      <w:r>
        <w:t xml:space="preserve">, </w:t>
      </w:r>
      <w:r>
        <w:rPr>
          <w:b/>
        </w:rPr>
        <w:t>E.3</w:t>
      </w:r>
      <w:r>
        <w:t xml:space="preserve">, </w:t>
      </w:r>
      <w:r>
        <w:rPr>
          <w:b/>
        </w:rPr>
        <w:t>E.4</w:t>
      </w:r>
      <w:r>
        <w:t>.</w:t>
      </w:r>
    </w:p>
    <w:p>
      <w:pPr>
        <w:pStyle w:val="ListBullet"/>
      </w:pPr>
      <w:r>
        <w:t xml:space="preserve">Tribunal Militar Internacional de Núremberg, el fiscal Robert H. Jackson (informe de 1945 y discurso de apertura): </w:t>
      </w:r>
      <w:r>
        <w:rPr>
          <w:b/>
        </w:rPr>
        <w:t>7.2</w:t>
      </w:r>
      <w:r>
        <w:t>.</w:t>
      </w:r>
    </w:p>
    <w:p>
      <w:pPr>
        <w:pStyle w:val="ListBullet"/>
      </w:pPr>
      <w:r>
        <w:t xml:space="preserve">Tribunal Militar Internacional de Núremberg, sentencia de 1-10-1946: </w:t>
      </w:r>
      <w:r>
        <w:rPr>
          <w:b/>
        </w:rPr>
        <w:t>9.1</w:t>
      </w:r>
      <w:r>
        <w:t>.</w:t>
      </w:r>
    </w:p>
    <w:p>
      <w:r>
        <w:rPr>
          <w:b/>
        </w:rPr>
        <w:t>La estadística oficial</w:t>
      </w:r>
      <w:r>
        <w:t xml:space="preserve"> (33 fuentes)</w:t>
      </w:r>
    </w:p>
    <w:p>
      <w:pPr>
        <w:pStyle w:val="ListBullet"/>
      </w:pPr>
      <w:r>
        <w:t xml:space="preserve">TEDH, Analysis of Statistics 2017: </w:t>
      </w:r>
      <w:r>
        <w:rPr>
          <w:b/>
        </w:rPr>
        <w:t>6.4</w:t>
      </w:r>
      <w:r>
        <w:t>.</w:t>
      </w:r>
    </w:p>
    <w:p>
      <w:pPr>
        <w:pStyle w:val="ListBullet"/>
      </w:pPr>
      <w:r>
        <w:t xml:space="preserve">TEDH, Violations by Article and by State 1959-2017: </w:t>
      </w:r>
      <w:r>
        <w:rPr>
          <w:b/>
        </w:rPr>
        <w:t>6.4</w:t>
      </w:r>
      <w:r>
        <w:t>.</w:t>
      </w:r>
    </w:p>
    <w:p>
      <w:pPr>
        <w:pStyle w:val="ListBullet"/>
      </w:pPr>
      <w:r>
        <w:t xml:space="preserve">AEMPS, Utilización de medicamentos antidepresivos en España, 2000-2013: </w:t>
      </w:r>
      <w:r>
        <w:rPr>
          <w:b/>
        </w:rPr>
        <w:t>8.10</w:t>
      </w:r>
      <w:r>
        <w:t>.</w:t>
      </w:r>
    </w:p>
    <w:p>
      <w:pPr>
        <w:pStyle w:val="ListBullet"/>
      </w:pPr>
      <w:r>
        <w:t xml:space="preserve">Agencia Tributaria: </w:t>
      </w:r>
      <w:r>
        <w:rPr>
          <w:b/>
        </w:rPr>
        <w:t>A.2</w:t>
      </w:r>
      <w:r>
        <w:t>.</w:t>
      </w:r>
    </w:p>
    <w:p>
      <w:pPr>
        <w:pStyle w:val="ListBullet"/>
      </w:pPr>
      <w:r>
        <w:t xml:space="preserve">Ayuntamiento de Madrid, datos abiertos: </w:t>
      </w:r>
      <w:r>
        <w:rPr>
          <w:b/>
        </w:rPr>
        <w:t>9.1</w:t>
      </w:r>
      <w:r>
        <w:t>.</w:t>
      </w:r>
    </w:p>
    <w:p>
      <w:pPr>
        <w:pStyle w:val="ListBullet"/>
      </w:pPr>
      <w:r>
        <w:t xml:space="preserve">Banco Central Europeo: </w:t>
      </w:r>
      <w:r>
        <w:rPr>
          <w:b/>
        </w:rPr>
        <w:t>8.1</w:t>
      </w:r>
      <w:r>
        <w:t xml:space="preserve">, </w:t>
      </w:r>
      <w:r>
        <w:rPr>
          <w:b/>
        </w:rPr>
        <w:t>8.3</w:t>
      </w:r>
      <w:r>
        <w:t xml:space="preserve">, </w:t>
      </w:r>
      <w:r>
        <w:rPr>
          <w:b/>
        </w:rPr>
        <w:t>8.11</w:t>
      </w:r>
      <w:r>
        <w:t>.</w:t>
      </w:r>
    </w:p>
    <w:p>
      <w:pPr>
        <w:pStyle w:val="ListBullet"/>
      </w:pPr>
      <w:r>
        <w:t xml:space="preserve">Banco de España: </w:t>
      </w:r>
      <w:r>
        <w:rPr>
          <w:b/>
        </w:rPr>
        <w:t>7.2</w:t>
      </w:r>
      <w:r>
        <w:t xml:space="preserve">, </w:t>
      </w:r>
      <w:r>
        <w:rPr>
          <w:b/>
        </w:rPr>
        <w:t>8.3</w:t>
      </w:r>
      <w:r>
        <w:t xml:space="preserve">, </w:t>
      </w:r>
      <w:r>
        <w:rPr>
          <w:b/>
        </w:rPr>
        <w:t>8.8</w:t>
      </w:r>
      <w:r>
        <w:t xml:space="preserve">, </w:t>
      </w:r>
      <w:r>
        <w:rPr>
          <w:b/>
        </w:rPr>
        <w:t>A.2</w:t>
      </w:r>
      <w:r>
        <w:t xml:space="preserve">, </w:t>
      </w:r>
      <w:r>
        <w:rPr>
          <w:b/>
        </w:rPr>
        <w:t>A.8</w:t>
      </w:r>
      <w:r>
        <w:t xml:space="preserve">, </w:t>
      </w:r>
      <w:r>
        <w:rPr>
          <w:b/>
        </w:rPr>
        <w:t>B.5</w:t>
      </w:r>
      <w:r>
        <w:t>.</w:t>
      </w:r>
    </w:p>
    <w:p>
      <w:pPr>
        <w:pStyle w:val="ListBullet"/>
      </w:pPr>
      <w:r>
        <w:t xml:space="preserve">Banco Mundial: </w:t>
      </w:r>
      <w:r>
        <w:rPr>
          <w:b/>
        </w:rPr>
        <w:t>6.4</w:t>
      </w:r>
      <w:r>
        <w:t xml:space="preserve">, </w:t>
      </w:r>
      <w:r>
        <w:rPr>
          <w:b/>
        </w:rPr>
        <w:t>8.1</w:t>
      </w:r>
      <w:r>
        <w:t xml:space="preserve">, </w:t>
      </w:r>
      <w:r>
        <w:rPr>
          <w:b/>
        </w:rPr>
        <w:t>8.4</w:t>
      </w:r>
      <w:r>
        <w:t xml:space="preserve">, </w:t>
      </w:r>
      <w:r>
        <w:rPr>
          <w:b/>
        </w:rPr>
        <w:t>8.7</w:t>
      </w:r>
      <w:r>
        <w:t xml:space="preserve">, </w:t>
      </w:r>
      <w:r>
        <w:rPr>
          <w:b/>
        </w:rPr>
        <w:t>A.2</w:t>
      </w:r>
      <w:r>
        <w:t>.</w:t>
      </w:r>
    </w:p>
    <w:p>
      <w:pPr>
        <w:pStyle w:val="ListBullet"/>
      </w:pPr>
      <w:r>
        <w:t xml:space="preserve">Boletín Estadístico del Personal al Servicio de las Administraciones Públicas: </w:t>
      </w:r>
      <w:r>
        <w:rPr>
          <w:b/>
        </w:rPr>
        <w:t>8.6</w:t>
      </w:r>
      <w:r>
        <w:t xml:space="preserve">, </w:t>
      </w:r>
      <w:r>
        <w:rPr>
          <w:b/>
        </w:rPr>
        <w:t>C.1</w:t>
      </w:r>
      <w:r>
        <w:t xml:space="preserve">, </w:t>
      </w:r>
      <w:r>
        <w:rPr>
          <w:b/>
        </w:rPr>
        <w:t>C.2</w:t>
      </w:r>
      <w:r>
        <w:t>.</w:t>
      </w:r>
    </w:p>
    <w:p>
      <w:pPr>
        <w:pStyle w:val="ListBullet"/>
      </w:pPr>
      <w:r>
        <w:t xml:space="preserve">Centro de Investigaciones Sociológicas (CIS): </w:t>
      </w:r>
      <w:r>
        <w:rPr>
          <w:b/>
        </w:rPr>
        <w:t>8.9</w:t>
      </w:r>
      <w:r>
        <w:t>.</w:t>
      </w:r>
    </w:p>
    <w:p>
      <w:pPr>
        <w:pStyle w:val="ListBullet"/>
      </w:pPr>
      <w:r>
        <w:t xml:space="preserve">Consejo de la Juventud de España, Observatorio de Emancipación: </w:t>
      </w:r>
      <w:r>
        <w:rPr>
          <w:b/>
        </w:rPr>
        <w:t>7.2</w:t>
      </w:r>
      <w:r>
        <w:t xml:space="preserve">, </w:t>
      </w:r>
      <w:r>
        <w:rPr>
          <w:b/>
        </w:rPr>
        <w:t>A.2</w:t>
      </w:r>
      <w:r>
        <w:t>.</w:t>
      </w:r>
    </w:p>
    <w:p>
      <w:pPr>
        <w:pStyle w:val="ListBullet"/>
      </w:pPr>
      <w:r>
        <w:t xml:space="preserve">EFSA, informe de la UE sobre residuos de plaguicidas: </w:t>
      </w:r>
      <w:r>
        <w:rPr>
          <w:b/>
        </w:rPr>
        <w:t>8.7</w:t>
      </w:r>
      <w:r>
        <w:t>.</w:t>
      </w:r>
    </w:p>
    <w:p>
      <w:pPr>
        <w:pStyle w:val="ListBullet"/>
      </w:pPr>
      <w:r>
        <w:t xml:space="preserve">Eurostat: </w:t>
      </w:r>
      <w:r>
        <w:rPr>
          <w:b/>
        </w:rPr>
        <w:t>5.1</w:t>
      </w:r>
      <w:r>
        <w:t xml:space="preserve">, </w:t>
      </w:r>
      <w:r>
        <w:rPr>
          <w:b/>
        </w:rPr>
        <w:t>7.2</w:t>
      </w:r>
      <w:r>
        <w:t xml:space="preserve">, </w:t>
      </w:r>
      <w:r>
        <w:rPr>
          <w:b/>
        </w:rPr>
        <w:t>8.3</w:t>
      </w:r>
      <w:r>
        <w:t xml:space="preserve">, </w:t>
      </w:r>
      <w:r>
        <w:rPr>
          <w:b/>
        </w:rPr>
        <w:t>8.4</w:t>
      </w:r>
      <w:r>
        <w:t xml:space="preserve">, </w:t>
      </w:r>
      <w:r>
        <w:rPr>
          <w:b/>
        </w:rPr>
        <w:t>8.6</w:t>
      </w:r>
      <w:r>
        <w:t xml:space="preserve">, </w:t>
      </w:r>
      <w:r>
        <w:rPr>
          <w:b/>
        </w:rPr>
        <w:t>8.10</w:t>
      </w:r>
      <w:r>
        <w:t xml:space="preserve">, </w:t>
      </w:r>
      <w:r>
        <w:rPr>
          <w:b/>
        </w:rPr>
        <w:t>9.1</w:t>
      </w:r>
      <w:r>
        <w:t xml:space="preserve">, </w:t>
      </w:r>
      <w:r>
        <w:rPr>
          <w:b/>
        </w:rPr>
        <w:t>10.2</w:t>
      </w:r>
      <w:r>
        <w:t xml:space="preserve">, </w:t>
      </w:r>
      <w:r>
        <w:rPr>
          <w:b/>
        </w:rPr>
        <w:t>A.2</w:t>
      </w:r>
      <w:r>
        <w:t xml:space="preserve">, </w:t>
      </w:r>
      <w:r>
        <w:rPr>
          <w:b/>
        </w:rPr>
        <w:t>A.8</w:t>
      </w:r>
      <w:r>
        <w:t xml:space="preserve">, </w:t>
      </w:r>
      <w:r>
        <w:rPr>
          <w:b/>
        </w:rPr>
        <w:t>B.4</w:t>
      </w:r>
      <w:r>
        <w:t xml:space="preserve">, </w:t>
      </w:r>
      <w:r>
        <w:rPr>
          <w:b/>
        </w:rPr>
        <w:t>B.5</w:t>
      </w:r>
      <w:r>
        <w:t xml:space="preserve">, </w:t>
      </w:r>
      <w:r>
        <w:rPr>
          <w:b/>
        </w:rPr>
        <w:t>C.2</w:t>
      </w:r>
      <w:r>
        <w:t xml:space="preserve">, </w:t>
      </w:r>
      <w:r>
        <w:rPr>
          <w:b/>
        </w:rPr>
        <w:t>C.3</w:t>
      </w:r>
      <w:r>
        <w:t>.</w:t>
      </w:r>
    </w:p>
    <w:p>
      <w:pPr>
        <w:pStyle w:val="ListBullet"/>
      </w:pPr>
      <w:r>
        <w:t xml:space="preserve">Fondo de Reserva de la Seguridad Social, informes a las Cortes: </w:t>
      </w:r>
      <w:r>
        <w:rPr>
          <w:b/>
        </w:rPr>
        <w:t>5.1</w:t>
      </w:r>
      <w:r>
        <w:t xml:space="preserve">, </w:t>
      </w:r>
      <w:r>
        <w:rPr>
          <w:b/>
        </w:rPr>
        <w:t>7.5</w:t>
      </w:r>
      <w:r>
        <w:t xml:space="preserve">, </w:t>
      </w:r>
      <w:r>
        <w:rPr>
          <w:b/>
        </w:rPr>
        <w:t>8.6</w:t>
      </w:r>
      <w:r>
        <w:t>.</w:t>
      </w:r>
    </w:p>
    <w:p>
      <w:pPr>
        <w:pStyle w:val="ListBullet"/>
      </w:pPr>
      <w:r>
        <w:t xml:space="preserve">Fondo Monetario Internacional: </w:t>
      </w:r>
      <w:r>
        <w:rPr>
          <w:b/>
        </w:rPr>
        <w:t>8.7</w:t>
      </w:r>
      <w:r>
        <w:t xml:space="preserve">, </w:t>
      </w:r>
      <w:r>
        <w:rPr>
          <w:b/>
        </w:rPr>
        <w:t>9.2</w:t>
      </w:r>
      <w:r>
        <w:t>.</w:t>
      </w:r>
    </w:p>
    <w:p>
      <w:pPr>
        <w:pStyle w:val="ListBullet"/>
      </w:pPr>
      <w:r>
        <w:t xml:space="preserve">Generalitat de Catalunya, datos abiertos: </w:t>
      </w:r>
      <w:r>
        <w:rPr>
          <w:b/>
        </w:rPr>
        <w:t>8.7</w:t>
      </w:r>
      <w:r>
        <w:t>.</w:t>
      </w:r>
    </w:p>
    <w:p>
      <w:pPr>
        <w:pStyle w:val="ListBullet"/>
      </w:pPr>
      <w:r>
        <w:t xml:space="preserve">Institute of International Finance, Global Debt Monitor: </w:t>
      </w:r>
      <w:r>
        <w:rPr>
          <w:b/>
        </w:rPr>
        <w:t>8.1</w:t>
      </w:r>
      <w:r>
        <w:t>.</w:t>
      </w:r>
    </w:p>
    <w:p>
      <w:pPr>
        <w:pStyle w:val="ListBullet"/>
      </w:pPr>
      <w:r>
        <w:t xml:space="preserve">Instituto de Estadística de Islandia: </w:t>
      </w:r>
      <w:r>
        <w:rPr>
          <w:b/>
        </w:rPr>
        <w:t>9.2</w:t>
      </w:r>
      <w:r>
        <w:t>.</w:t>
      </w:r>
    </w:p>
    <w:p>
      <w:pPr>
        <w:pStyle w:val="ListBullet"/>
      </w:pPr>
      <w:r>
        <w:t xml:space="preserve">Instituto Nacional de Estadística (INE): </w:t>
      </w:r>
      <w:r>
        <w:rPr>
          <w:b/>
        </w:rPr>
        <w:t>5.1</w:t>
      </w:r>
      <w:r>
        <w:t xml:space="preserve">, </w:t>
      </w:r>
      <w:r>
        <w:rPr>
          <w:b/>
        </w:rPr>
        <w:t>7.5</w:t>
      </w:r>
      <w:r>
        <w:t xml:space="preserve">, </w:t>
      </w:r>
      <w:r>
        <w:rPr>
          <w:b/>
        </w:rPr>
        <w:t>8.3</w:t>
      </w:r>
      <w:r>
        <w:t xml:space="preserve">, </w:t>
      </w:r>
      <w:r>
        <w:rPr>
          <w:b/>
        </w:rPr>
        <w:t>8.6</w:t>
      </w:r>
      <w:r>
        <w:t xml:space="preserve">, </w:t>
      </w:r>
      <w:r>
        <w:rPr>
          <w:b/>
        </w:rPr>
        <w:t>8.8</w:t>
      </w:r>
      <w:r>
        <w:t xml:space="preserve">, </w:t>
      </w:r>
      <w:r>
        <w:rPr>
          <w:b/>
        </w:rPr>
        <w:t>8.10</w:t>
      </w:r>
      <w:r>
        <w:t xml:space="preserve">, </w:t>
      </w:r>
      <w:r>
        <w:rPr>
          <w:b/>
        </w:rPr>
        <w:t>9.1</w:t>
      </w:r>
      <w:r>
        <w:t xml:space="preserve">, </w:t>
      </w:r>
      <w:r>
        <w:rPr>
          <w:b/>
        </w:rPr>
        <w:t>11.3</w:t>
      </w:r>
      <w:r>
        <w:t xml:space="preserve">, </w:t>
      </w:r>
      <w:r>
        <w:rPr>
          <w:b/>
        </w:rPr>
        <w:t>A.2</w:t>
      </w:r>
      <w:r>
        <w:t xml:space="preserve">, </w:t>
      </w:r>
      <w:r>
        <w:rPr>
          <w:b/>
        </w:rPr>
        <w:t>B.4</w:t>
      </w:r>
      <w:r>
        <w:t xml:space="preserve">, </w:t>
      </w:r>
      <w:r>
        <w:rPr>
          <w:b/>
        </w:rPr>
        <w:t>B.5</w:t>
      </w:r>
      <w:r>
        <w:t xml:space="preserve">, </w:t>
      </w:r>
      <w:r>
        <w:rPr>
          <w:b/>
        </w:rPr>
        <w:t>B.6</w:t>
      </w:r>
      <w:r>
        <w:t>.</w:t>
      </w:r>
    </w:p>
    <w:p>
      <w:pPr>
        <w:pStyle w:val="ListBullet"/>
      </w:pPr>
      <w:r>
        <w:t xml:space="preserve">Intervención General de la Administración del Estado (IGAE): </w:t>
      </w:r>
      <w:r>
        <w:rPr>
          <w:b/>
        </w:rPr>
        <w:t>7.6</w:t>
      </w:r>
      <w:r>
        <w:t xml:space="preserve">, </w:t>
      </w:r>
      <w:r>
        <w:rPr>
          <w:b/>
        </w:rPr>
        <w:t>A.8</w:t>
      </w:r>
      <w:r>
        <w:t>.</w:t>
      </w:r>
    </w:p>
    <w:p>
      <w:pPr>
        <w:pStyle w:val="ListBullet"/>
      </w:pPr>
      <w:r>
        <w:t xml:space="preserve">Ministerio de Educación, INEE: </w:t>
      </w:r>
      <w:r>
        <w:rPr>
          <w:b/>
        </w:rPr>
        <w:t>8.4</w:t>
      </w:r>
      <w:r>
        <w:t>.</w:t>
      </w:r>
    </w:p>
    <w:p>
      <w:pPr>
        <w:pStyle w:val="ListBullet"/>
      </w:pPr>
      <w:r>
        <w:t xml:space="preserve">Ministerio de Hacienda: </w:t>
      </w:r>
      <w:r>
        <w:rPr>
          <w:b/>
        </w:rPr>
        <w:t>8.6</w:t>
      </w:r>
      <w:r>
        <w:t xml:space="preserve">, </w:t>
      </w:r>
      <w:r>
        <w:rPr>
          <w:b/>
        </w:rPr>
        <w:t>A.9</w:t>
      </w:r>
      <w:r>
        <w:t xml:space="preserve">, </w:t>
      </w:r>
      <w:r>
        <w:rPr>
          <w:b/>
        </w:rPr>
        <w:t>C.2</w:t>
      </w:r>
      <w:r>
        <w:t>.</w:t>
      </w:r>
    </w:p>
    <w:p>
      <w:pPr>
        <w:pStyle w:val="ListBullet"/>
      </w:pPr>
      <w:r>
        <w:t xml:space="preserve">Ministerio de Justicia: </w:t>
      </w:r>
      <w:r>
        <w:rPr>
          <w:b/>
        </w:rPr>
        <w:t>11.3</w:t>
      </w:r>
      <w:r>
        <w:t xml:space="preserve">, </w:t>
      </w:r>
      <w:r>
        <w:rPr>
          <w:b/>
        </w:rPr>
        <w:t>A.5</w:t>
      </w:r>
      <w:r>
        <w:t>.</w:t>
      </w:r>
    </w:p>
    <w:p>
      <w:pPr>
        <w:pStyle w:val="ListBullet"/>
      </w:pPr>
      <w:r>
        <w:t xml:space="preserve">Ministerio de Sanidad: </w:t>
      </w:r>
      <w:r>
        <w:rPr>
          <w:b/>
        </w:rPr>
        <w:t>8.4</w:t>
      </w:r>
      <w:r>
        <w:t xml:space="preserve">, </w:t>
      </w:r>
      <w:r>
        <w:rPr>
          <w:b/>
        </w:rPr>
        <w:t>8.10</w:t>
      </w:r>
      <w:r>
        <w:t xml:space="preserve">, </w:t>
      </w:r>
      <w:r>
        <w:rPr>
          <w:b/>
        </w:rPr>
        <w:t>A.2</w:t>
      </w:r>
      <w:r>
        <w:t xml:space="preserve">, </w:t>
      </w:r>
      <w:r>
        <w:rPr>
          <w:b/>
        </w:rPr>
        <w:t>A.9</w:t>
      </w:r>
      <w:r>
        <w:t>.</w:t>
      </w:r>
    </w:p>
    <w:p>
      <w:pPr>
        <w:pStyle w:val="ListBullet"/>
      </w:pPr>
      <w:r>
        <w:t xml:space="preserve">Ministerio de Sanidad, Barómetro Sanitario: </w:t>
      </w:r>
      <w:r>
        <w:rPr>
          <w:b/>
        </w:rPr>
        <w:t>8.4</w:t>
      </w:r>
      <w:r>
        <w:t>.</w:t>
      </w:r>
    </w:p>
    <w:p>
      <w:pPr>
        <w:pStyle w:val="ListBullet"/>
      </w:pPr>
      <w:r>
        <w:t xml:space="preserve">Ministerio de Trabajo y Economía Social: </w:t>
      </w:r>
      <w:r>
        <w:rPr>
          <w:b/>
        </w:rPr>
        <w:t>A.2</w:t>
      </w:r>
      <w:r>
        <w:t>.</w:t>
      </w:r>
    </w:p>
    <w:p>
      <w:pPr>
        <w:pStyle w:val="ListBullet"/>
      </w:pPr>
      <w:r>
        <w:t xml:space="preserve">Ministerio de Vivienda, Observatorio de Vivienda y Suelo: </w:t>
      </w:r>
      <w:r>
        <w:rPr>
          <w:b/>
        </w:rPr>
        <w:t>7.6</w:t>
      </w:r>
      <w:r>
        <w:t>.</w:t>
      </w:r>
    </w:p>
    <w:p>
      <w:pPr>
        <w:pStyle w:val="ListBullet"/>
      </w:pPr>
      <w:r>
        <w:t xml:space="preserve">Ministerio del Interior: </w:t>
      </w:r>
      <w:r>
        <w:rPr>
          <w:b/>
        </w:rPr>
        <w:t>10.7</w:t>
      </w:r>
      <w:r>
        <w:t xml:space="preserve">, </w:t>
      </w:r>
      <w:r>
        <w:rPr>
          <w:b/>
        </w:rPr>
        <w:t>A.4</w:t>
      </w:r>
      <w:r>
        <w:t>.</w:t>
      </w:r>
    </w:p>
    <w:p>
      <w:pPr>
        <w:pStyle w:val="ListBullet"/>
      </w:pPr>
      <w:r>
        <w:t xml:space="preserve">OCDE: </w:t>
      </w:r>
      <w:r>
        <w:rPr>
          <w:b/>
        </w:rPr>
        <w:t>8.3</w:t>
      </w:r>
      <w:r>
        <w:t xml:space="preserve">, </w:t>
      </w:r>
      <w:r>
        <w:rPr>
          <w:b/>
        </w:rPr>
        <w:t>8.4</w:t>
      </w:r>
      <w:r>
        <w:t xml:space="preserve">, </w:t>
      </w:r>
      <w:r>
        <w:rPr>
          <w:b/>
        </w:rPr>
        <w:t>8.10</w:t>
      </w:r>
      <w:r>
        <w:t xml:space="preserve">, </w:t>
      </w:r>
      <w:r>
        <w:rPr>
          <w:b/>
        </w:rPr>
        <w:t>9.1</w:t>
      </w:r>
      <w:r>
        <w:t xml:space="preserve">, </w:t>
      </w:r>
      <w:r>
        <w:rPr>
          <w:b/>
        </w:rPr>
        <w:t>11.3</w:t>
      </w:r>
      <w:r>
        <w:t>.</w:t>
      </w:r>
    </w:p>
    <w:p>
      <w:pPr>
        <w:pStyle w:val="ListBullet"/>
      </w:pPr>
      <w:r>
        <w:t xml:space="preserve">Oficina de Estadística de Australia: </w:t>
      </w:r>
      <w:r>
        <w:rPr>
          <w:b/>
        </w:rPr>
        <w:t>F.7</w:t>
      </w:r>
      <w:r>
        <w:t>.</w:t>
      </w:r>
    </w:p>
    <w:p>
      <w:pPr>
        <w:pStyle w:val="ListBullet"/>
      </w:pPr>
      <w:r>
        <w:t xml:space="preserve">Reserva Federal de los Estados Unidos: </w:t>
      </w:r>
      <w:r>
        <w:rPr>
          <w:b/>
        </w:rPr>
        <w:t>8.1</w:t>
      </w:r>
      <w:r>
        <w:t>.</w:t>
      </w:r>
    </w:p>
    <w:p>
      <w:pPr>
        <w:pStyle w:val="ListBullet"/>
      </w:pPr>
      <w:r>
        <w:t xml:space="preserve">Resultados oficiales de los referéndums: </w:t>
      </w:r>
      <w:r>
        <w:rPr>
          <w:b/>
        </w:rPr>
        <w:t>A.4</w:t>
      </w:r>
      <w:r>
        <w:t>.</w:t>
      </w:r>
    </w:p>
    <w:p>
      <w:pPr>
        <w:pStyle w:val="ListBullet"/>
      </w:pPr>
      <w:r>
        <w:t xml:space="preserve">Seguridad Social: </w:t>
      </w:r>
      <w:r>
        <w:rPr>
          <w:b/>
        </w:rPr>
        <w:t>8.4</w:t>
      </w:r>
      <w:r>
        <w:t xml:space="preserve">, </w:t>
      </w:r>
      <w:r>
        <w:rPr>
          <w:b/>
        </w:rPr>
        <w:t>8.6</w:t>
      </w:r>
      <w:r>
        <w:t>.</w:t>
      </w:r>
    </w:p>
    <w:p>
      <w:r>
        <w:rPr>
          <w:b/>
        </w:rPr>
        <w:t>Los organismos y las instituciones</w:t>
      </w:r>
      <w:r>
        <w:t xml:space="preserve"> (66 fuentes)</w:t>
      </w:r>
    </w:p>
    <w:p>
      <w:pPr>
        <w:pStyle w:val="ListBullet"/>
      </w:pPr>
      <w:r>
        <w:t xml:space="preserve">Tribunal Constitucional, fichas de los magistrados (sitio del Tribunal): </w:t>
      </w:r>
      <w:r>
        <w:rPr>
          <w:b/>
        </w:rPr>
        <w:t>A.10</w:t>
      </w:r>
      <w:r>
        <w:t>.</w:t>
      </w:r>
    </w:p>
    <w:p>
      <w:pPr>
        <w:pStyle w:val="ListBullet"/>
      </w:pPr>
      <w:r>
        <w:t xml:space="preserve">Tribunal Constitucional, Memoria: </w:t>
      </w:r>
      <w:r>
        <w:rPr>
          <w:b/>
        </w:rPr>
        <w:t>5.1</w:t>
      </w:r>
      <w:r>
        <w:t xml:space="preserve">, </w:t>
      </w:r>
      <w:r>
        <w:rPr>
          <w:b/>
        </w:rPr>
        <w:t>7.2</w:t>
      </w:r>
      <w:r>
        <w:t xml:space="preserve">, </w:t>
      </w:r>
      <w:r>
        <w:rPr>
          <w:b/>
        </w:rPr>
        <w:t>11.3</w:t>
      </w:r>
      <w:r>
        <w:t xml:space="preserve">, </w:t>
      </w:r>
      <w:r>
        <w:rPr>
          <w:b/>
        </w:rPr>
        <w:t>A.9</w:t>
      </w:r>
      <w:r>
        <w:t xml:space="preserve">, </w:t>
      </w:r>
      <w:r>
        <w:rPr>
          <w:b/>
        </w:rPr>
        <w:t>A.10</w:t>
      </w:r>
      <w:r>
        <w:t>.</w:t>
      </w:r>
    </w:p>
    <w:p>
      <w:pPr>
        <w:pStyle w:val="ListBullet"/>
      </w:pPr>
      <w:r>
        <w:t xml:space="preserve">Agencia Federal de Educación Cívica de Alemania (bpb): </w:t>
      </w:r>
      <w:r>
        <w:rPr>
          <w:b/>
        </w:rPr>
        <w:t>9.2</w:t>
      </w:r>
      <w:r>
        <w:t>.</w:t>
      </w:r>
    </w:p>
    <w:p>
      <w:pPr>
        <w:pStyle w:val="ListBullet"/>
      </w:pPr>
      <w:r>
        <w:t xml:space="preserve">Asamblea de Ciudadanos de Irlanda: </w:t>
      </w:r>
      <w:r>
        <w:rPr>
          <w:b/>
        </w:rPr>
        <w:t>10.2</w:t>
      </w:r>
      <w:r>
        <w:t>.</w:t>
      </w:r>
    </w:p>
    <w:p>
      <w:pPr>
        <w:pStyle w:val="ListBullet"/>
      </w:pPr>
      <w:r>
        <w:t xml:space="preserve">Asamblea Federal de Checoslovaquia, proyectos y actas: </w:t>
      </w:r>
      <w:r>
        <w:rPr>
          <w:b/>
        </w:rPr>
        <w:t>9.2</w:t>
      </w:r>
      <w:r>
        <w:t>.</w:t>
      </w:r>
    </w:p>
    <w:p>
      <w:pPr>
        <w:pStyle w:val="ListBullet"/>
      </w:pPr>
      <w:r>
        <w:t xml:space="preserve">Autoridad Independiente de Responsabilidad Fiscal (AIReF): </w:t>
      </w:r>
      <w:r>
        <w:rPr>
          <w:b/>
        </w:rPr>
        <w:t>7.6</w:t>
      </w:r>
      <w:r>
        <w:t xml:space="preserve">, </w:t>
      </w:r>
      <w:r>
        <w:rPr>
          <w:b/>
        </w:rPr>
        <w:t>8.3</w:t>
      </w:r>
      <w:r>
        <w:t xml:space="preserve">, </w:t>
      </w:r>
      <w:r>
        <w:rPr>
          <w:b/>
        </w:rPr>
        <w:t>11.3</w:t>
      </w:r>
      <w:r>
        <w:t xml:space="preserve">, </w:t>
      </w:r>
      <w:r>
        <w:rPr>
          <w:b/>
        </w:rPr>
        <w:t>B.5</w:t>
      </w:r>
      <w:r>
        <w:t>.</w:t>
      </w:r>
    </w:p>
    <w:p>
      <w:pPr>
        <w:pStyle w:val="ListBullet"/>
      </w:pPr>
      <w:r>
        <w:t xml:space="preserve">Banco de Inglaterra, «Money creation in the modern economy»: </w:t>
      </w:r>
      <w:r>
        <w:rPr>
          <w:b/>
        </w:rPr>
        <w:t>5.1</w:t>
      </w:r>
      <w:r>
        <w:t xml:space="preserve">, </w:t>
      </w:r>
      <w:r>
        <w:rPr>
          <w:b/>
        </w:rPr>
        <w:t>8.1</w:t>
      </w:r>
      <w:r>
        <w:t>.</w:t>
      </w:r>
    </w:p>
    <w:p>
      <w:pPr>
        <w:pStyle w:val="ListBullet"/>
      </w:pPr>
      <w:r>
        <w:t xml:space="preserve">Biblioteca del Congreso de los Estados Unidos: </w:t>
      </w:r>
      <w:r>
        <w:rPr>
          <w:b/>
        </w:rPr>
        <w:t>9.2</w:t>
      </w:r>
      <w:r>
        <w:t xml:space="preserve">, </w:t>
      </w:r>
      <w:r>
        <w:rPr>
          <w:b/>
        </w:rPr>
        <w:t>F.4</w:t>
      </w:r>
      <w:r>
        <w:t>.</w:t>
      </w:r>
    </w:p>
    <w:p>
      <w:pPr>
        <w:pStyle w:val="ListBullet"/>
      </w:pPr>
      <w:r>
        <w:t xml:space="preserve">Boletín Oficial de las Cortes Generales: </w:t>
      </w:r>
      <w:r>
        <w:rPr>
          <w:b/>
        </w:rPr>
        <w:t>A.4</w:t>
      </w:r>
      <w:r>
        <w:t>.</w:t>
      </w:r>
    </w:p>
    <w:p>
      <w:pPr>
        <w:pStyle w:val="ListBullet"/>
      </w:pPr>
      <w:r>
        <w:t xml:space="preserve">Casa de S. M. el Rey, presupuesto y cuentas: </w:t>
      </w:r>
      <w:r>
        <w:rPr>
          <w:b/>
        </w:rPr>
        <w:t>C.2</w:t>
      </w:r>
      <w:r>
        <w:t>.</w:t>
      </w:r>
    </w:p>
    <w:p>
      <w:pPr>
        <w:pStyle w:val="ListBullet"/>
      </w:pPr>
      <w:r>
        <w:t xml:space="preserve">Centro Memorial de las Víctimas del Terrorismo, «1980. El terrorismo contra la Transición» (2020): </w:t>
      </w:r>
      <w:r>
        <w:rPr>
          <w:b/>
        </w:rPr>
        <w:t>6.1</w:t>
      </w:r>
      <w:r>
        <w:t>.</w:t>
      </w:r>
    </w:p>
    <w:p>
      <w:pPr>
        <w:pStyle w:val="ListBullet"/>
      </w:pPr>
      <w:r>
        <w:t xml:space="preserve">Comisión de Derecho de Nueva Zelanda, Māori Custom and Values in New Zealand Law: </w:t>
      </w:r>
      <w:r>
        <w:rPr>
          <w:b/>
        </w:rPr>
        <w:t>F.7</w:t>
      </w:r>
      <w:r>
        <w:t>.</w:t>
      </w:r>
    </w:p>
    <w:p>
      <w:pPr>
        <w:pStyle w:val="ListBullet"/>
      </w:pPr>
      <w:r>
        <w:t xml:space="preserve">Comisión de Reforma Legal de Australia, ALRC 31: </w:t>
      </w:r>
      <w:r>
        <w:rPr>
          <w:b/>
        </w:rPr>
        <w:t>F.7</w:t>
      </w:r>
      <w:r>
        <w:t>.</w:t>
      </w:r>
    </w:p>
    <w:p>
      <w:pPr>
        <w:pStyle w:val="ListBullet"/>
      </w:pPr>
      <w:r>
        <w:t xml:space="preserve">Comisión Europea: </w:t>
      </w:r>
      <w:r>
        <w:rPr>
          <w:b/>
        </w:rPr>
        <w:t>8.5</w:t>
      </w:r>
      <w:r>
        <w:t xml:space="preserve">, </w:t>
      </w:r>
      <w:r>
        <w:rPr>
          <w:b/>
        </w:rPr>
        <w:t>8.11</w:t>
      </w:r>
      <w:r>
        <w:t xml:space="preserve">, </w:t>
      </w:r>
      <w:r>
        <w:rPr>
          <w:b/>
        </w:rPr>
        <w:t>A.2</w:t>
      </w:r>
      <w:r>
        <w:t xml:space="preserve">, </w:t>
      </w:r>
      <w:r>
        <w:rPr>
          <w:b/>
        </w:rPr>
        <w:t>A.5</w:t>
      </w:r>
      <w:r>
        <w:t xml:space="preserve">, </w:t>
      </w:r>
      <w:r>
        <w:rPr>
          <w:b/>
        </w:rPr>
        <w:t>A.7</w:t>
      </w:r>
      <w:r>
        <w:t>.</w:t>
      </w:r>
    </w:p>
    <w:p>
      <w:pPr>
        <w:pStyle w:val="ListBullet"/>
      </w:pPr>
      <w:r>
        <w:t xml:space="preserve">Comisión Nacional de los Mercados y la Competencia (CNMC; antes CNC): </w:t>
      </w:r>
      <w:r>
        <w:rPr>
          <w:b/>
        </w:rPr>
        <w:t>A.2</w:t>
      </w:r>
      <w:r>
        <w:t>.</w:t>
      </w:r>
    </w:p>
    <w:p>
      <w:pPr>
        <w:pStyle w:val="ListBullet"/>
      </w:pPr>
      <w:r>
        <w:t xml:space="preserve">Confederación Haudenosaunee, «Who we are»: </w:t>
      </w:r>
      <w:r>
        <w:rPr>
          <w:b/>
        </w:rPr>
        <w:t>F.7</w:t>
      </w:r>
      <w:r>
        <w:t>.</w:t>
      </w:r>
    </w:p>
    <w:p>
      <w:pPr>
        <w:pStyle w:val="ListBullet"/>
      </w:pPr>
      <w:r>
        <w:t xml:space="preserve">Congreso de los Diputados: </w:t>
      </w:r>
      <w:r>
        <w:rPr>
          <w:b/>
        </w:rPr>
        <w:t>7.2</w:t>
      </w:r>
      <w:r>
        <w:t xml:space="preserve">, </w:t>
      </w:r>
      <w:r>
        <w:rPr>
          <w:b/>
        </w:rPr>
        <w:t>11.3</w:t>
      </w:r>
      <w:r>
        <w:t xml:space="preserve">, </w:t>
      </w:r>
      <w:r>
        <w:rPr>
          <w:b/>
        </w:rPr>
        <w:t>A.4</w:t>
      </w:r>
      <w:r>
        <w:t xml:space="preserve">, </w:t>
      </w:r>
      <w:r>
        <w:rPr>
          <w:b/>
        </w:rPr>
        <w:t>A.6</w:t>
      </w:r>
      <w:r>
        <w:t xml:space="preserve">, </w:t>
      </w:r>
      <w:r>
        <w:rPr>
          <w:b/>
        </w:rPr>
        <w:t>A.11</w:t>
      </w:r>
      <w:r>
        <w:t xml:space="preserve">, </w:t>
      </w:r>
      <w:r>
        <w:rPr>
          <w:b/>
        </w:rPr>
        <w:t>C.2</w:t>
      </w:r>
      <w:r>
        <w:t xml:space="preserve">, </w:t>
      </w:r>
      <w:r>
        <w:rPr>
          <w:b/>
        </w:rPr>
        <w:t>C.4</w:t>
      </w:r>
      <w:r>
        <w:t>.</w:t>
      </w:r>
    </w:p>
    <w:p>
      <w:pPr>
        <w:pStyle w:val="ListBullet"/>
      </w:pPr>
      <w:r>
        <w:t xml:space="preserve">Congreso de los Diputados, Portal de la Constitución (sinopsis y comentarios): </w:t>
      </w:r>
      <w:r>
        <w:rPr>
          <w:b/>
        </w:rPr>
        <w:t>A.4</w:t>
      </w:r>
      <w:r>
        <w:t xml:space="preserve">, </w:t>
      </w:r>
      <w:r>
        <w:rPr>
          <w:b/>
        </w:rPr>
        <w:t>A.6</w:t>
      </w:r>
      <w:r>
        <w:t xml:space="preserve">, </w:t>
      </w:r>
      <w:r>
        <w:rPr>
          <w:b/>
        </w:rPr>
        <w:t>A.8</w:t>
      </w:r>
      <w:r>
        <w:t xml:space="preserve">, </w:t>
      </w:r>
      <w:r>
        <w:rPr>
          <w:b/>
        </w:rPr>
        <w:t>A.9</w:t>
      </w:r>
      <w:r>
        <w:t>.</w:t>
      </w:r>
    </w:p>
    <w:p>
      <w:pPr>
        <w:pStyle w:val="ListBullet"/>
      </w:pPr>
      <w:r>
        <w:t xml:space="preserve">Congreso, comparecencia de la directora del CNI: </w:t>
      </w:r>
      <w:r>
        <w:rPr>
          <w:b/>
        </w:rPr>
        <w:t>A.2</w:t>
      </w:r>
      <w:r>
        <w:t>.</w:t>
      </w:r>
    </w:p>
    <w:p>
      <w:pPr>
        <w:pStyle w:val="ListBullet"/>
      </w:pPr>
      <w:r>
        <w:t xml:space="preserve">Consejo de Estado: </w:t>
      </w:r>
      <w:r>
        <w:rPr>
          <w:b/>
        </w:rPr>
        <w:t>6.4</w:t>
      </w:r>
      <w:r>
        <w:t xml:space="preserve">, </w:t>
      </w:r>
      <w:r>
        <w:rPr>
          <w:b/>
        </w:rPr>
        <w:t>7.3</w:t>
      </w:r>
      <w:r>
        <w:t xml:space="preserve">, </w:t>
      </w:r>
      <w:r>
        <w:rPr>
          <w:b/>
        </w:rPr>
        <w:t>9.2</w:t>
      </w:r>
      <w:r>
        <w:t xml:space="preserve">, </w:t>
      </w:r>
      <w:r>
        <w:rPr>
          <w:b/>
        </w:rPr>
        <w:t>A.5</w:t>
      </w:r>
      <w:r>
        <w:t>.</w:t>
      </w:r>
    </w:p>
    <w:p>
      <w:pPr>
        <w:pStyle w:val="ListBullet"/>
      </w:pPr>
      <w:r>
        <w:t xml:space="preserve">Consejo de Europa, Congreso de Autoridades Locales y Regionales: </w:t>
      </w:r>
      <w:r>
        <w:rPr>
          <w:b/>
        </w:rPr>
        <w:t>A.9</w:t>
      </w:r>
      <w:r>
        <w:t>.</w:t>
      </w:r>
    </w:p>
    <w:p>
      <w:pPr>
        <w:pStyle w:val="ListBullet"/>
      </w:pPr>
      <w:r>
        <w:t xml:space="preserve">Consejo de Europa, GRECO: </w:t>
      </w:r>
      <w:r>
        <w:rPr>
          <w:b/>
        </w:rPr>
        <w:t>7.2</w:t>
      </w:r>
      <w:r>
        <w:t xml:space="preserve">, </w:t>
      </w:r>
      <w:r>
        <w:rPr>
          <w:b/>
        </w:rPr>
        <w:t>7.3</w:t>
      </w:r>
      <w:r>
        <w:t xml:space="preserve">, </w:t>
      </w:r>
      <w:r>
        <w:rPr>
          <w:b/>
        </w:rPr>
        <w:t>11.3</w:t>
      </w:r>
      <w:r>
        <w:t xml:space="preserve">, </w:t>
      </w:r>
      <w:r>
        <w:rPr>
          <w:b/>
        </w:rPr>
        <w:t>A.1</w:t>
      </w:r>
      <w:r>
        <w:t>.</w:t>
      </w:r>
    </w:p>
    <w:p>
      <w:pPr>
        <w:pStyle w:val="ListBullet"/>
      </w:pPr>
      <w:r>
        <w:t xml:space="preserve">Consejo de Transparencia y Buen Gobierno: </w:t>
      </w:r>
      <w:r>
        <w:rPr>
          <w:b/>
        </w:rPr>
        <w:t>10.2</w:t>
      </w:r>
      <w:r>
        <w:t xml:space="preserve">, </w:t>
      </w:r>
      <w:r>
        <w:rPr>
          <w:b/>
        </w:rPr>
        <w:t>A.5</w:t>
      </w:r>
      <w:r>
        <w:t>.</w:t>
      </w:r>
    </w:p>
    <w:p>
      <w:pPr>
        <w:pStyle w:val="ListBullet"/>
      </w:pPr>
      <w:r>
        <w:t xml:space="preserve">Consejo General del Poder Judicial (CGPJ): </w:t>
      </w:r>
      <w:r>
        <w:rPr>
          <w:b/>
        </w:rPr>
        <w:t>6.4</w:t>
      </w:r>
      <w:r>
        <w:t xml:space="preserve">, </w:t>
      </w:r>
      <w:r>
        <w:rPr>
          <w:b/>
        </w:rPr>
        <w:t>7.3</w:t>
      </w:r>
      <w:r>
        <w:t xml:space="preserve">, </w:t>
      </w:r>
      <w:r>
        <w:rPr>
          <w:b/>
        </w:rPr>
        <w:t>7.5</w:t>
      </w:r>
      <w:r>
        <w:t xml:space="preserve">, </w:t>
      </w:r>
      <w:r>
        <w:rPr>
          <w:b/>
        </w:rPr>
        <w:t>7.7</w:t>
      </w:r>
      <w:r>
        <w:t xml:space="preserve">, </w:t>
      </w:r>
      <w:r>
        <w:rPr>
          <w:b/>
        </w:rPr>
        <w:t>10.2</w:t>
      </w:r>
      <w:r>
        <w:t xml:space="preserve">, </w:t>
      </w:r>
      <w:r>
        <w:rPr>
          <w:b/>
        </w:rPr>
        <w:t>11.3</w:t>
      </w:r>
      <w:r>
        <w:t xml:space="preserve">, </w:t>
      </w:r>
      <w:r>
        <w:rPr>
          <w:b/>
        </w:rPr>
        <w:t>A.2</w:t>
      </w:r>
      <w:r>
        <w:t xml:space="preserve">, </w:t>
      </w:r>
      <w:r>
        <w:rPr>
          <w:b/>
        </w:rPr>
        <w:t>A.6</w:t>
      </w:r>
      <w:r>
        <w:t xml:space="preserve">, </w:t>
      </w:r>
      <w:r>
        <w:rPr>
          <w:b/>
        </w:rPr>
        <w:t>A.7</w:t>
      </w:r>
      <w:r>
        <w:t xml:space="preserve">, </w:t>
      </w:r>
      <w:r>
        <w:rPr>
          <w:b/>
        </w:rPr>
        <w:t>A.9</w:t>
      </w:r>
      <w:r>
        <w:t>.</w:t>
      </w:r>
    </w:p>
    <w:p>
      <w:pPr>
        <w:pStyle w:val="ListBullet"/>
      </w:pPr>
      <w:r>
        <w:t xml:space="preserve">Crónica del Muro (Chronik der Mauer, Berlín): </w:t>
      </w:r>
      <w:r>
        <w:rPr>
          <w:b/>
        </w:rPr>
        <w:t>9.2</w:t>
      </w:r>
      <w:r>
        <w:t>.</w:t>
      </w:r>
    </w:p>
    <w:p>
      <w:pPr>
        <w:pStyle w:val="ListBullet"/>
      </w:pPr>
      <w:r>
        <w:t xml:space="preserve">Defensor del Pueblo: </w:t>
      </w:r>
      <w:r>
        <w:rPr>
          <w:b/>
        </w:rPr>
        <w:t>8.4</w:t>
      </w:r>
      <w:r>
        <w:t xml:space="preserve">, </w:t>
      </w:r>
      <w:r>
        <w:rPr>
          <w:b/>
        </w:rPr>
        <w:t>A.2</w:t>
      </w:r>
      <w:r>
        <w:t xml:space="preserve">, </w:t>
      </w:r>
      <w:r>
        <w:rPr>
          <w:b/>
        </w:rPr>
        <w:t>A.9</w:t>
      </w:r>
      <w:r>
        <w:t>.</w:t>
      </w:r>
    </w:p>
    <w:p>
      <w:pPr>
        <w:pStyle w:val="ListBullet"/>
      </w:pPr>
      <w:r>
        <w:t xml:space="preserve">Departamento de Educación de Nunavut: </w:t>
      </w:r>
      <w:r>
        <w:rPr>
          <w:b/>
        </w:rPr>
        <w:t>F.7</w:t>
      </w:r>
      <w:r>
        <w:t>.</w:t>
      </w:r>
    </w:p>
    <w:p>
      <w:pPr>
        <w:pStyle w:val="ListBullet"/>
      </w:pPr>
      <w:r>
        <w:t xml:space="preserve">Departamento de Estado de EE. UU., Oficina del Historiador: </w:t>
      </w:r>
      <w:r>
        <w:rPr>
          <w:b/>
        </w:rPr>
        <w:t>9.2</w:t>
      </w:r>
      <w:r>
        <w:t>.</w:t>
      </w:r>
    </w:p>
    <w:p>
      <w:pPr>
        <w:pStyle w:val="ListBullet"/>
      </w:pPr>
      <w:r>
        <w:t xml:space="preserve">Diario de Sesiones de las Cortes Generales: </w:t>
      </w:r>
      <w:r>
        <w:rPr>
          <w:b/>
        </w:rPr>
        <w:t>6.1</w:t>
      </w:r>
      <w:r>
        <w:t xml:space="preserve">, </w:t>
      </w:r>
      <w:r>
        <w:rPr>
          <w:b/>
        </w:rPr>
        <w:t>8.1</w:t>
      </w:r>
      <w:r>
        <w:t xml:space="preserve">, </w:t>
      </w:r>
      <w:r>
        <w:rPr>
          <w:b/>
        </w:rPr>
        <w:t>8.5</w:t>
      </w:r>
      <w:r>
        <w:t xml:space="preserve">, </w:t>
      </w:r>
      <w:r>
        <w:rPr>
          <w:b/>
        </w:rPr>
        <w:t>A.1</w:t>
      </w:r>
      <w:r>
        <w:t xml:space="preserve">, </w:t>
      </w:r>
      <w:r>
        <w:rPr>
          <w:b/>
        </w:rPr>
        <w:t>A.4</w:t>
      </w:r>
      <w:r>
        <w:t>.</w:t>
      </w:r>
    </w:p>
    <w:p>
      <w:pPr>
        <w:pStyle w:val="ListBullet"/>
      </w:pPr>
      <w:r>
        <w:t xml:space="preserve">F. W. de Klerk, discurso de 2-2-1990: </w:t>
      </w:r>
      <w:r>
        <w:rPr>
          <w:b/>
        </w:rPr>
        <w:t>9.2</w:t>
      </w:r>
      <w:r>
        <w:t>.</w:t>
      </w:r>
    </w:p>
    <w:p>
      <w:pPr>
        <w:pStyle w:val="ListBullet"/>
      </w:pPr>
      <w:r>
        <w:t xml:space="preserve">Federación Española de Municipios y Provincias (FEMP): </w:t>
      </w:r>
      <w:r>
        <w:rPr>
          <w:b/>
        </w:rPr>
        <w:t>A.9</w:t>
      </w:r>
      <w:r>
        <w:t>.</w:t>
      </w:r>
    </w:p>
    <w:p>
      <w:pPr>
        <w:pStyle w:val="ListBullet"/>
      </w:pPr>
      <w:r>
        <w:t xml:space="preserve">Fiscalía General del Estado: </w:t>
      </w:r>
      <w:r>
        <w:rPr>
          <w:b/>
        </w:rPr>
        <w:t>7.2</w:t>
      </w:r>
      <w:r>
        <w:t xml:space="preserve">, </w:t>
      </w:r>
      <w:r>
        <w:rPr>
          <w:b/>
        </w:rPr>
        <w:t>7.7</w:t>
      </w:r>
      <w:r>
        <w:t>.</w:t>
      </w:r>
    </w:p>
    <w:p>
      <w:pPr>
        <w:pStyle w:val="ListBullet"/>
      </w:pPr>
      <w:r>
        <w:t xml:space="preserve">FROB: </w:t>
      </w:r>
      <w:r>
        <w:rPr>
          <w:b/>
        </w:rPr>
        <w:t>A.8</w:t>
      </w:r>
      <w:r>
        <w:t>.</w:t>
      </w:r>
    </w:p>
    <w:p>
      <w:pPr>
        <w:pStyle w:val="ListBullet"/>
      </w:pPr>
      <w:r>
        <w:t xml:space="preserve">Gaceta Oficial de Filipinas: </w:t>
      </w:r>
      <w:r>
        <w:rPr>
          <w:b/>
        </w:rPr>
        <w:t>9.2</w:t>
      </w:r>
      <w:r>
        <w:t>.</w:t>
      </w:r>
    </w:p>
    <w:p>
      <w:pPr>
        <w:pStyle w:val="ListBullet"/>
      </w:pPr>
      <w:r>
        <w:t xml:space="preserve">Gandhi Heritage Portal: </w:t>
      </w:r>
      <w:r>
        <w:rPr>
          <w:b/>
        </w:rPr>
        <w:t>9.2</w:t>
      </w:r>
      <w:r>
        <w:t>.</w:t>
      </w:r>
    </w:p>
    <w:p>
      <w:pPr>
        <w:pStyle w:val="ListBullet"/>
      </w:pPr>
      <w:r>
        <w:t xml:space="preserve">Generalitat de Catalunya: </w:t>
      </w:r>
      <w:r>
        <w:rPr>
          <w:b/>
        </w:rPr>
        <w:t>8.7</w:t>
      </w:r>
      <w:r>
        <w:t xml:space="preserve">, </w:t>
      </w:r>
      <w:r>
        <w:rPr>
          <w:b/>
        </w:rPr>
        <w:t>A.1</w:t>
      </w:r>
      <w:r>
        <w:t xml:space="preserve">, </w:t>
      </w:r>
      <w:r>
        <w:rPr>
          <w:b/>
        </w:rPr>
        <w:t>A.9</w:t>
      </w:r>
      <w:r>
        <w:t>.</w:t>
      </w:r>
    </w:p>
    <w:p>
      <w:pPr>
        <w:pStyle w:val="ListBullet"/>
      </w:pPr>
      <w:r>
        <w:t xml:space="preserve">Gobierno de Islandia: </w:t>
      </w:r>
      <w:r>
        <w:rPr>
          <w:b/>
        </w:rPr>
        <w:t>9.2</w:t>
      </w:r>
      <w:r>
        <w:t>.</w:t>
      </w:r>
    </w:p>
    <w:p>
      <w:pPr>
        <w:pStyle w:val="ListBullet"/>
      </w:pPr>
      <w:r>
        <w:t xml:space="preserve">Gobierno de los Países Bajos (Rijksoverheid): </w:t>
      </w:r>
      <w:r>
        <w:rPr>
          <w:b/>
        </w:rPr>
        <w:t>8.11</w:t>
      </w:r>
      <w:r>
        <w:t>.</w:t>
      </w:r>
    </w:p>
    <w:p>
      <w:pPr>
        <w:pStyle w:val="ListBullet"/>
      </w:pPr>
      <w:r>
        <w:t xml:space="preserve">Gobierno de Melilla, sesión de control (enero de 2025): </w:t>
      </w:r>
      <w:r>
        <w:rPr>
          <w:b/>
        </w:rPr>
        <w:t>A.9</w:t>
      </w:r>
      <w:r>
        <w:t>.</w:t>
      </w:r>
    </w:p>
    <w:p>
      <w:pPr>
        <w:pStyle w:val="ListBullet"/>
      </w:pPr>
      <w:r>
        <w:t xml:space="preserve">Instituto de la Memoria Nacional de Polonia (IPN): </w:t>
      </w:r>
      <w:r>
        <w:rPr>
          <w:b/>
        </w:rPr>
        <w:t>9.2</w:t>
      </w:r>
      <w:r>
        <w:t>.</w:t>
      </w:r>
    </w:p>
    <w:p>
      <w:pPr>
        <w:pStyle w:val="ListBullet"/>
      </w:pPr>
      <w:r>
        <w:t xml:space="preserve">Instituto Nacional de Administración Pública (INAP): </w:t>
      </w:r>
      <w:r>
        <w:rPr>
          <w:b/>
        </w:rPr>
        <w:t>A.9</w:t>
      </w:r>
      <w:r>
        <w:t>.</w:t>
      </w:r>
    </w:p>
    <w:p>
      <w:pPr>
        <w:pStyle w:val="ListBullet"/>
      </w:pPr>
      <w:r>
        <w:t xml:space="preserve">Instituto para el Estudio de los Regímenes Totalitarios (ÚSTR, Chequia): </w:t>
      </w:r>
      <w:r>
        <w:rPr>
          <w:b/>
        </w:rPr>
        <w:t>9.2</w:t>
      </w:r>
      <w:r>
        <w:t>.</w:t>
      </w:r>
    </w:p>
    <w:p>
      <w:pPr>
        <w:pStyle w:val="ListBullet"/>
      </w:pPr>
      <w:r>
        <w:t xml:space="preserve">INTOSAI, ISSAI 300: </w:t>
      </w:r>
      <w:r>
        <w:rPr>
          <w:b/>
        </w:rPr>
        <w:t>7.5</w:t>
      </w:r>
      <w:r>
        <w:t>.</w:t>
      </w:r>
    </w:p>
    <w:p>
      <w:pPr>
        <w:pStyle w:val="ListBullet"/>
      </w:pPr>
      <w:r>
        <w:t xml:space="preserve">Islandia, Comisión Investigadora Especial (2010): </w:t>
      </w:r>
      <w:r>
        <w:rPr>
          <w:b/>
        </w:rPr>
        <w:t>9.2</w:t>
      </w:r>
      <w:r>
        <w:t>.</w:t>
      </w:r>
    </w:p>
    <w:p>
      <w:pPr>
        <w:pStyle w:val="ListBullet"/>
      </w:pPr>
      <w:r>
        <w:t xml:space="preserve">Junta Electoral Central, acuerdo de 3-I-2020: </w:t>
      </w:r>
      <w:r>
        <w:rPr>
          <w:b/>
        </w:rPr>
        <w:t>A.4</w:t>
      </w:r>
      <w:r>
        <w:t>.</w:t>
      </w:r>
    </w:p>
    <w:p>
      <w:pPr>
        <w:pStyle w:val="ListBullet"/>
      </w:pPr>
      <w:r>
        <w:t xml:space="preserve">La Moncloa, Gobierno de España: </w:t>
      </w:r>
      <w:r>
        <w:rPr>
          <w:b/>
        </w:rPr>
        <w:t>7.2</w:t>
      </w:r>
      <w:r>
        <w:t xml:space="preserve">, </w:t>
      </w:r>
      <w:r>
        <w:rPr>
          <w:b/>
        </w:rPr>
        <w:t>7.5</w:t>
      </w:r>
      <w:r>
        <w:t xml:space="preserve">, </w:t>
      </w:r>
      <w:r>
        <w:rPr>
          <w:b/>
        </w:rPr>
        <w:t>8.5</w:t>
      </w:r>
      <w:r>
        <w:t xml:space="preserve">, </w:t>
      </w:r>
      <w:r>
        <w:rPr>
          <w:b/>
        </w:rPr>
        <w:t>11.3</w:t>
      </w:r>
      <w:r>
        <w:t xml:space="preserve">, </w:t>
      </w:r>
      <w:r>
        <w:rPr>
          <w:b/>
        </w:rPr>
        <w:t>A.2</w:t>
      </w:r>
      <w:r>
        <w:t xml:space="preserve">, </w:t>
      </w:r>
      <w:r>
        <w:rPr>
          <w:b/>
        </w:rPr>
        <w:t>C.1</w:t>
      </w:r>
      <w:r>
        <w:t>.</w:t>
      </w:r>
    </w:p>
    <w:p>
      <w:pPr>
        <w:pStyle w:val="ListBullet"/>
      </w:pPr>
      <w:r>
        <w:t xml:space="preserve">Ministerio de Defensa: </w:t>
      </w:r>
      <w:r>
        <w:rPr>
          <w:b/>
        </w:rPr>
        <w:t>A.1</w:t>
      </w:r>
      <w:r>
        <w:t>.</w:t>
      </w:r>
    </w:p>
    <w:p>
      <w:pPr>
        <w:pStyle w:val="ListBullet"/>
      </w:pPr>
      <w:r>
        <w:t xml:space="preserve">Ministerio de Educación de Polonia: </w:t>
      </w:r>
      <w:r>
        <w:rPr>
          <w:b/>
        </w:rPr>
        <w:t>9.2</w:t>
      </w:r>
      <w:r>
        <w:t>.</w:t>
      </w:r>
    </w:p>
    <w:p>
      <w:pPr>
        <w:pStyle w:val="ListBullet"/>
      </w:pPr>
      <w:r>
        <w:t xml:space="preserve">Ministerio de Trabajo, Comisión Internacional de Personas Expertas sobre la Democracia en el Trabajo: </w:t>
      </w:r>
      <w:r>
        <w:rPr>
          <w:b/>
        </w:rPr>
        <w:t>A.8</w:t>
      </w:r>
      <w:r>
        <w:t>.</w:t>
      </w:r>
    </w:p>
    <w:p>
      <w:pPr>
        <w:pStyle w:val="ListBullet"/>
      </w:pPr>
      <w:r>
        <w:t xml:space="preserve">Ministerio para la Transición Ecológica y el Reto Demográfico, nota de prensa: </w:t>
      </w:r>
      <w:r>
        <w:rPr>
          <w:b/>
        </w:rPr>
        <w:t>A.2</w:t>
      </w:r>
      <w:r>
        <w:t>.</w:t>
      </w:r>
    </w:p>
    <w:p>
      <w:pPr>
        <w:pStyle w:val="ListBullet"/>
      </w:pPr>
      <w:r>
        <w:t xml:space="preserve">NDI y Centro Carter, misión de observación: </w:t>
      </w:r>
      <w:r>
        <w:rPr>
          <w:b/>
        </w:rPr>
        <w:t>9.2</w:t>
      </w:r>
      <w:r>
        <w:t>.</w:t>
      </w:r>
    </w:p>
    <w:p>
      <w:pPr>
        <w:pStyle w:val="ListBullet"/>
      </w:pPr>
      <w:r>
        <w:t xml:space="preserve">Oficina de Prensa del Gobierno de la India: </w:t>
      </w:r>
      <w:r>
        <w:rPr>
          <w:b/>
        </w:rPr>
        <w:t>9.2</w:t>
      </w:r>
      <w:r>
        <w:t>.</w:t>
      </w:r>
    </w:p>
    <w:p>
      <w:pPr>
        <w:pStyle w:val="ListBullet"/>
      </w:pPr>
      <w:r>
        <w:t xml:space="preserve">OSCE/ODIHR: </w:t>
      </w:r>
      <w:r>
        <w:rPr>
          <w:b/>
        </w:rPr>
        <w:t>9.2</w:t>
      </w:r>
      <w:r>
        <w:t>.</w:t>
      </w:r>
    </w:p>
    <w:p>
      <w:pPr>
        <w:pStyle w:val="ListBullet"/>
      </w:pPr>
      <w:r>
        <w:t xml:space="preserve">OTAN: </w:t>
      </w:r>
      <w:r>
        <w:rPr>
          <w:b/>
        </w:rPr>
        <w:t>A.1</w:t>
      </w:r>
      <w:r>
        <w:t>.</w:t>
      </w:r>
    </w:p>
    <w:p>
      <w:pPr>
        <w:pStyle w:val="ListBullet"/>
      </w:pPr>
      <w:r>
        <w:t xml:space="preserve">Pacto Antitransfuguismo (1998, III Adenda 2020): </w:t>
      </w:r>
      <w:r>
        <w:rPr>
          <w:b/>
        </w:rPr>
        <w:t>A.4</w:t>
      </w:r>
      <w:r>
        <w:t>.</w:t>
      </w:r>
    </w:p>
    <w:p>
      <w:pPr>
        <w:pStyle w:val="ListBullet"/>
      </w:pPr>
      <w:r>
        <w:t xml:space="preserve">Parks Australia, ficha «Tjukurpa»: </w:t>
      </w:r>
      <w:r>
        <w:rPr>
          <w:b/>
        </w:rPr>
        <w:t>1.4</w:t>
      </w:r>
      <w:r>
        <w:t>.</w:t>
      </w:r>
    </w:p>
    <w:p>
      <w:pPr>
        <w:pStyle w:val="ListBullet"/>
      </w:pPr>
      <w:r>
        <w:t xml:space="preserve">Parlamento del Reino Unido: </w:t>
      </w:r>
      <w:r>
        <w:rPr>
          <w:b/>
        </w:rPr>
        <w:t>9.2</w:t>
      </w:r>
      <w:r>
        <w:t>.</w:t>
      </w:r>
    </w:p>
    <w:p>
      <w:pPr>
        <w:pStyle w:val="ListBullet"/>
      </w:pPr>
      <w:r>
        <w:t xml:space="preserve">Parlamento Europeo, Observatorio Legislativo: </w:t>
      </w:r>
      <w:r>
        <w:rPr>
          <w:b/>
        </w:rPr>
        <w:t>8.11</w:t>
      </w:r>
      <w:r>
        <w:t>.</w:t>
      </w:r>
    </w:p>
    <w:p>
      <w:pPr>
        <w:pStyle w:val="ListBullet"/>
      </w:pPr>
      <w:r>
        <w:t xml:space="preserve">Portal de la Transparencia: </w:t>
      </w:r>
      <w:r>
        <w:rPr>
          <w:b/>
        </w:rPr>
        <w:t>C.1</w:t>
      </w:r>
      <w:r>
        <w:t xml:space="preserve">, </w:t>
      </w:r>
      <w:r>
        <w:rPr>
          <w:b/>
        </w:rPr>
        <w:t>C.2</w:t>
      </w:r>
      <w:r>
        <w:t>.</w:t>
      </w:r>
    </w:p>
    <w:p>
      <w:pPr>
        <w:pStyle w:val="ListBullet"/>
      </w:pPr>
      <w:r>
        <w:t xml:space="preserve">Presidencia de la República Checa: </w:t>
      </w:r>
      <w:r>
        <w:rPr>
          <w:b/>
        </w:rPr>
        <w:t>9.2</w:t>
      </w:r>
      <w:r>
        <w:t>.</w:t>
      </w:r>
    </w:p>
    <w:p>
      <w:pPr>
        <w:pStyle w:val="ListBullet"/>
      </w:pPr>
      <w:r>
        <w:t xml:space="preserve">Presidencia de los Estados Unidos: </w:t>
      </w:r>
      <w:r>
        <w:rPr>
          <w:b/>
        </w:rPr>
        <w:t>8.1</w:t>
      </w:r>
      <w:r>
        <w:t xml:space="preserve">, </w:t>
      </w:r>
      <w:r>
        <w:rPr>
          <w:b/>
        </w:rPr>
        <w:t>9.2</w:t>
      </w:r>
      <w:r>
        <w:t>.</w:t>
      </w:r>
    </w:p>
    <w:p>
      <w:pPr>
        <w:pStyle w:val="ListBullet"/>
      </w:pPr>
      <w:r>
        <w:t xml:space="preserve">Sejm de Polonia: </w:t>
      </w:r>
      <w:r>
        <w:rPr>
          <w:b/>
        </w:rPr>
        <w:t>9.2</w:t>
      </w:r>
      <w:r>
        <w:t>.</w:t>
      </w:r>
    </w:p>
    <w:p>
      <w:pPr>
        <w:pStyle w:val="ListBullet"/>
      </w:pPr>
      <w:r>
        <w:t xml:space="preserve">Senado: </w:t>
      </w:r>
      <w:r>
        <w:rPr>
          <w:b/>
        </w:rPr>
        <w:t>8.6</w:t>
      </w:r>
      <w:r>
        <w:t xml:space="preserve">, </w:t>
      </w:r>
      <w:r>
        <w:rPr>
          <w:b/>
        </w:rPr>
        <w:t>C.2</w:t>
      </w:r>
      <w:r>
        <w:t>.</w:t>
      </w:r>
    </w:p>
    <w:p>
      <w:pPr>
        <w:pStyle w:val="ListBullet"/>
      </w:pPr>
      <w:r>
        <w:t xml:space="preserve">Sudáfrica, Comisión de la Verdad y la Reconciliación: </w:t>
      </w:r>
      <w:r>
        <w:rPr>
          <w:b/>
        </w:rPr>
        <w:t>2.2</w:t>
      </w:r>
      <w:r>
        <w:t>.</w:t>
      </w:r>
    </w:p>
    <w:p>
      <w:pPr>
        <w:pStyle w:val="ListBullet"/>
      </w:pPr>
      <w:r>
        <w:t xml:space="preserve">Tribunal de Cuentas: </w:t>
      </w:r>
      <w:r>
        <w:rPr>
          <w:b/>
        </w:rPr>
        <w:t>6.4</w:t>
      </w:r>
      <w:r>
        <w:t xml:space="preserve">, </w:t>
      </w:r>
      <w:r>
        <w:rPr>
          <w:b/>
        </w:rPr>
        <w:t>7.2</w:t>
      </w:r>
      <w:r>
        <w:t xml:space="preserve">, </w:t>
      </w:r>
      <w:r>
        <w:rPr>
          <w:b/>
        </w:rPr>
        <w:t>7.5</w:t>
      </w:r>
      <w:r>
        <w:t xml:space="preserve">, </w:t>
      </w:r>
      <w:r>
        <w:rPr>
          <w:b/>
        </w:rPr>
        <w:t>8.7</w:t>
      </w:r>
      <w:r>
        <w:t xml:space="preserve">, </w:t>
      </w:r>
      <w:r>
        <w:rPr>
          <w:b/>
        </w:rPr>
        <w:t>9.1</w:t>
      </w:r>
      <w:r>
        <w:t xml:space="preserve">, </w:t>
      </w:r>
      <w:r>
        <w:rPr>
          <w:b/>
        </w:rPr>
        <w:t>11.3</w:t>
      </w:r>
      <w:r>
        <w:t xml:space="preserve">, </w:t>
      </w:r>
      <w:r>
        <w:rPr>
          <w:b/>
        </w:rPr>
        <w:t>A.2</w:t>
      </w:r>
      <w:r>
        <w:t xml:space="preserve">, </w:t>
      </w:r>
      <w:r>
        <w:rPr>
          <w:b/>
        </w:rPr>
        <w:t>A.3</w:t>
      </w:r>
      <w:r>
        <w:t xml:space="preserve">, </w:t>
      </w:r>
      <w:r>
        <w:rPr>
          <w:b/>
        </w:rPr>
        <w:t>A.8</w:t>
      </w:r>
      <w:r>
        <w:t xml:space="preserve">, </w:t>
      </w:r>
      <w:r>
        <w:rPr>
          <w:b/>
        </w:rPr>
        <w:t>C.2</w:t>
      </w:r>
      <w:r>
        <w:t>.</w:t>
      </w:r>
    </w:p>
    <w:p>
      <w:pPr>
        <w:pStyle w:val="ListBullet"/>
      </w:pPr>
      <w:r>
        <w:t xml:space="preserve">UNESCO: </w:t>
      </w:r>
      <w:r>
        <w:rPr>
          <w:b/>
        </w:rPr>
        <w:t>0.1</w:t>
      </w:r>
      <w:r>
        <w:t xml:space="preserve">, </w:t>
      </w:r>
      <w:r>
        <w:rPr>
          <w:b/>
        </w:rPr>
        <w:t>1.5</w:t>
      </w:r>
      <w:r>
        <w:t xml:space="preserve">, </w:t>
      </w:r>
      <w:r>
        <w:rPr>
          <w:b/>
        </w:rPr>
        <w:t>F.7</w:t>
      </w:r>
      <w:r>
        <w:t>.</w:t>
      </w:r>
    </w:p>
    <w:p>
      <w:r>
        <w:rPr>
          <w:b/>
        </w:rPr>
        <w:t>Los textos sagrados y de las tradiciones</w:t>
      </w:r>
      <w:r>
        <w:t xml:space="preserve"> (66 fuentes)</w:t>
      </w:r>
    </w:p>
    <w:p>
      <w:pPr>
        <w:pStyle w:val="ListBullet"/>
      </w:pPr>
      <w:r>
        <w:t xml:space="preserve">Aṅguttara Nikāya: </w:t>
      </w:r>
      <w:r>
        <w:rPr>
          <w:b/>
        </w:rPr>
        <w:t>J.3</w:t>
      </w:r>
      <w:r>
        <w:t>.</w:t>
      </w:r>
    </w:p>
    <w:p>
      <w:pPr>
        <w:pStyle w:val="ListBullet"/>
      </w:pPr>
      <w:r>
        <w:t xml:space="preserve">Bhagavad Gita: </w:t>
      </w:r>
      <w:r>
        <w:rPr>
          <w:b/>
        </w:rPr>
        <w:t>1.9</w:t>
      </w:r>
      <w:r>
        <w:t xml:space="preserve">, </w:t>
      </w:r>
      <w:r>
        <w:rPr>
          <w:b/>
        </w:rPr>
        <w:t>3.6</w:t>
      </w:r>
      <w:r>
        <w:t xml:space="preserve">, </w:t>
      </w:r>
      <w:r>
        <w:rPr>
          <w:b/>
        </w:rPr>
        <w:t>4.2</w:t>
      </w:r>
      <w:r>
        <w:t xml:space="preserve">, </w:t>
      </w:r>
      <w:r>
        <w:rPr>
          <w:b/>
        </w:rPr>
        <w:t>4.3</w:t>
      </w:r>
      <w:r>
        <w:t xml:space="preserve">, </w:t>
      </w:r>
      <w:r>
        <w:rPr>
          <w:b/>
        </w:rPr>
        <w:t>4.4</w:t>
      </w:r>
      <w:r>
        <w:t xml:space="preserve">, </w:t>
      </w:r>
      <w:r>
        <w:rPr>
          <w:b/>
        </w:rPr>
        <w:t>10.3</w:t>
      </w:r>
      <w:r>
        <w:t xml:space="preserve">, </w:t>
      </w:r>
      <w:r>
        <w:rPr>
          <w:b/>
        </w:rPr>
        <w:t>I.4</w:t>
      </w:r>
      <w:r>
        <w:t xml:space="preserve">, </w:t>
      </w:r>
      <w:r>
        <w:rPr>
          <w:b/>
        </w:rPr>
        <w:t>J.3</w:t>
      </w:r>
      <w:r>
        <w:t>.</w:t>
      </w:r>
    </w:p>
    <w:p>
      <w:pPr>
        <w:pStyle w:val="ListBullet"/>
      </w:pPr>
      <w:r>
        <w:t xml:space="preserve">Catecismo de la Iglesia católica: </w:t>
      </w:r>
      <w:r>
        <w:rPr>
          <w:b/>
        </w:rPr>
        <w:t>0.3</w:t>
      </w:r>
      <w:r>
        <w:t>.</w:t>
      </w:r>
    </w:p>
    <w:p>
      <w:pPr>
        <w:pStyle w:val="ListBullet"/>
      </w:pPr>
      <w:r>
        <w:t xml:space="preserve">Cilindro de Ciro: </w:t>
      </w:r>
      <w:r>
        <w:rPr>
          <w:b/>
        </w:rPr>
        <w:t>6.2</w:t>
      </w:r>
      <w:r>
        <w:t>.</w:t>
      </w:r>
    </w:p>
    <w:p>
      <w:pPr>
        <w:pStyle w:val="ListBullet"/>
      </w:pPr>
      <w:r>
        <w:t xml:space="preserve">Código de Hammurabi: </w:t>
      </w:r>
      <w:r>
        <w:rPr>
          <w:b/>
        </w:rPr>
        <w:t>3.2</w:t>
      </w:r>
      <w:r>
        <w:t xml:space="preserve">, </w:t>
      </w:r>
      <w:r>
        <w:rPr>
          <w:b/>
        </w:rPr>
        <w:t>3.3</w:t>
      </w:r>
      <w:r>
        <w:t xml:space="preserve">, </w:t>
      </w:r>
      <w:r>
        <w:rPr>
          <w:b/>
        </w:rPr>
        <w:t>F.4</w:t>
      </w:r>
      <w:r>
        <w:t>.</w:t>
      </w:r>
    </w:p>
    <w:p>
      <w:pPr>
        <w:pStyle w:val="ListBullet"/>
      </w:pPr>
      <w:r>
        <w:t xml:space="preserve">Código de Justiniano: </w:t>
      </w:r>
      <w:r>
        <w:rPr>
          <w:b/>
        </w:rPr>
        <w:t>1.7</w:t>
      </w:r>
      <w:r>
        <w:t xml:space="preserve">, </w:t>
      </w:r>
      <w:r>
        <w:rPr>
          <w:b/>
        </w:rPr>
        <w:t>H.10</w:t>
      </w:r>
      <w:r>
        <w:t>.</w:t>
      </w:r>
    </w:p>
    <w:p>
      <w:pPr>
        <w:pStyle w:val="ListBullet"/>
      </w:pPr>
      <w:r>
        <w:t xml:space="preserve">Código de Ur-Namma: </w:t>
      </w:r>
      <w:r>
        <w:rPr>
          <w:b/>
        </w:rPr>
        <w:t>3.2</w:t>
      </w:r>
      <w:r>
        <w:t xml:space="preserve">, </w:t>
      </w:r>
      <w:r>
        <w:rPr>
          <w:b/>
        </w:rPr>
        <w:t>F.4</w:t>
      </w:r>
      <w:r>
        <w:t>.</w:t>
      </w:r>
    </w:p>
    <w:p>
      <w:pPr>
        <w:pStyle w:val="ListBullet"/>
      </w:pPr>
      <w:r>
        <w:t xml:space="preserve">Comentario de Zuo: </w:t>
      </w:r>
      <w:r>
        <w:rPr>
          <w:b/>
        </w:rPr>
        <w:t>3.2</w:t>
      </w:r>
      <w:r>
        <w:t xml:space="preserve">, </w:t>
      </w:r>
      <w:r>
        <w:rPr>
          <w:b/>
        </w:rPr>
        <w:t>F.3</w:t>
      </w:r>
      <w:r>
        <w:t>.</w:t>
      </w:r>
    </w:p>
    <w:p>
      <w:pPr>
        <w:pStyle w:val="ListBullet"/>
      </w:pPr>
      <w:r>
        <w:t xml:space="preserve">Concilio de Nicea, cánones: </w:t>
      </w:r>
      <w:r>
        <w:rPr>
          <w:b/>
        </w:rPr>
        <w:t>3.3</w:t>
      </w:r>
      <w:r>
        <w:t>.</w:t>
      </w:r>
    </w:p>
    <w:p>
      <w:pPr>
        <w:pStyle w:val="ListBullet"/>
      </w:pPr>
      <w:r>
        <w:t xml:space="preserve">Confucio, Analectas: </w:t>
      </w:r>
      <w:r>
        <w:rPr>
          <w:b/>
        </w:rPr>
        <w:t>0.5</w:t>
      </w:r>
      <w:r>
        <w:t xml:space="preserve">, </w:t>
      </w:r>
      <w:r>
        <w:rPr>
          <w:b/>
        </w:rPr>
        <w:t>1.5</w:t>
      </w:r>
      <w:r>
        <w:t xml:space="preserve">, </w:t>
      </w:r>
      <w:r>
        <w:rPr>
          <w:b/>
        </w:rPr>
        <w:t>2.3</w:t>
      </w:r>
      <w:r>
        <w:t xml:space="preserve">, </w:t>
      </w:r>
      <w:r>
        <w:rPr>
          <w:b/>
        </w:rPr>
        <w:t>2.5</w:t>
      </w:r>
      <w:r>
        <w:t xml:space="preserve">, </w:t>
      </w:r>
      <w:r>
        <w:rPr>
          <w:b/>
        </w:rPr>
        <w:t>3.2</w:t>
      </w:r>
      <w:r>
        <w:t xml:space="preserve">, </w:t>
      </w:r>
      <w:r>
        <w:rPr>
          <w:b/>
        </w:rPr>
        <w:t>7.5</w:t>
      </w:r>
      <w:r>
        <w:t xml:space="preserve">, </w:t>
      </w:r>
      <w:r>
        <w:rPr>
          <w:b/>
        </w:rPr>
        <w:t>11.3</w:t>
      </w:r>
      <w:r>
        <w:t xml:space="preserve">, </w:t>
      </w:r>
      <w:r>
        <w:rPr>
          <w:b/>
        </w:rPr>
        <w:t>F.3</w:t>
      </w:r>
      <w:r>
        <w:t xml:space="preserve">, </w:t>
      </w:r>
      <w:r>
        <w:rPr>
          <w:b/>
        </w:rPr>
        <w:t>I.3</w:t>
      </w:r>
      <w:r>
        <w:t xml:space="preserve">, </w:t>
      </w:r>
      <w:r>
        <w:rPr>
          <w:b/>
        </w:rPr>
        <w:t>J.3</w:t>
      </w:r>
      <w:r>
        <w:t>.</w:t>
      </w:r>
    </w:p>
    <w:p>
      <w:pPr>
        <w:pStyle w:val="ListBullet"/>
      </w:pPr>
      <w:r>
        <w:t xml:space="preserve">Daodejing: </w:t>
      </w:r>
      <w:r>
        <w:rPr>
          <w:b/>
        </w:rPr>
        <w:t>1.9</w:t>
      </w:r>
      <w:r>
        <w:t xml:space="preserve">, </w:t>
      </w:r>
      <w:r>
        <w:rPr>
          <w:b/>
        </w:rPr>
        <w:t>2.3</w:t>
      </w:r>
      <w:r>
        <w:t xml:space="preserve">, </w:t>
      </w:r>
      <w:r>
        <w:rPr>
          <w:b/>
        </w:rPr>
        <w:t>3.2</w:t>
      </w:r>
      <w:r>
        <w:t xml:space="preserve">, </w:t>
      </w:r>
      <w:r>
        <w:rPr>
          <w:b/>
        </w:rPr>
        <w:t>3.6</w:t>
      </w:r>
      <w:r>
        <w:t xml:space="preserve">, </w:t>
      </w:r>
      <w:r>
        <w:rPr>
          <w:b/>
        </w:rPr>
        <w:t>10.3</w:t>
      </w:r>
      <w:r>
        <w:t xml:space="preserve">, </w:t>
      </w:r>
      <w:r>
        <w:rPr>
          <w:b/>
        </w:rPr>
        <w:t>F.3</w:t>
      </w:r>
      <w:r>
        <w:t xml:space="preserve">, </w:t>
      </w:r>
      <w:r>
        <w:rPr>
          <w:b/>
        </w:rPr>
        <w:t>J.1</w:t>
      </w:r>
      <w:r>
        <w:t>.</w:t>
      </w:r>
    </w:p>
    <w:p>
      <w:pPr>
        <w:pStyle w:val="ListBullet"/>
      </w:pPr>
      <w:r>
        <w:t xml:space="preserve">Decretales de Gregorio IX: </w:t>
      </w:r>
      <w:r>
        <w:rPr>
          <w:b/>
        </w:rPr>
        <w:t>H.10</w:t>
      </w:r>
      <w:r>
        <w:t>.</w:t>
      </w:r>
    </w:p>
    <w:p>
      <w:pPr>
        <w:pStyle w:val="ListBullet"/>
      </w:pPr>
      <w:r>
        <w:t xml:space="preserve">Decreto de Graciano: </w:t>
      </w:r>
      <w:r>
        <w:rPr>
          <w:b/>
        </w:rPr>
        <w:t>H.10</w:t>
      </w:r>
      <w:r>
        <w:t>.</w:t>
      </w:r>
    </w:p>
    <w:p>
      <w:pPr>
        <w:pStyle w:val="ListBullet"/>
      </w:pPr>
      <w:r>
        <w:t xml:space="preserve">Dhammapada: </w:t>
      </w:r>
      <w:r>
        <w:rPr>
          <w:b/>
        </w:rPr>
        <w:t>1.4</w:t>
      </w:r>
      <w:r>
        <w:t xml:space="preserve">, </w:t>
      </w:r>
      <w:r>
        <w:rPr>
          <w:b/>
        </w:rPr>
        <w:t>2.3</w:t>
      </w:r>
      <w:r>
        <w:t xml:space="preserve">, </w:t>
      </w:r>
      <w:r>
        <w:rPr>
          <w:b/>
        </w:rPr>
        <w:t>4.2</w:t>
      </w:r>
      <w:r>
        <w:t xml:space="preserve">, </w:t>
      </w:r>
      <w:r>
        <w:rPr>
          <w:b/>
        </w:rPr>
        <w:t>4.4</w:t>
      </w:r>
      <w:r>
        <w:t xml:space="preserve">, </w:t>
      </w:r>
      <w:r>
        <w:rPr>
          <w:b/>
        </w:rPr>
        <w:t>F.5</w:t>
      </w:r>
      <w:r>
        <w:t xml:space="preserve">, </w:t>
      </w:r>
      <w:r>
        <w:rPr>
          <w:b/>
        </w:rPr>
        <w:t>I.4</w:t>
      </w:r>
      <w:r>
        <w:t>.</w:t>
      </w:r>
    </w:p>
    <w:p>
      <w:pPr>
        <w:pStyle w:val="ListBullet"/>
      </w:pPr>
      <w:r>
        <w:t xml:space="preserve">Dictatus Papae: </w:t>
      </w:r>
      <w:r>
        <w:rPr>
          <w:b/>
        </w:rPr>
        <w:t>6.2</w:t>
      </w:r>
      <w:r>
        <w:t>.</w:t>
      </w:r>
    </w:p>
    <w:p>
      <w:pPr>
        <w:pStyle w:val="ListBullet"/>
      </w:pPr>
      <w:r>
        <w:t xml:space="preserve">Digesto de Justiniano: </w:t>
      </w:r>
      <w:r>
        <w:rPr>
          <w:b/>
        </w:rPr>
        <w:t>1.5</w:t>
      </w:r>
      <w:r>
        <w:t xml:space="preserve">, </w:t>
      </w:r>
      <w:r>
        <w:rPr>
          <w:b/>
        </w:rPr>
        <w:t>8.5</w:t>
      </w:r>
      <w:r>
        <w:t xml:space="preserve">, </w:t>
      </w:r>
      <w:r>
        <w:rPr>
          <w:b/>
        </w:rPr>
        <w:t>G.6</w:t>
      </w:r>
      <w:r>
        <w:t xml:space="preserve">, </w:t>
      </w:r>
      <w:r>
        <w:rPr>
          <w:b/>
        </w:rPr>
        <w:t>H.10</w:t>
      </w:r>
      <w:r>
        <w:t>.</w:t>
      </w:r>
    </w:p>
    <w:p>
      <w:pPr>
        <w:pStyle w:val="ListBullet"/>
      </w:pPr>
      <w:r>
        <w:t xml:space="preserve">Digha Nikaya: </w:t>
      </w:r>
      <w:r>
        <w:rPr>
          <w:b/>
        </w:rPr>
        <w:t>1.3</w:t>
      </w:r>
      <w:r>
        <w:t xml:space="preserve">, </w:t>
      </w:r>
      <w:r>
        <w:rPr>
          <w:b/>
        </w:rPr>
        <w:t>F.5</w:t>
      </w:r>
      <w:r>
        <w:t>.</w:t>
      </w:r>
    </w:p>
    <w:p>
      <w:pPr>
        <w:pStyle w:val="ListBullet"/>
      </w:pPr>
      <w:r>
        <w:t xml:space="preserve">Edictos de Ashoka: </w:t>
      </w:r>
      <w:r>
        <w:rPr>
          <w:b/>
        </w:rPr>
        <w:t>6.2</w:t>
      </w:r>
      <w:r>
        <w:t xml:space="preserve">, </w:t>
      </w:r>
      <w:r>
        <w:rPr>
          <w:b/>
        </w:rPr>
        <w:t>F.5</w:t>
      </w:r>
      <w:r>
        <w:t>.</w:t>
      </w:r>
    </w:p>
    <w:p>
      <w:pPr>
        <w:pStyle w:val="ListBullet"/>
      </w:pPr>
      <w:r>
        <w:t xml:space="preserve">El Avesta: </w:t>
      </w:r>
      <w:r>
        <w:rPr>
          <w:b/>
        </w:rPr>
        <w:t>1.9</w:t>
      </w:r>
      <w:r>
        <w:t xml:space="preserve">, </w:t>
      </w:r>
      <w:r>
        <w:rPr>
          <w:b/>
        </w:rPr>
        <w:t>3.2</w:t>
      </w:r>
      <w:r>
        <w:t xml:space="preserve">, </w:t>
      </w:r>
      <w:r>
        <w:rPr>
          <w:b/>
        </w:rPr>
        <w:t>4.2</w:t>
      </w:r>
      <w:r>
        <w:t xml:space="preserve">, </w:t>
      </w:r>
      <w:r>
        <w:rPr>
          <w:b/>
        </w:rPr>
        <w:t>4.4</w:t>
      </w:r>
      <w:r>
        <w:t xml:space="preserve">, </w:t>
      </w:r>
      <w:r>
        <w:rPr>
          <w:b/>
        </w:rPr>
        <w:t>F.2</w:t>
      </w:r>
      <w:r>
        <w:t xml:space="preserve">, </w:t>
      </w:r>
      <w:r>
        <w:rPr>
          <w:b/>
        </w:rPr>
        <w:t>J.3</w:t>
      </w:r>
      <w:r>
        <w:t>.</w:t>
      </w:r>
    </w:p>
    <w:p>
      <w:pPr>
        <w:pStyle w:val="ListBullet"/>
      </w:pPr>
      <w:r>
        <w:t xml:space="preserve">El campesino elocuente: </w:t>
      </w:r>
      <w:r>
        <w:rPr>
          <w:b/>
        </w:rPr>
        <w:t>F.4</w:t>
      </w:r>
      <w:r>
        <w:t>.</w:t>
      </w:r>
    </w:p>
    <w:p>
      <w:pPr>
        <w:pStyle w:val="ListBullet"/>
      </w:pPr>
      <w:r>
        <w:t xml:space="preserve">El Corán, traducción de Julio Cortés: </w:t>
      </w:r>
      <w:r>
        <w:rPr>
          <w:b/>
        </w:rPr>
        <w:t>0.5</w:t>
      </w:r>
      <w:r>
        <w:t xml:space="preserve">, </w:t>
      </w:r>
      <w:r>
        <w:rPr>
          <w:b/>
        </w:rPr>
        <w:t>1.4</w:t>
      </w:r>
      <w:r>
        <w:t xml:space="preserve">, </w:t>
      </w:r>
      <w:r>
        <w:rPr>
          <w:b/>
        </w:rPr>
        <w:t>2.3</w:t>
      </w:r>
      <w:r>
        <w:t xml:space="preserve">, </w:t>
      </w:r>
      <w:r>
        <w:rPr>
          <w:b/>
        </w:rPr>
        <w:t>2.4</w:t>
      </w:r>
      <w:r>
        <w:t xml:space="preserve">, </w:t>
      </w:r>
      <w:r>
        <w:rPr>
          <w:b/>
        </w:rPr>
        <w:t>3.2</w:t>
      </w:r>
      <w:r>
        <w:t xml:space="preserve">, </w:t>
      </w:r>
      <w:r>
        <w:rPr>
          <w:b/>
        </w:rPr>
        <w:t>3.3</w:t>
      </w:r>
      <w:r>
        <w:t xml:space="preserve">, </w:t>
      </w:r>
      <w:r>
        <w:rPr>
          <w:b/>
        </w:rPr>
        <w:t>3.6</w:t>
      </w:r>
      <w:r>
        <w:t xml:space="preserve">, </w:t>
      </w:r>
      <w:r>
        <w:rPr>
          <w:b/>
        </w:rPr>
        <w:t>4.1</w:t>
      </w:r>
      <w:r>
        <w:t xml:space="preserve">, </w:t>
      </w:r>
      <w:r>
        <w:rPr>
          <w:b/>
        </w:rPr>
        <w:t>4.2</w:t>
      </w:r>
      <w:r>
        <w:t xml:space="preserve">, </w:t>
      </w:r>
      <w:r>
        <w:rPr>
          <w:b/>
        </w:rPr>
        <w:t>4.3</w:t>
      </w:r>
      <w:r>
        <w:t xml:space="preserve">, </w:t>
      </w:r>
      <w:r>
        <w:rPr>
          <w:b/>
        </w:rPr>
        <w:t>4.4</w:t>
      </w:r>
      <w:r>
        <w:t xml:space="preserve">, </w:t>
      </w:r>
      <w:r>
        <w:rPr>
          <w:b/>
        </w:rPr>
        <w:t>6.2</w:t>
      </w:r>
      <w:r>
        <w:t xml:space="preserve">, </w:t>
      </w:r>
      <w:r>
        <w:rPr>
          <w:b/>
        </w:rPr>
        <w:t>10.1</w:t>
      </w:r>
      <w:r>
        <w:t xml:space="preserve">, </w:t>
      </w:r>
      <w:r>
        <w:rPr>
          <w:b/>
        </w:rPr>
        <w:t>11.3</w:t>
      </w:r>
      <w:r>
        <w:t xml:space="preserve">, </w:t>
      </w:r>
      <w:r>
        <w:rPr>
          <w:b/>
        </w:rPr>
        <w:t>F.2</w:t>
      </w:r>
      <w:r>
        <w:t xml:space="preserve">, </w:t>
      </w:r>
      <w:r>
        <w:rPr>
          <w:b/>
        </w:rPr>
        <w:t>I.2</w:t>
      </w:r>
      <w:r>
        <w:t xml:space="preserve">, </w:t>
      </w:r>
      <w:r>
        <w:rPr>
          <w:b/>
        </w:rPr>
        <w:t>J.3</w:t>
      </w:r>
      <w:r>
        <w:t>.</w:t>
      </w:r>
    </w:p>
    <w:p>
      <w:pPr>
        <w:pStyle w:val="ListBullet"/>
      </w:pPr>
      <w:r>
        <w:t xml:space="preserve">El Talmud: </w:t>
      </w:r>
      <w:r>
        <w:rPr>
          <w:b/>
        </w:rPr>
        <w:t>0.5</w:t>
      </w:r>
      <w:r>
        <w:t xml:space="preserve">, </w:t>
      </w:r>
      <w:r>
        <w:rPr>
          <w:b/>
        </w:rPr>
        <w:t>2.3</w:t>
      </w:r>
      <w:r>
        <w:t xml:space="preserve">, </w:t>
      </w:r>
      <w:r>
        <w:rPr>
          <w:b/>
        </w:rPr>
        <w:t>3.2</w:t>
      </w:r>
      <w:r>
        <w:t xml:space="preserve">, </w:t>
      </w:r>
      <w:r>
        <w:rPr>
          <w:b/>
        </w:rPr>
        <w:t>F.2</w:t>
      </w:r>
      <w:r>
        <w:t>.</w:t>
      </w:r>
    </w:p>
    <w:p>
      <w:pPr>
        <w:pStyle w:val="ListBullet"/>
      </w:pPr>
      <w:r>
        <w:t xml:space="preserve">Enseñanza para Merikare: </w:t>
      </w:r>
      <w:r>
        <w:rPr>
          <w:b/>
        </w:rPr>
        <w:t>F.4</w:t>
      </w:r>
      <w:r>
        <w:t>.</w:t>
      </w:r>
    </w:p>
    <w:p>
      <w:pPr>
        <w:pStyle w:val="ListBullet"/>
      </w:pPr>
      <w:r>
        <w:t xml:space="preserve">Enuma Elish: </w:t>
      </w:r>
      <w:r>
        <w:rPr>
          <w:b/>
        </w:rPr>
        <w:t>1.9</w:t>
      </w:r>
      <w:r>
        <w:t xml:space="preserve">, </w:t>
      </w:r>
      <w:r>
        <w:rPr>
          <w:b/>
        </w:rPr>
        <w:t>2.3</w:t>
      </w:r>
      <w:r>
        <w:t xml:space="preserve">, </w:t>
      </w:r>
      <w:r>
        <w:rPr>
          <w:b/>
        </w:rPr>
        <w:t>4.2</w:t>
      </w:r>
      <w:r>
        <w:t>.</w:t>
      </w:r>
    </w:p>
    <w:p>
      <w:pPr>
        <w:pStyle w:val="ListBullet"/>
      </w:pPr>
      <w:r>
        <w:t xml:space="preserve">Estrategias de los Reinos Combatientes: </w:t>
      </w:r>
      <w:r>
        <w:rPr>
          <w:b/>
        </w:rPr>
        <w:t>F.3</w:t>
      </w:r>
      <w:r>
        <w:t>.</w:t>
      </w:r>
    </w:p>
    <w:p>
      <w:pPr>
        <w:pStyle w:val="ListBullet"/>
      </w:pPr>
      <w:r>
        <w:t xml:space="preserve">Gran Ley de la Paz (haudenosaunee): </w:t>
      </w:r>
      <w:r>
        <w:rPr>
          <w:b/>
        </w:rPr>
        <w:t>3.2</w:t>
      </w:r>
      <w:r>
        <w:t xml:space="preserve">, </w:t>
      </w:r>
      <w:r>
        <w:rPr>
          <w:b/>
        </w:rPr>
        <w:t>F.6</w:t>
      </w:r>
      <w:r>
        <w:t xml:space="preserve">, </w:t>
      </w:r>
      <w:r>
        <w:rPr>
          <w:b/>
        </w:rPr>
        <w:t>F.7</w:t>
      </w:r>
      <w:r>
        <w:t>.</w:t>
      </w:r>
    </w:p>
    <w:p>
      <w:pPr>
        <w:pStyle w:val="ListBullet"/>
      </w:pPr>
      <w:r>
        <w:t xml:space="preserve">Guru Granth Sahib: </w:t>
      </w:r>
      <w:r>
        <w:rPr>
          <w:b/>
        </w:rPr>
        <w:t>F.5</w:t>
      </w:r>
      <w:r>
        <w:t>.</w:t>
      </w:r>
    </w:p>
    <w:p>
      <w:pPr>
        <w:pStyle w:val="ListBullet"/>
      </w:pPr>
      <w:r>
        <w:t xml:space="preserve">Han Feizi: </w:t>
      </w:r>
      <w:r>
        <w:rPr>
          <w:b/>
        </w:rPr>
        <w:t>F.3</w:t>
      </w:r>
      <w:r>
        <w:t>.</w:t>
      </w:r>
    </w:p>
    <w:p>
      <w:pPr>
        <w:pStyle w:val="ListBullet"/>
      </w:pPr>
      <w:r>
        <w:t xml:space="preserve">Instituciones de Justiniano: </w:t>
      </w:r>
      <w:r>
        <w:rPr>
          <w:b/>
        </w:rPr>
        <w:t>H.10</w:t>
      </w:r>
      <w:r>
        <w:t>.</w:t>
      </w:r>
    </w:p>
    <w:p>
      <w:pPr>
        <w:pStyle w:val="ListBullet"/>
      </w:pPr>
      <w:r>
        <w:t xml:space="preserve">Instrucciones de Shuruppak: </w:t>
      </w:r>
      <w:r>
        <w:rPr>
          <w:b/>
        </w:rPr>
        <w:t>F.4</w:t>
      </w:r>
      <w:r>
        <w:t>.</w:t>
      </w:r>
    </w:p>
    <w:p>
      <w:pPr>
        <w:pStyle w:val="ListBullet"/>
      </w:pPr>
      <w:r>
        <w:t xml:space="preserve">Jataka: </w:t>
      </w:r>
      <w:r>
        <w:rPr>
          <w:b/>
        </w:rPr>
        <w:t>F.5</w:t>
      </w:r>
      <w:r>
        <w:t>.</w:t>
      </w:r>
    </w:p>
    <w:p>
      <w:pPr>
        <w:pStyle w:val="ListBullet"/>
      </w:pPr>
      <w:r>
        <w:t xml:space="preserve">Katha Upanishad: </w:t>
      </w:r>
      <w:r>
        <w:rPr>
          <w:b/>
        </w:rPr>
        <w:t>4.2</w:t>
      </w:r>
      <w:r>
        <w:t>.</w:t>
      </w:r>
    </w:p>
    <w:p>
      <w:pPr>
        <w:pStyle w:val="ListBullet"/>
      </w:pPr>
      <w:r>
        <w:t xml:space="preserve">Kebra Nagast: </w:t>
      </w:r>
      <w:r>
        <w:rPr>
          <w:b/>
        </w:rPr>
        <w:t>3.3</w:t>
      </w:r>
      <w:r>
        <w:t xml:space="preserve">, </w:t>
      </w:r>
      <w:r>
        <w:rPr>
          <w:b/>
        </w:rPr>
        <w:t>F.6</w:t>
      </w:r>
      <w:r>
        <w:t>.</w:t>
      </w:r>
    </w:p>
    <w:p>
      <w:pPr>
        <w:pStyle w:val="ListBullet"/>
      </w:pPr>
      <w:r>
        <w:t xml:space="preserve">La Biblia: </w:t>
      </w:r>
      <w:r>
        <w:rPr>
          <w:b/>
        </w:rPr>
        <w:t>0.3</w:t>
      </w:r>
      <w:r>
        <w:t xml:space="preserve">, </w:t>
      </w:r>
      <w:r>
        <w:rPr>
          <w:b/>
        </w:rPr>
        <w:t>0.5</w:t>
      </w:r>
      <w:r>
        <w:t xml:space="preserve">, </w:t>
      </w:r>
      <w:r>
        <w:rPr>
          <w:b/>
        </w:rPr>
        <w:t>1.1</w:t>
      </w:r>
      <w:r>
        <w:t xml:space="preserve">, </w:t>
      </w:r>
      <w:r>
        <w:rPr>
          <w:b/>
        </w:rPr>
        <w:t>1.2</w:t>
      </w:r>
      <w:r>
        <w:t xml:space="preserve">, </w:t>
      </w:r>
      <w:r>
        <w:rPr>
          <w:b/>
        </w:rPr>
        <w:t>1.3</w:t>
      </w:r>
      <w:r>
        <w:t xml:space="preserve">, </w:t>
      </w:r>
      <w:r>
        <w:rPr>
          <w:b/>
        </w:rPr>
        <w:t>1.9</w:t>
      </w:r>
      <w:r>
        <w:t xml:space="preserve">, </w:t>
      </w:r>
      <w:r>
        <w:rPr>
          <w:b/>
        </w:rPr>
        <w:t>2.3</w:t>
      </w:r>
      <w:r>
        <w:t xml:space="preserve">, </w:t>
      </w:r>
      <w:r>
        <w:rPr>
          <w:b/>
        </w:rPr>
        <w:t>2.4</w:t>
      </w:r>
      <w:r>
        <w:t xml:space="preserve">, </w:t>
      </w:r>
      <w:r>
        <w:rPr>
          <w:b/>
        </w:rPr>
        <w:t>2.5</w:t>
      </w:r>
      <w:r>
        <w:t xml:space="preserve">, </w:t>
      </w:r>
      <w:r>
        <w:rPr>
          <w:b/>
        </w:rPr>
        <w:t>3.0</w:t>
      </w:r>
      <w:r>
        <w:t xml:space="preserve">, </w:t>
      </w:r>
      <w:r>
        <w:rPr>
          <w:b/>
        </w:rPr>
        <w:t>3.1</w:t>
      </w:r>
      <w:r>
        <w:t xml:space="preserve">, </w:t>
      </w:r>
      <w:r>
        <w:rPr>
          <w:b/>
        </w:rPr>
        <w:t>3.2</w:t>
      </w:r>
      <w:r>
        <w:t xml:space="preserve">, </w:t>
      </w:r>
      <w:r>
        <w:rPr>
          <w:b/>
        </w:rPr>
        <w:t>3.3</w:t>
      </w:r>
      <w:r>
        <w:t xml:space="preserve">, </w:t>
      </w:r>
      <w:r>
        <w:rPr>
          <w:b/>
        </w:rPr>
        <w:t>3.4</w:t>
      </w:r>
      <w:r>
        <w:t xml:space="preserve">, </w:t>
      </w:r>
      <w:r>
        <w:rPr>
          <w:b/>
        </w:rPr>
        <w:t>3.5</w:t>
      </w:r>
      <w:r>
        <w:t xml:space="preserve">, </w:t>
      </w:r>
      <w:r>
        <w:rPr>
          <w:b/>
        </w:rPr>
        <w:t>3.6</w:t>
      </w:r>
      <w:r>
        <w:t xml:space="preserve">, </w:t>
      </w:r>
      <w:r>
        <w:rPr>
          <w:b/>
        </w:rPr>
        <w:t>4.1</w:t>
      </w:r>
      <w:r>
        <w:t xml:space="preserve">, </w:t>
      </w:r>
      <w:r>
        <w:rPr>
          <w:b/>
        </w:rPr>
        <w:t>4.2</w:t>
      </w:r>
      <w:r>
        <w:t xml:space="preserve">, </w:t>
      </w:r>
      <w:r>
        <w:rPr>
          <w:b/>
        </w:rPr>
        <w:t>4.3</w:t>
      </w:r>
      <w:r>
        <w:t xml:space="preserve">, </w:t>
      </w:r>
      <w:r>
        <w:rPr>
          <w:b/>
        </w:rPr>
        <w:t>4.4</w:t>
      </w:r>
      <w:r>
        <w:t xml:space="preserve">, </w:t>
      </w:r>
      <w:r>
        <w:rPr>
          <w:b/>
        </w:rPr>
        <w:t>5.2</w:t>
      </w:r>
      <w:r>
        <w:t xml:space="preserve">, </w:t>
      </w:r>
      <w:r>
        <w:rPr>
          <w:b/>
        </w:rPr>
        <w:t>5.4</w:t>
      </w:r>
      <w:r>
        <w:t xml:space="preserve">, </w:t>
      </w:r>
      <w:r>
        <w:rPr>
          <w:b/>
        </w:rPr>
        <w:t>6.2</w:t>
      </w:r>
      <w:r>
        <w:t xml:space="preserve">, </w:t>
      </w:r>
      <w:r>
        <w:rPr>
          <w:b/>
        </w:rPr>
        <w:t>7.5</w:t>
      </w:r>
      <w:r>
        <w:t xml:space="preserve">, </w:t>
      </w:r>
      <w:r>
        <w:rPr>
          <w:b/>
        </w:rPr>
        <w:t>8.11</w:t>
      </w:r>
      <w:r>
        <w:t xml:space="preserve">, </w:t>
      </w:r>
      <w:r>
        <w:rPr>
          <w:b/>
        </w:rPr>
        <w:t>9.1</w:t>
      </w:r>
      <w:r>
        <w:t xml:space="preserve">, </w:t>
      </w:r>
      <w:r>
        <w:rPr>
          <w:b/>
        </w:rPr>
        <w:t>10.1</w:t>
      </w:r>
      <w:r>
        <w:t xml:space="preserve">, </w:t>
      </w:r>
      <w:r>
        <w:rPr>
          <w:b/>
        </w:rPr>
        <w:t>10.3</w:t>
      </w:r>
      <w:r>
        <w:t xml:space="preserve">, </w:t>
      </w:r>
      <w:r>
        <w:rPr>
          <w:b/>
        </w:rPr>
        <w:t>10.7</w:t>
      </w:r>
      <w:r>
        <w:t xml:space="preserve">, </w:t>
      </w:r>
      <w:r>
        <w:rPr>
          <w:b/>
        </w:rPr>
        <w:t>11.1</w:t>
      </w:r>
      <w:r>
        <w:t xml:space="preserve">, </w:t>
      </w:r>
      <w:r>
        <w:rPr>
          <w:b/>
        </w:rPr>
        <w:t>11.3</w:t>
      </w:r>
      <w:r>
        <w:t xml:space="preserve">, </w:t>
      </w:r>
      <w:r>
        <w:rPr>
          <w:b/>
        </w:rPr>
        <w:t>11.6</w:t>
      </w:r>
      <w:r>
        <w:t xml:space="preserve">, </w:t>
      </w:r>
      <w:r>
        <w:rPr>
          <w:b/>
        </w:rPr>
        <w:t>F.1</w:t>
      </w:r>
      <w:r>
        <w:t xml:space="preserve">, </w:t>
      </w:r>
      <w:r>
        <w:rPr>
          <w:b/>
        </w:rPr>
        <w:t>G.7</w:t>
      </w:r>
      <w:r>
        <w:t xml:space="preserve">, </w:t>
      </w:r>
      <w:r>
        <w:rPr>
          <w:b/>
        </w:rPr>
        <w:t>H.5</w:t>
      </w:r>
      <w:r>
        <w:t xml:space="preserve">, </w:t>
      </w:r>
      <w:r>
        <w:rPr>
          <w:b/>
        </w:rPr>
        <w:t>I.1</w:t>
      </w:r>
      <w:r>
        <w:t xml:space="preserve">, </w:t>
      </w:r>
      <w:r>
        <w:rPr>
          <w:b/>
        </w:rPr>
        <w:t>J.1</w:t>
      </w:r>
      <w:r>
        <w:t xml:space="preserve">, </w:t>
      </w:r>
      <w:r>
        <w:rPr>
          <w:b/>
        </w:rPr>
        <w:t>J.3</w:t>
      </w:r>
      <w:r>
        <w:t>.</w:t>
      </w:r>
    </w:p>
    <w:p>
      <w:pPr>
        <w:pStyle w:val="ListBullet"/>
      </w:pPr>
      <w:r>
        <w:t xml:space="preserve">La Mishná: </w:t>
      </w:r>
      <w:r>
        <w:rPr>
          <w:b/>
        </w:rPr>
        <w:t>0.5</w:t>
      </w:r>
      <w:r>
        <w:t xml:space="preserve">, </w:t>
      </w:r>
      <w:r>
        <w:rPr>
          <w:b/>
        </w:rPr>
        <w:t>3.1</w:t>
      </w:r>
      <w:r>
        <w:t xml:space="preserve">, </w:t>
      </w:r>
      <w:r>
        <w:rPr>
          <w:b/>
        </w:rPr>
        <w:t>3.2</w:t>
      </w:r>
      <w:r>
        <w:t xml:space="preserve">, </w:t>
      </w:r>
      <w:r>
        <w:rPr>
          <w:b/>
        </w:rPr>
        <w:t>F.2</w:t>
      </w:r>
      <w:r>
        <w:t>.</w:t>
      </w:r>
    </w:p>
    <w:p>
      <w:pPr>
        <w:pStyle w:val="ListBullet"/>
      </w:pPr>
      <w:r>
        <w:t xml:space="preserve">Lamento de Jajeperreseneb: </w:t>
      </w:r>
      <w:r>
        <w:rPr>
          <w:b/>
        </w:rPr>
        <w:t>7.5</w:t>
      </w:r>
      <w:r>
        <w:t>.</w:t>
      </w:r>
    </w:p>
    <w:p>
      <w:pPr>
        <w:pStyle w:val="ListBullet"/>
      </w:pPr>
      <w:r>
        <w:t xml:space="preserve">Leyes de Manu: </w:t>
      </w:r>
      <w:r>
        <w:rPr>
          <w:b/>
        </w:rPr>
        <w:t>1.5</w:t>
      </w:r>
      <w:r>
        <w:t xml:space="preserve">, </w:t>
      </w:r>
      <w:r>
        <w:rPr>
          <w:b/>
        </w:rPr>
        <w:t>2.3</w:t>
      </w:r>
      <w:r>
        <w:t xml:space="preserve">, </w:t>
      </w:r>
      <w:r>
        <w:rPr>
          <w:b/>
        </w:rPr>
        <w:t>3.2</w:t>
      </w:r>
      <w:r>
        <w:t xml:space="preserve">, </w:t>
      </w:r>
      <w:r>
        <w:rPr>
          <w:b/>
        </w:rPr>
        <w:t>3.3</w:t>
      </w:r>
      <w:r>
        <w:t xml:space="preserve">, </w:t>
      </w:r>
      <w:r>
        <w:rPr>
          <w:b/>
        </w:rPr>
        <w:t>3.4</w:t>
      </w:r>
      <w:r>
        <w:t xml:space="preserve">, </w:t>
      </w:r>
      <w:r>
        <w:rPr>
          <w:b/>
        </w:rPr>
        <w:t>F.5</w:t>
      </w:r>
      <w:r>
        <w:t>.</w:t>
      </w:r>
    </w:p>
    <w:p>
      <w:pPr>
        <w:pStyle w:val="ListBullet"/>
      </w:pPr>
      <w:r>
        <w:t xml:space="preserve">Liber Sextus de Bonifacio VIII: </w:t>
      </w:r>
      <w:r>
        <w:rPr>
          <w:b/>
        </w:rPr>
        <w:t>H.10</w:t>
      </w:r>
      <w:r>
        <w:t>.</w:t>
      </w:r>
    </w:p>
    <w:p>
      <w:pPr>
        <w:pStyle w:val="ListBullet"/>
      </w:pPr>
      <w:r>
        <w:t xml:space="preserve">Libro de los Jubileos: </w:t>
      </w:r>
      <w:r>
        <w:rPr>
          <w:b/>
        </w:rPr>
        <w:t>2.3</w:t>
      </w:r>
      <w:r>
        <w:t xml:space="preserve">, </w:t>
      </w:r>
      <w:r>
        <w:rPr>
          <w:b/>
        </w:rPr>
        <w:t>4.3</w:t>
      </w:r>
      <w:r>
        <w:t>.</w:t>
      </w:r>
    </w:p>
    <w:p>
      <w:pPr>
        <w:pStyle w:val="ListBullet"/>
      </w:pPr>
      <w:r>
        <w:t xml:space="preserve">Los manuscritos del mar Muerto (Regla de la Comunidad, 1QS): </w:t>
      </w:r>
      <w:r>
        <w:rPr>
          <w:b/>
        </w:rPr>
        <w:t>0.1</w:t>
      </w:r>
      <w:r>
        <w:t xml:space="preserve">, </w:t>
      </w:r>
      <w:r>
        <w:rPr>
          <w:b/>
        </w:rPr>
        <w:t>7.5</w:t>
      </w:r>
      <w:r>
        <w:t>.</w:t>
      </w:r>
    </w:p>
    <w:p>
      <w:pPr>
        <w:pStyle w:val="ListBullet"/>
      </w:pPr>
      <w:r>
        <w:t xml:space="preserve">Mahabharata: </w:t>
      </w:r>
      <w:r>
        <w:rPr>
          <w:b/>
        </w:rPr>
        <w:t>0.5</w:t>
      </w:r>
      <w:r>
        <w:t xml:space="preserve">, </w:t>
      </w:r>
      <w:r>
        <w:rPr>
          <w:b/>
        </w:rPr>
        <w:t>3.2</w:t>
      </w:r>
      <w:r>
        <w:t xml:space="preserve">, </w:t>
      </w:r>
      <w:r>
        <w:rPr>
          <w:b/>
        </w:rPr>
        <w:t>3.5</w:t>
      </w:r>
      <w:r>
        <w:t xml:space="preserve">, </w:t>
      </w:r>
      <w:r>
        <w:rPr>
          <w:b/>
        </w:rPr>
        <w:t>F.5</w:t>
      </w:r>
      <w:r>
        <w:t>.</w:t>
      </w:r>
    </w:p>
    <w:p>
      <w:pPr>
        <w:pStyle w:val="ListBullet"/>
      </w:pPr>
      <w:r>
        <w:t xml:space="preserve">Majjhima Nikaya: </w:t>
      </w:r>
      <w:r>
        <w:rPr>
          <w:b/>
        </w:rPr>
        <w:t>F.5</w:t>
      </w:r>
      <w:r>
        <w:t>.</w:t>
      </w:r>
    </w:p>
    <w:p>
      <w:pPr>
        <w:pStyle w:val="ListBullet"/>
      </w:pPr>
      <w:r>
        <w:t xml:space="preserve">Máximas de Ptahhotep: </w:t>
      </w:r>
      <w:r>
        <w:rPr>
          <w:b/>
        </w:rPr>
        <w:t>1.9</w:t>
      </w:r>
      <w:r>
        <w:t xml:space="preserve">, </w:t>
      </w:r>
      <w:r>
        <w:rPr>
          <w:b/>
        </w:rPr>
        <w:t>2.3</w:t>
      </w:r>
      <w:r>
        <w:t xml:space="preserve">, </w:t>
      </w:r>
      <w:r>
        <w:rPr>
          <w:b/>
        </w:rPr>
        <w:t>3.2</w:t>
      </w:r>
      <w:r>
        <w:t xml:space="preserve">, </w:t>
      </w:r>
      <w:r>
        <w:rPr>
          <w:b/>
        </w:rPr>
        <w:t>F.4</w:t>
      </w:r>
      <w:r>
        <w:t>.</w:t>
      </w:r>
    </w:p>
    <w:p>
      <w:pPr>
        <w:pStyle w:val="ListBullet"/>
      </w:pPr>
      <w:r>
        <w:t xml:space="preserve">Mencio: </w:t>
      </w:r>
      <w:r>
        <w:rPr>
          <w:b/>
        </w:rPr>
        <w:t>1.4</w:t>
      </w:r>
      <w:r>
        <w:t xml:space="preserve">, </w:t>
      </w:r>
      <w:r>
        <w:rPr>
          <w:b/>
        </w:rPr>
        <w:t>1.9</w:t>
      </w:r>
      <w:r>
        <w:t xml:space="preserve">, </w:t>
      </w:r>
      <w:r>
        <w:rPr>
          <w:b/>
        </w:rPr>
        <w:t>2.3</w:t>
      </w:r>
      <w:r>
        <w:t xml:space="preserve">, </w:t>
      </w:r>
      <w:r>
        <w:rPr>
          <w:b/>
        </w:rPr>
        <w:t>3.2</w:t>
      </w:r>
      <w:r>
        <w:t xml:space="preserve">, </w:t>
      </w:r>
      <w:r>
        <w:rPr>
          <w:b/>
        </w:rPr>
        <w:t>10.3</w:t>
      </w:r>
      <w:r>
        <w:t xml:space="preserve">, </w:t>
      </w:r>
      <w:r>
        <w:rPr>
          <w:b/>
        </w:rPr>
        <w:t>F.3</w:t>
      </w:r>
      <w:r>
        <w:t xml:space="preserve">, </w:t>
      </w:r>
      <w:r>
        <w:rPr>
          <w:b/>
        </w:rPr>
        <w:t>J.3</w:t>
      </w:r>
      <w:r>
        <w:t>.</w:t>
      </w:r>
    </w:p>
    <w:p>
      <w:pPr>
        <w:pStyle w:val="ListBullet"/>
      </w:pPr>
      <w:r>
        <w:t xml:space="preserve">Mozi: </w:t>
      </w:r>
      <w:r>
        <w:rPr>
          <w:b/>
        </w:rPr>
        <w:t>F.3</w:t>
      </w:r>
      <w:r>
        <w:t>.</w:t>
      </w:r>
    </w:p>
    <w:p>
      <w:pPr>
        <w:pStyle w:val="ListBullet"/>
      </w:pPr>
      <w:r>
        <w:t xml:space="preserve">Mundaka Upanishad: </w:t>
      </w:r>
      <w:r>
        <w:rPr>
          <w:b/>
        </w:rPr>
        <w:t>4.4</w:t>
      </w:r>
      <w:r>
        <w:t>.</w:t>
      </w:r>
    </w:p>
    <w:p>
      <w:pPr>
        <w:pStyle w:val="ListBullet"/>
      </w:pPr>
      <w:r>
        <w:t xml:space="preserve">Nidanakatha: </w:t>
      </w:r>
      <w:r>
        <w:rPr>
          <w:b/>
        </w:rPr>
        <w:t>6.2</w:t>
      </w:r>
      <w:r>
        <w:t>.</w:t>
      </w:r>
    </w:p>
    <w:p>
      <w:pPr>
        <w:pStyle w:val="ListBullet"/>
      </w:pPr>
      <w:r>
        <w:t xml:space="preserve">Reformas de Urukagina: </w:t>
      </w:r>
      <w:r>
        <w:rPr>
          <w:b/>
        </w:rPr>
        <w:t>3.3</w:t>
      </w:r>
      <w:r>
        <w:t>.</w:t>
      </w:r>
    </w:p>
    <w:p>
      <w:pPr>
        <w:pStyle w:val="ListBullet"/>
      </w:pPr>
      <w:r>
        <w:t xml:space="preserve">Res Gestae divi Augusti: </w:t>
      </w:r>
      <w:r>
        <w:rPr>
          <w:b/>
        </w:rPr>
        <w:t>6.2</w:t>
      </w:r>
      <w:r>
        <w:t>.</w:t>
      </w:r>
    </w:p>
    <w:p>
      <w:pPr>
        <w:pStyle w:val="ListBullet"/>
      </w:pPr>
      <w:r>
        <w:t xml:space="preserve">Rig Veda: </w:t>
      </w:r>
      <w:r>
        <w:rPr>
          <w:b/>
        </w:rPr>
        <w:t>2.3</w:t>
      </w:r>
      <w:r>
        <w:t xml:space="preserve">, </w:t>
      </w:r>
      <w:r>
        <w:rPr>
          <w:b/>
        </w:rPr>
        <w:t>4.2</w:t>
      </w:r>
      <w:r>
        <w:t>.</w:t>
      </w:r>
    </w:p>
    <w:p>
      <w:pPr>
        <w:pStyle w:val="ListBullet"/>
      </w:pPr>
      <w:r>
        <w:t xml:space="preserve">Sahih al-Bujari: </w:t>
      </w:r>
      <w:r>
        <w:rPr>
          <w:b/>
        </w:rPr>
        <w:t>0.5</w:t>
      </w:r>
      <w:r>
        <w:t xml:space="preserve">, </w:t>
      </w:r>
      <w:r>
        <w:rPr>
          <w:b/>
        </w:rPr>
        <w:t>1.9</w:t>
      </w:r>
      <w:r>
        <w:t xml:space="preserve">, </w:t>
      </w:r>
      <w:r>
        <w:rPr>
          <w:b/>
        </w:rPr>
        <w:t>2.3</w:t>
      </w:r>
      <w:r>
        <w:t xml:space="preserve">, </w:t>
      </w:r>
      <w:r>
        <w:rPr>
          <w:b/>
        </w:rPr>
        <w:t>3.1</w:t>
      </w:r>
      <w:r>
        <w:t xml:space="preserve">, </w:t>
      </w:r>
      <w:r>
        <w:rPr>
          <w:b/>
        </w:rPr>
        <w:t>F.2</w:t>
      </w:r>
      <w:r>
        <w:t>.</w:t>
      </w:r>
    </w:p>
    <w:p>
      <w:pPr>
        <w:pStyle w:val="ListBullet"/>
      </w:pPr>
      <w:r>
        <w:t xml:space="preserve">Sahih Muslim: </w:t>
      </w:r>
      <w:r>
        <w:rPr>
          <w:b/>
        </w:rPr>
        <w:t>F.2</w:t>
      </w:r>
      <w:r>
        <w:t>.</w:t>
      </w:r>
    </w:p>
    <w:p>
      <w:pPr>
        <w:pStyle w:val="ListBullet"/>
      </w:pPr>
      <w:r>
        <w:t xml:space="preserve">Samyutta Nikaya: </w:t>
      </w:r>
      <w:r>
        <w:rPr>
          <w:b/>
        </w:rPr>
        <w:t>3.1</w:t>
      </w:r>
      <w:r>
        <w:t>.</w:t>
      </w:r>
    </w:p>
    <w:p>
      <w:pPr>
        <w:pStyle w:val="ListBullet"/>
      </w:pPr>
      <w:r>
        <w:t xml:space="preserve">Saṃyutta Nikāya: </w:t>
      </w:r>
      <w:r>
        <w:rPr>
          <w:b/>
        </w:rPr>
        <w:t>J.3</w:t>
      </w:r>
      <w:r>
        <w:t>.</w:t>
      </w:r>
    </w:p>
    <w:p>
      <w:pPr>
        <w:pStyle w:val="ListBullet"/>
      </w:pPr>
      <w:r>
        <w:t xml:space="preserve">Shû King (Libro de los Documentos): </w:t>
      </w:r>
      <w:r>
        <w:rPr>
          <w:b/>
        </w:rPr>
        <w:t>1.9</w:t>
      </w:r>
      <w:r>
        <w:t>.</w:t>
      </w:r>
    </w:p>
    <w:p>
      <w:pPr>
        <w:pStyle w:val="ListBullet"/>
      </w:pPr>
      <w:r>
        <w:t xml:space="preserve">Sima Qian, Shiji: </w:t>
      </w:r>
      <w:r>
        <w:rPr>
          <w:b/>
        </w:rPr>
        <w:t>3.4</w:t>
      </w:r>
      <w:r>
        <w:t xml:space="preserve">, </w:t>
      </w:r>
      <w:r>
        <w:rPr>
          <w:b/>
        </w:rPr>
        <w:t>3.5</w:t>
      </w:r>
      <w:r>
        <w:t xml:space="preserve">, </w:t>
      </w:r>
      <w:r>
        <w:rPr>
          <w:b/>
        </w:rPr>
        <w:t>F.3</w:t>
      </w:r>
      <w:r>
        <w:t>.</w:t>
      </w:r>
    </w:p>
    <w:p>
      <w:pPr>
        <w:pStyle w:val="ListBullet"/>
      </w:pPr>
      <w:r>
        <w:t xml:space="preserve">Sutta Nipata: </w:t>
      </w:r>
      <w:r>
        <w:rPr>
          <w:b/>
        </w:rPr>
        <w:t>4.1</w:t>
      </w:r>
      <w:r>
        <w:t xml:space="preserve">, </w:t>
      </w:r>
      <w:r>
        <w:rPr>
          <w:b/>
        </w:rPr>
        <w:t>4.3</w:t>
      </w:r>
      <w:r>
        <w:t xml:space="preserve">, </w:t>
      </w:r>
      <w:r>
        <w:rPr>
          <w:b/>
        </w:rPr>
        <w:t>F.5</w:t>
      </w:r>
      <w:r>
        <w:t>.</w:t>
      </w:r>
    </w:p>
    <w:p>
      <w:pPr>
        <w:pStyle w:val="ListBullet"/>
      </w:pPr>
      <w:r>
        <w:t xml:space="preserve">Tabla Esmeralda: </w:t>
      </w:r>
      <w:r>
        <w:rPr>
          <w:b/>
        </w:rPr>
        <w:t>I.7</w:t>
      </w:r>
      <w:r>
        <w:t>.</w:t>
      </w:r>
    </w:p>
    <w:p>
      <w:pPr>
        <w:pStyle w:val="ListBullet"/>
      </w:pPr>
      <w:r>
        <w:t xml:space="preserve">Tattvartha Sutra: </w:t>
      </w:r>
      <w:r>
        <w:rPr>
          <w:b/>
        </w:rPr>
        <w:t>F.5</w:t>
      </w:r>
      <w:r>
        <w:t>.</w:t>
      </w:r>
    </w:p>
    <w:p>
      <w:pPr>
        <w:pStyle w:val="ListBullet"/>
      </w:pPr>
      <w:r>
        <w:t xml:space="preserve">Textos de las Pirámides: </w:t>
      </w:r>
      <w:r>
        <w:rPr>
          <w:b/>
        </w:rPr>
        <w:t>2.3</w:t>
      </w:r>
      <w:r>
        <w:t xml:space="preserve">, </w:t>
      </w:r>
      <w:r>
        <w:rPr>
          <w:b/>
        </w:rPr>
        <w:t>4.2</w:t>
      </w:r>
      <w:r>
        <w:t>.</w:t>
      </w:r>
    </w:p>
    <w:p>
      <w:pPr>
        <w:pStyle w:val="ListBullet"/>
      </w:pPr>
      <w:r>
        <w:t xml:space="preserve">Vasishtha Dharmasutra: </w:t>
      </w:r>
      <w:r>
        <w:rPr>
          <w:b/>
        </w:rPr>
        <w:t>3.3</w:t>
      </w:r>
      <w:r>
        <w:t xml:space="preserve">, </w:t>
      </w:r>
      <w:r>
        <w:rPr>
          <w:b/>
        </w:rPr>
        <w:t>F.5</w:t>
      </w:r>
      <w:r>
        <w:t>.</w:t>
      </w:r>
    </w:p>
    <w:p>
      <w:pPr>
        <w:pStyle w:val="ListBullet"/>
      </w:pPr>
      <w:r>
        <w:t xml:space="preserve">Vinaya: </w:t>
      </w:r>
      <w:r>
        <w:rPr>
          <w:b/>
        </w:rPr>
        <w:t>3.6</w:t>
      </w:r>
      <w:r>
        <w:t xml:space="preserve">, </w:t>
      </w:r>
      <w:r>
        <w:rPr>
          <w:b/>
        </w:rPr>
        <w:t>F.7</w:t>
      </w:r>
      <w:r>
        <w:t>.</w:t>
      </w:r>
    </w:p>
    <w:p>
      <w:pPr>
        <w:pStyle w:val="ListBullet"/>
      </w:pPr>
      <w:r>
        <w:t xml:space="preserve">Völuspá (Codex Regius): </w:t>
      </w:r>
      <w:r>
        <w:rPr>
          <w:b/>
        </w:rPr>
        <w:t>4.2</w:t>
      </w:r>
      <w:r>
        <w:t>.</w:t>
      </w:r>
    </w:p>
    <w:p>
      <w:pPr>
        <w:pStyle w:val="ListBullet"/>
      </w:pPr>
      <w:r>
        <w:t xml:space="preserve">Xunzi: </w:t>
      </w:r>
      <w:r>
        <w:rPr>
          <w:b/>
        </w:rPr>
        <w:t>2.5</w:t>
      </w:r>
      <w:r>
        <w:t xml:space="preserve">, </w:t>
      </w:r>
      <w:r>
        <w:rPr>
          <w:b/>
        </w:rPr>
        <w:t>3.2</w:t>
      </w:r>
      <w:r>
        <w:t xml:space="preserve">, </w:t>
      </w:r>
      <w:r>
        <w:rPr>
          <w:b/>
        </w:rPr>
        <w:t>F.3</w:t>
      </w:r>
      <w:r>
        <w:t>.</w:t>
      </w:r>
    </w:p>
    <w:p>
      <w:pPr>
        <w:pStyle w:val="ListBullet"/>
      </w:pPr>
      <w:r>
        <w:t xml:space="preserve">Zhongyong (La Doctrina del Medio): </w:t>
      </w:r>
      <w:r>
        <w:rPr>
          <w:b/>
        </w:rPr>
        <w:t>J.3</w:t>
      </w:r>
      <w:r>
        <w:t>.</w:t>
      </w:r>
    </w:p>
    <w:p>
      <w:pPr>
        <w:pStyle w:val="ListBullet"/>
      </w:pPr>
      <w:r>
        <w:t xml:space="preserve">Zhuangzi: </w:t>
      </w:r>
      <w:r>
        <w:rPr>
          <w:b/>
        </w:rPr>
        <w:t>F.3</w:t>
      </w:r>
      <w:r>
        <w:t>.</w:t>
      </w:r>
    </w:p>
    <w:p>
      <w:r>
        <w:rPr>
          <w:b/>
        </w:rPr>
        <w:t>Los autores</w:t>
      </w:r>
      <w:r>
        <w:t xml:space="preserve"> (123 fuentes)</w:t>
      </w:r>
    </w:p>
    <w:p>
      <w:pPr>
        <w:pStyle w:val="ListBullet"/>
      </w:pPr>
      <w:r>
        <w:t xml:space="preserve">Adolf Deissmann, Light from the Ancient East (Luz del antiguo Oriente), 1910: </w:t>
      </w:r>
      <w:r>
        <w:rPr>
          <w:b/>
        </w:rPr>
        <w:t>8.11</w:t>
      </w:r>
      <w:r>
        <w:t>.</w:t>
      </w:r>
    </w:p>
    <w:p>
      <w:pPr>
        <w:pStyle w:val="ListBullet"/>
      </w:pPr>
      <w:r>
        <w:t xml:space="preserve">Agustín de Hipona: </w:t>
      </w:r>
      <w:r>
        <w:rPr>
          <w:b/>
        </w:rPr>
        <w:t>2.3</w:t>
      </w:r>
      <w:r>
        <w:t xml:space="preserve">, </w:t>
      </w:r>
      <w:r>
        <w:rPr>
          <w:b/>
        </w:rPr>
        <w:t>11.2</w:t>
      </w:r>
      <w:r>
        <w:t>.</w:t>
      </w:r>
    </w:p>
    <w:p>
      <w:pPr>
        <w:pStyle w:val="ListBullet"/>
      </w:pPr>
      <w:r>
        <w:t xml:space="preserve">Alonso de Zorita, Breve y sumaria relación: </w:t>
      </w:r>
      <w:r>
        <w:rPr>
          <w:b/>
        </w:rPr>
        <w:t>F.7</w:t>
      </w:r>
      <w:r>
        <w:t>.</w:t>
      </w:r>
    </w:p>
    <w:p>
      <w:pPr>
        <w:pStyle w:val="ListBullet"/>
      </w:pPr>
      <w:r>
        <w:t xml:space="preserve">Alva Ixtlilxóchitl: </w:t>
      </w:r>
      <w:r>
        <w:rPr>
          <w:b/>
        </w:rPr>
        <w:t>F.7</w:t>
      </w:r>
      <w:r>
        <w:t>.</w:t>
      </w:r>
    </w:p>
    <w:p>
      <w:pPr>
        <w:pStyle w:val="ListBullet"/>
      </w:pPr>
      <w:r>
        <w:t xml:space="preserve">Ari Þorgilsson, Íslendingabók: </w:t>
      </w:r>
      <w:r>
        <w:rPr>
          <w:b/>
        </w:rPr>
        <w:t>F.7</w:t>
      </w:r>
      <w:r>
        <w:t>.</w:t>
      </w:r>
    </w:p>
    <w:p>
      <w:pPr>
        <w:pStyle w:val="ListBullet"/>
      </w:pPr>
      <w:r>
        <w:t xml:space="preserve">Aristóteles: </w:t>
      </w:r>
      <w:r>
        <w:rPr>
          <w:b/>
        </w:rPr>
        <w:t>0.5</w:t>
      </w:r>
      <w:r>
        <w:t xml:space="preserve">, </w:t>
      </w:r>
      <w:r>
        <w:rPr>
          <w:b/>
        </w:rPr>
        <w:t>1.4</w:t>
      </w:r>
      <w:r>
        <w:t xml:space="preserve">, </w:t>
      </w:r>
      <w:r>
        <w:rPr>
          <w:b/>
        </w:rPr>
        <w:t>2.3</w:t>
      </w:r>
      <w:r>
        <w:t xml:space="preserve">, </w:t>
      </w:r>
      <w:r>
        <w:rPr>
          <w:b/>
        </w:rPr>
        <w:t>3.2</w:t>
      </w:r>
      <w:r>
        <w:t xml:space="preserve">, </w:t>
      </w:r>
      <w:r>
        <w:rPr>
          <w:b/>
        </w:rPr>
        <w:t>3.3</w:t>
      </w:r>
      <w:r>
        <w:t xml:space="preserve">, </w:t>
      </w:r>
      <w:r>
        <w:rPr>
          <w:b/>
        </w:rPr>
        <w:t>4.3</w:t>
      </w:r>
      <w:r>
        <w:t xml:space="preserve">, </w:t>
      </w:r>
      <w:r>
        <w:rPr>
          <w:b/>
        </w:rPr>
        <w:t>4.4</w:t>
      </w:r>
      <w:r>
        <w:t xml:space="preserve">, </w:t>
      </w:r>
      <w:r>
        <w:rPr>
          <w:b/>
        </w:rPr>
        <w:t>5.5</w:t>
      </w:r>
      <w:r>
        <w:t xml:space="preserve">, </w:t>
      </w:r>
      <w:r>
        <w:rPr>
          <w:b/>
        </w:rPr>
        <w:t>7.5</w:t>
      </w:r>
      <w:r>
        <w:t xml:space="preserve">, </w:t>
      </w:r>
      <w:r>
        <w:rPr>
          <w:b/>
        </w:rPr>
        <w:t>F.4</w:t>
      </w:r>
      <w:r>
        <w:t>.</w:t>
      </w:r>
    </w:p>
    <w:p>
      <w:pPr>
        <w:pStyle w:val="ListBullet"/>
      </w:pPr>
      <w:r>
        <w:t xml:space="preserve">Bel y Costas: </w:t>
      </w:r>
      <w:r>
        <w:rPr>
          <w:b/>
        </w:rPr>
        <w:t>8.7</w:t>
      </w:r>
      <w:r>
        <w:t>.</w:t>
      </w:r>
    </w:p>
    <w:p>
      <w:pPr>
        <w:pStyle w:val="ListBullet"/>
      </w:pPr>
      <w:r>
        <w:t xml:space="preserve">Beneš y Kumhof (FMI): </w:t>
      </w:r>
      <w:r>
        <w:rPr>
          <w:b/>
        </w:rPr>
        <w:t>8.1</w:t>
      </w:r>
      <w:r>
        <w:t>.</w:t>
      </w:r>
    </w:p>
    <w:p>
      <w:pPr>
        <w:pStyle w:val="ListBullet"/>
      </w:pPr>
      <w:r>
        <w:t xml:space="preserve">Bentham: </w:t>
      </w:r>
      <w:r>
        <w:rPr>
          <w:b/>
        </w:rPr>
        <w:t>G.6</w:t>
      </w:r>
      <w:r>
        <w:t>.</w:t>
      </w:r>
    </w:p>
    <w:p>
      <w:pPr>
        <w:pStyle w:val="ListBullet"/>
      </w:pPr>
      <w:r>
        <w:t xml:space="preserve">Bernanke: </w:t>
      </w:r>
      <w:r>
        <w:rPr>
          <w:b/>
        </w:rPr>
        <w:t>8.1</w:t>
      </w:r>
      <w:r>
        <w:t>.</w:t>
      </w:r>
    </w:p>
    <w:p>
      <w:pPr>
        <w:pStyle w:val="ListBullet"/>
      </w:pPr>
      <w:r>
        <w:t xml:space="preserve">Bodino: </w:t>
      </w:r>
      <w:r>
        <w:rPr>
          <w:b/>
        </w:rPr>
        <w:t>6.3</w:t>
      </w:r>
      <w:r>
        <w:t>.</w:t>
      </w:r>
    </w:p>
    <w:p>
      <w:pPr>
        <w:pStyle w:val="ListBullet"/>
      </w:pPr>
      <w:r>
        <w:t xml:space="preserve">Breasted (historia y documentos del antiguo Egipto): </w:t>
      </w:r>
      <w:r>
        <w:rPr>
          <w:b/>
        </w:rPr>
        <w:t>4.2</w:t>
      </w:r>
      <w:r>
        <w:t xml:space="preserve">, </w:t>
      </w:r>
      <w:r>
        <w:rPr>
          <w:b/>
        </w:rPr>
        <w:t>6.2</w:t>
      </w:r>
      <w:r>
        <w:t>.</w:t>
      </w:r>
    </w:p>
    <w:p>
      <w:pPr>
        <w:pStyle w:val="ListBullet"/>
      </w:pPr>
      <w:r>
        <w:t xml:space="preserve">Bryant, Liberty, Order and Law under Native Irish Rule: </w:t>
      </w:r>
      <w:r>
        <w:rPr>
          <w:b/>
        </w:rPr>
        <w:t>F.7</w:t>
      </w:r>
      <w:r>
        <w:t>.</w:t>
      </w:r>
    </w:p>
    <w:p>
      <w:pPr>
        <w:pStyle w:val="ListBullet"/>
      </w:pPr>
      <w:r>
        <w:t xml:space="preserve">Buric y otros, Frontiers in Immunology 8 (2017): </w:t>
      </w:r>
      <w:r>
        <w:rPr>
          <w:b/>
        </w:rPr>
        <w:t>4.2</w:t>
      </w:r>
      <w:r>
        <w:t>.</w:t>
      </w:r>
    </w:p>
    <w:p>
      <w:pPr>
        <w:pStyle w:val="ListBullet"/>
      </w:pPr>
      <w:r>
        <w:t xml:space="preserve">Casalis, Los basutos: </w:t>
      </w:r>
      <w:r>
        <w:rPr>
          <w:b/>
        </w:rPr>
        <w:t>F.6</w:t>
      </w:r>
      <w:r>
        <w:t>.</w:t>
      </w:r>
    </w:p>
    <w:p>
      <w:pPr>
        <w:pStyle w:val="ListBullet"/>
      </w:pPr>
      <w:r>
        <w:t xml:space="preserve">Cicerón: </w:t>
      </w:r>
      <w:r>
        <w:rPr>
          <w:b/>
        </w:rPr>
        <w:t>1.5</w:t>
      </w:r>
      <w:r>
        <w:t xml:space="preserve">, </w:t>
      </w:r>
      <w:r>
        <w:rPr>
          <w:b/>
        </w:rPr>
        <w:t>3.1</w:t>
      </w:r>
      <w:r>
        <w:t xml:space="preserve">, </w:t>
      </w:r>
      <w:r>
        <w:rPr>
          <w:b/>
        </w:rPr>
        <w:t>3.2</w:t>
      </w:r>
      <w:r>
        <w:t xml:space="preserve">, </w:t>
      </w:r>
      <w:r>
        <w:rPr>
          <w:b/>
        </w:rPr>
        <w:t>F.4</w:t>
      </w:r>
      <w:r>
        <w:t xml:space="preserve">, </w:t>
      </w:r>
      <w:r>
        <w:rPr>
          <w:b/>
        </w:rPr>
        <w:t>G.6</w:t>
      </w:r>
      <w:r>
        <w:t xml:space="preserve">, </w:t>
      </w:r>
      <w:r>
        <w:rPr>
          <w:b/>
        </w:rPr>
        <w:t>H.10</w:t>
      </w:r>
      <w:r>
        <w:t>.</w:t>
      </w:r>
    </w:p>
    <w:p>
      <w:pPr>
        <w:pStyle w:val="ListBullet"/>
      </w:pPr>
      <w:r>
        <w:t xml:space="preserve">Claridge, A History of the Gold Coast and Ashanti: </w:t>
      </w:r>
      <w:r>
        <w:rPr>
          <w:b/>
        </w:rPr>
        <w:t>7.5</w:t>
      </w:r>
      <w:r>
        <w:t>.</w:t>
      </w:r>
    </w:p>
    <w:p>
      <w:pPr>
        <w:pStyle w:val="ListBullet"/>
      </w:pPr>
      <w:r>
        <w:t xml:space="preserve">Clavijero, Historia antigua de México: </w:t>
      </w:r>
      <w:r>
        <w:rPr>
          <w:b/>
        </w:rPr>
        <w:t>F.7</w:t>
      </w:r>
      <w:r>
        <w:t>.</w:t>
      </w:r>
    </w:p>
    <w:p>
      <w:pPr>
        <w:pStyle w:val="ListBullet"/>
      </w:pPr>
      <w:r>
        <w:t xml:space="preserve">Cohen y otros, Psychosomatic Medicine 78 (2016), resumen: </w:t>
      </w:r>
      <w:r>
        <w:rPr>
          <w:b/>
        </w:rPr>
        <w:t>4.2</w:t>
      </w:r>
      <w:r>
        <w:t>.</w:t>
      </w:r>
    </w:p>
    <w:p>
      <w:pPr>
        <w:pStyle w:val="ListBullet"/>
      </w:pPr>
      <w:r>
        <w:t xml:space="preserve">Comín: </w:t>
      </w:r>
      <w:r>
        <w:rPr>
          <w:b/>
        </w:rPr>
        <w:t>9.1</w:t>
      </w:r>
      <w:r>
        <w:t>.</w:t>
      </w:r>
    </w:p>
    <w:p>
      <w:pPr>
        <w:pStyle w:val="ListBullet"/>
      </w:pPr>
      <w:r>
        <w:t xml:space="preserve">Condorcet: </w:t>
      </w:r>
      <w:r>
        <w:rPr>
          <w:b/>
        </w:rPr>
        <w:t>6.1</w:t>
      </w:r>
      <w:r>
        <w:t>.</w:t>
      </w:r>
    </w:p>
    <w:p>
      <w:pPr>
        <w:pStyle w:val="ListBullet"/>
      </w:pPr>
      <w:r>
        <w:t xml:space="preserve">Copérnico: </w:t>
      </w:r>
      <w:r>
        <w:rPr>
          <w:b/>
        </w:rPr>
        <w:t>8.2</w:t>
      </w:r>
      <w:r>
        <w:t>.</w:t>
      </w:r>
    </w:p>
    <w:p>
      <w:pPr>
        <w:pStyle w:val="ListBullet"/>
      </w:pPr>
      <w:r>
        <w:t xml:space="preserve">Cordero Quinzacara y Aldunate Lizana: </w:t>
      </w:r>
      <w:r>
        <w:rPr>
          <w:b/>
        </w:rPr>
        <w:t>6.3</w:t>
      </w:r>
      <w:r>
        <w:t>.</w:t>
      </w:r>
    </w:p>
    <w:p>
      <w:pPr>
        <w:pStyle w:val="ListBullet"/>
      </w:pPr>
      <w:r>
        <w:t xml:space="preserve">Diógenes Laercio: </w:t>
      </w:r>
      <w:r>
        <w:rPr>
          <w:b/>
        </w:rPr>
        <w:t>H.10</w:t>
      </w:r>
      <w:r>
        <w:t>.</w:t>
      </w:r>
    </w:p>
    <w:p>
      <w:pPr>
        <w:pStyle w:val="ListBullet"/>
      </w:pPr>
      <w:r>
        <w:t xml:space="preserve">El Federalista: </w:t>
      </w:r>
      <w:r>
        <w:rPr>
          <w:b/>
        </w:rPr>
        <w:t>6.5</w:t>
      </w:r>
      <w:r>
        <w:t>.</w:t>
      </w:r>
    </w:p>
    <w:p>
      <w:pPr>
        <w:pStyle w:val="ListBullet"/>
      </w:pPr>
      <w:r>
        <w:t xml:space="preserve">Erman, Die Literatur der Aegypter: </w:t>
      </w:r>
      <w:r>
        <w:rPr>
          <w:b/>
        </w:rPr>
        <w:t>7.5</w:t>
      </w:r>
      <w:r>
        <w:t>.</w:t>
      </w:r>
    </w:p>
    <w:p>
      <w:pPr>
        <w:pStyle w:val="ListBullet"/>
      </w:pPr>
      <w:r>
        <w:t xml:space="preserve">Espinosa: </w:t>
      </w:r>
      <w:r>
        <w:rPr>
          <w:b/>
        </w:rPr>
        <w:t>11.3</w:t>
      </w:r>
      <w:r>
        <w:t>.</w:t>
      </w:r>
    </w:p>
    <w:p>
      <w:pPr>
        <w:pStyle w:val="ListBullet"/>
      </w:pPr>
      <w:r>
        <w:t xml:space="preserve">Estudios sobre corresponsabilidad fiscal autonómica: </w:t>
      </w:r>
      <w:r>
        <w:rPr>
          <w:b/>
        </w:rPr>
        <w:t>A.9</w:t>
      </w:r>
      <w:r>
        <w:t>.</w:t>
      </w:r>
    </w:p>
    <w:p>
      <w:pPr>
        <w:pStyle w:val="ListBullet"/>
      </w:pPr>
      <w:r>
        <w:t xml:space="preserve">Fedro: </w:t>
      </w:r>
      <w:r>
        <w:rPr>
          <w:b/>
        </w:rPr>
        <w:t>2.5</w:t>
      </w:r>
      <w:r>
        <w:t>.</w:t>
      </w:r>
    </w:p>
    <w:p>
      <w:pPr>
        <w:pStyle w:val="ListBullet"/>
      </w:pPr>
      <w:r>
        <w:t xml:space="preserve">Forrester y May (eds.), The Fall of Soeharto: </w:t>
      </w:r>
      <w:r>
        <w:rPr>
          <w:b/>
        </w:rPr>
        <w:t>9.2</w:t>
      </w:r>
      <w:r>
        <w:t>.</w:t>
      </w:r>
    </w:p>
    <w:p>
      <w:pPr>
        <w:pStyle w:val="ListBullet"/>
      </w:pPr>
      <w:r>
        <w:t xml:space="preserve">Francis Bacon: </w:t>
      </w:r>
      <w:r>
        <w:rPr>
          <w:b/>
        </w:rPr>
        <w:t>H.10</w:t>
      </w:r>
      <w:r>
        <w:t>.</w:t>
      </w:r>
    </w:p>
    <w:p>
      <w:pPr>
        <w:pStyle w:val="ListBullet"/>
      </w:pPr>
      <w:r>
        <w:t xml:space="preserve">Francisco de Vitoria: </w:t>
      </w:r>
      <w:r>
        <w:rPr>
          <w:b/>
        </w:rPr>
        <w:t>1.4</w:t>
      </w:r>
      <w:r>
        <w:t>.</w:t>
      </w:r>
    </w:p>
    <w:p>
      <w:pPr>
        <w:pStyle w:val="ListBullet"/>
      </w:pPr>
      <w:r>
        <w:t xml:space="preserve">Franz Boas: </w:t>
      </w:r>
      <w:r>
        <w:rPr>
          <w:b/>
        </w:rPr>
        <w:t>F.7</w:t>
      </w:r>
      <w:r>
        <w:t>.</w:t>
      </w:r>
    </w:p>
    <w:p>
      <w:pPr>
        <w:pStyle w:val="ListBullet"/>
      </w:pPr>
      <w:r>
        <w:t xml:space="preserve">Franz Oppenheimer: </w:t>
      </w:r>
      <w:r>
        <w:rPr>
          <w:b/>
        </w:rPr>
        <w:t>6.4</w:t>
      </w:r>
      <w:r>
        <w:t>.</w:t>
      </w:r>
    </w:p>
    <w:p>
      <w:pPr>
        <w:pStyle w:val="ListBullet"/>
      </w:pPr>
      <w:r>
        <w:t xml:space="preserve">Gaceta Sanitaria (2016): </w:t>
      </w:r>
      <w:r>
        <w:rPr>
          <w:b/>
        </w:rPr>
        <w:t>A.9</w:t>
      </w:r>
      <w:r>
        <w:t>.</w:t>
      </w:r>
    </w:p>
    <w:p>
      <w:pPr>
        <w:pStyle w:val="ListBullet"/>
      </w:pPr>
      <w:r>
        <w:t xml:space="preserve">Gaetano Mosca: </w:t>
      </w:r>
      <w:r>
        <w:rPr>
          <w:b/>
        </w:rPr>
        <w:t>6.4</w:t>
      </w:r>
      <w:r>
        <w:t>.</w:t>
      </w:r>
    </w:p>
    <w:p>
      <w:pPr>
        <w:pStyle w:val="ListBullet"/>
      </w:pPr>
      <w:r>
        <w:t xml:space="preserve">Garcilaso de la Vega, Comentarios reales: </w:t>
      </w:r>
      <w:r>
        <w:rPr>
          <w:b/>
        </w:rPr>
        <w:t>2.3</w:t>
      </w:r>
      <w:r>
        <w:t xml:space="preserve">, </w:t>
      </w:r>
      <w:r>
        <w:rPr>
          <w:b/>
        </w:rPr>
        <w:t>3.2</w:t>
      </w:r>
      <w:r>
        <w:t xml:space="preserve">, </w:t>
      </w:r>
      <w:r>
        <w:rPr>
          <w:b/>
        </w:rPr>
        <w:t>7.5</w:t>
      </w:r>
      <w:r>
        <w:t xml:space="preserve">, </w:t>
      </w:r>
      <w:r>
        <w:rPr>
          <w:b/>
        </w:rPr>
        <w:t>F.6</w:t>
      </w:r>
      <w:r>
        <w:t xml:space="preserve">, </w:t>
      </w:r>
      <w:r>
        <w:rPr>
          <w:b/>
        </w:rPr>
        <w:t>F.7</w:t>
      </w:r>
      <w:r>
        <w:t>.</w:t>
      </w:r>
    </w:p>
    <w:p>
      <w:pPr>
        <w:pStyle w:val="ListBullet"/>
      </w:pPr>
      <w:r>
        <w:t xml:space="preserve">Gjerset, History of Iceland: </w:t>
      </w:r>
      <w:r>
        <w:rPr>
          <w:b/>
        </w:rPr>
        <w:t>F.7</w:t>
      </w:r>
      <w:r>
        <w:t>.</w:t>
      </w:r>
    </w:p>
    <w:p>
      <w:pPr>
        <w:pStyle w:val="ListBullet"/>
      </w:pPr>
      <w:r>
        <w:t xml:space="preserve">Gómez Garrido: </w:t>
      </w:r>
      <w:r>
        <w:rPr>
          <w:b/>
        </w:rPr>
        <w:t>7.3</w:t>
      </w:r>
      <w:r>
        <w:t>.</w:t>
      </w:r>
    </w:p>
    <w:p>
      <w:pPr>
        <w:pStyle w:val="ListBullet"/>
      </w:pPr>
      <w:r>
        <w:t xml:space="preserve">Greenspan: </w:t>
      </w:r>
      <w:r>
        <w:rPr>
          <w:b/>
        </w:rPr>
        <w:t>8.2</w:t>
      </w:r>
      <w:r>
        <w:t>.</w:t>
      </w:r>
    </w:p>
    <w:p>
      <w:pPr>
        <w:pStyle w:val="ListBullet"/>
      </w:pPr>
      <w:r>
        <w:t xml:space="preserve">Gundel, The predicament of the Oday: </w:t>
      </w:r>
      <w:r>
        <w:rPr>
          <w:b/>
        </w:rPr>
        <w:t>F.7</w:t>
      </w:r>
      <w:r>
        <w:t>.</w:t>
      </w:r>
    </w:p>
    <w:p>
      <w:pPr>
        <w:pStyle w:val="ListBullet"/>
      </w:pPr>
      <w:r>
        <w:t xml:space="preserve">H. L. A. Hart: </w:t>
      </w:r>
      <w:r>
        <w:rPr>
          <w:b/>
        </w:rPr>
        <w:t>11.2</w:t>
      </w:r>
      <w:r>
        <w:t>.</w:t>
      </w:r>
    </w:p>
    <w:p>
      <w:pPr>
        <w:pStyle w:val="ListBullet"/>
      </w:pPr>
      <w:r>
        <w:t xml:space="preserve">Heráclito: </w:t>
      </w:r>
      <w:r>
        <w:rPr>
          <w:b/>
        </w:rPr>
        <w:t>1.4</w:t>
      </w:r>
      <w:r>
        <w:t>.</w:t>
      </w:r>
    </w:p>
    <w:p>
      <w:pPr>
        <w:pStyle w:val="ListBullet"/>
      </w:pPr>
      <w:r>
        <w:t xml:space="preserve">Hernán Cortés, Segunda carta de relación: </w:t>
      </w:r>
      <w:r>
        <w:rPr>
          <w:b/>
        </w:rPr>
        <w:t>F.6</w:t>
      </w:r>
      <w:r>
        <w:t>.</w:t>
      </w:r>
    </w:p>
    <w:p>
      <w:pPr>
        <w:pStyle w:val="ListBullet"/>
      </w:pPr>
      <w:r>
        <w:t xml:space="preserve">Hesíodo, Trabajos y días: </w:t>
      </w:r>
      <w:r>
        <w:rPr>
          <w:b/>
        </w:rPr>
        <w:t>2.3</w:t>
      </w:r>
      <w:r>
        <w:t xml:space="preserve">, </w:t>
      </w:r>
      <w:r>
        <w:rPr>
          <w:b/>
        </w:rPr>
        <w:t>3.1</w:t>
      </w:r>
      <w:r>
        <w:t xml:space="preserve">, </w:t>
      </w:r>
      <w:r>
        <w:rPr>
          <w:b/>
        </w:rPr>
        <w:t>F.4</w:t>
      </w:r>
      <w:r>
        <w:t>.</w:t>
      </w:r>
    </w:p>
    <w:p>
      <w:pPr>
        <w:pStyle w:val="ListBullet"/>
      </w:pPr>
      <w:r>
        <w:t xml:space="preserve">Higgins, Songlines and Land Claims: </w:t>
      </w:r>
      <w:r>
        <w:rPr>
          <w:b/>
        </w:rPr>
        <w:t>F.7</w:t>
      </w:r>
      <w:r>
        <w:t>.</w:t>
      </w:r>
    </w:p>
    <w:p>
      <w:pPr>
        <w:pStyle w:val="ListBullet"/>
      </w:pPr>
      <w:r>
        <w:t xml:space="preserve">Hipólito de Roma, Sobre Cristo y el Anticristo: </w:t>
      </w:r>
      <w:r>
        <w:rPr>
          <w:b/>
        </w:rPr>
        <w:t>8.11</w:t>
      </w:r>
      <w:r>
        <w:t>.</w:t>
      </w:r>
    </w:p>
    <w:p>
      <w:pPr>
        <w:pStyle w:val="ListBullet"/>
      </w:pPr>
      <w:r>
        <w:t xml:space="preserve">Hobbes: </w:t>
      </w:r>
      <w:r>
        <w:rPr>
          <w:b/>
        </w:rPr>
        <w:t>1.7</w:t>
      </w:r>
      <w:r>
        <w:t xml:space="preserve">, </w:t>
      </w:r>
      <w:r>
        <w:rPr>
          <w:b/>
        </w:rPr>
        <w:t>6.1</w:t>
      </w:r>
      <w:r>
        <w:t xml:space="preserve">, </w:t>
      </w:r>
      <w:r>
        <w:rPr>
          <w:b/>
        </w:rPr>
        <w:t>9.1</w:t>
      </w:r>
      <w:r>
        <w:t>.</w:t>
      </w:r>
    </w:p>
    <w:p>
      <w:pPr>
        <w:pStyle w:val="ListBullet"/>
      </w:pPr>
      <w:r>
        <w:t xml:space="preserve">Horacio: </w:t>
      </w:r>
      <w:r>
        <w:rPr>
          <w:b/>
        </w:rPr>
        <w:t>J.3</w:t>
      </w:r>
      <w:r>
        <w:t>.</w:t>
      </w:r>
    </w:p>
    <w:p>
      <w:pPr>
        <w:pStyle w:val="ListBullet"/>
      </w:pPr>
      <w:r>
        <w:t xml:space="preserve">Hume: </w:t>
      </w:r>
      <w:r>
        <w:rPr>
          <w:b/>
        </w:rPr>
        <w:t>6.1</w:t>
      </w:r>
      <w:r>
        <w:t>.</w:t>
      </w:r>
    </w:p>
    <w:p>
      <w:pPr>
        <w:pStyle w:val="ListBullet"/>
      </w:pPr>
      <w:r>
        <w:t xml:space="preserve">Ibn Jaldún: </w:t>
      </w:r>
      <w:r>
        <w:rPr>
          <w:b/>
        </w:rPr>
        <w:t>6.4</w:t>
      </w:r>
      <w:r>
        <w:t>.</w:t>
      </w:r>
    </w:p>
    <w:p>
      <w:pPr>
        <w:pStyle w:val="ListBullet"/>
      </w:pPr>
      <w:r>
        <w:t xml:space="preserve">Ireneo de Lyon, Contra las herejías: </w:t>
      </w:r>
      <w:r>
        <w:rPr>
          <w:b/>
        </w:rPr>
        <w:t>1.9</w:t>
      </w:r>
      <w:r>
        <w:t xml:space="preserve">, </w:t>
      </w:r>
      <w:r>
        <w:rPr>
          <w:b/>
        </w:rPr>
        <w:t>2.3</w:t>
      </w:r>
      <w:r>
        <w:t>.</w:t>
      </w:r>
    </w:p>
    <w:p>
      <w:pPr>
        <w:pStyle w:val="ListBullet"/>
      </w:pPr>
      <w:r>
        <w:t xml:space="preserve">Isaiah Berlin: </w:t>
      </w:r>
      <w:r>
        <w:rPr>
          <w:b/>
        </w:rPr>
        <w:t>6.1</w:t>
      </w:r>
      <w:r>
        <w:t>.</w:t>
      </w:r>
    </w:p>
    <w:p>
      <w:pPr>
        <w:pStyle w:val="ListBullet"/>
      </w:pPr>
      <w:r>
        <w:t xml:space="preserve">Isidoro de Sevilla, Etimologías: </w:t>
      </w:r>
      <w:r>
        <w:rPr>
          <w:b/>
        </w:rPr>
        <w:t>1.5</w:t>
      </w:r>
      <w:r>
        <w:t xml:space="preserve">, </w:t>
      </w:r>
      <w:r>
        <w:rPr>
          <w:b/>
        </w:rPr>
        <w:t>1.7</w:t>
      </w:r>
      <w:r>
        <w:t>.</w:t>
      </w:r>
    </w:p>
    <w:p>
      <w:pPr>
        <w:pStyle w:val="ListBullet"/>
      </w:pPr>
      <w:r>
        <w:t xml:space="preserve">Jacobo VI de Escocia: </w:t>
      </w:r>
      <w:r>
        <w:rPr>
          <w:b/>
        </w:rPr>
        <w:t>6.2</w:t>
      </w:r>
      <w:r>
        <w:t>.</w:t>
      </w:r>
    </w:p>
    <w:p>
      <w:pPr>
        <w:pStyle w:val="ListBullet"/>
      </w:pPr>
      <w:r>
        <w:t xml:space="preserve">John Searle: </w:t>
      </w:r>
      <w:r>
        <w:rPr>
          <w:b/>
        </w:rPr>
        <w:t>5.3</w:t>
      </w:r>
      <w:r>
        <w:t>.</w:t>
      </w:r>
    </w:p>
    <w:p>
      <w:pPr>
        <w:pStyle w:val="ListBullet"/>
      </w:pPr>
      <w:r>
        <w:t xml:space="preserve">John Stuart Mill: </w:t>
      </w:r>
      <w:r>
        <w:rPr>
          <w:b/>
        </w:rPr>
        <w:t>2.3</w:t>
      </w:r>
      <w:r>
        <w:t xml:space="preserve">, </w:t>
      </w:r>
      <w:r>
        <w:rPr>
          <w:b/>
        </w:rPr>
        <w:t>11.2</w:t>
      </w:r>
      <w:r>
        <w:t>.</w:t>
      </w:r>
    </w:p>
    <w:p>
      <w:pPr>
        <w:pStyle w:val="ListBullet"/>
      </w:pPr>
      <w:r>
        <w:t xml:space="preserve">Johnson, Historia de los yorubas: </w:t>
      </w:r>
      <w:r>
        <w:rPr>
          <w:b/>
        </w:rPr>
        <w:t>F.6</w:t>
      </w:r>
      <w:r>
        <w:t>.</w:t>
      </w:r>
    </w:p>
    <w:p>
      <w:pPr>
        <w:pStyle w:val="ListBullet"/>
      </w:pPr>
      <w:r>
        <w:t xml:space="preserve">Juan de Mariana: </w:t>
      </w:r>
      <w:r>
        <w:rPr>
          <w:b/>
        </w:rPr>
        <w:t>8.2</w:t>
      </w:r>
      <w:r>
        <w:t>.</w:t>
      </w:r>
    </w:p>
    <w:p>
      <w:pPr>
        <w:pStyle w:val="ListBullet"/>
      </w:pPr>
      <w:r>
        <w:t xml:space="preserve">Julio César: </w:t>
      </w:r>
      <w:r>
        <w:rPr>
          <w:b/>
        </w:rPr>
        <w:t>1.5</w:t>
      </w:r>
      <w:r>
        <w:t xml:space="preserve">, </w:t>
      </w:r>
      <w:r>
        <w:rPr>
          <w:b/>
        </w:rPr>
        <w:t>3.5</w:t>
      </w:r>
      <w:r>
        <w:t>.</w:t>
      </w:r>
    </w:p>
    <w:p>
      <w:pPr>
        <w:pStyle w:val="ListBullet"/>
      </w:pPr>
      <w:r>
        <w:t xml:space="preserve">Julio Ponce: </w:t>
      </w:r>
      <w:r>
        <w:rPr>
          <w:b/>
        </w:rPr>
        <w:t>A.9</w:t>
      </w:r>
      <w:r>
        <w:t>.</w:t>
      </w:r>
    </w:p>
    <w:p>
      <w:pPr>
        <w:pStyle w:val="ListBullet"/>
      </w:pPr>
      <w:r>
        <w:t xml:space="preserve">Juvaini: </w:t>
      </w:r>
      <w:r>
        <w:rPr>
          <w:b/>
        </w:rPr>
        <w:t>F.7</w:t>
      </w:r>
      <w:r>
        <w:t>.</w:t>
      </w:r>
    </w:p>
    <w:p>
      <w:pPr>
        <w:pStyle w:val="ListBullet"/>
      </w:pPr>
      <w:r>
        <w:t xml:space="preserve">Kaliman y otros, Psychoneuroendocrinology 40 (2014): </w:t>
      </w:r>
      <w:r>
        <w:rPr>
          <w:b/>
        </w:rPr>
        <w:t>4.2</w:t>
      </w:r>
      <w:r>
        <w:t>.</w:t>
      </w:r>
    </w:p>
    <w:p>
      <w:pPr>
        <w:pStyle w:val="ListBullet"/>
      </w:pPr>
      <w:r>
        <w:t xml:space="preserve">Kant: </w:t>
      </w:r>
      <w:r>
        <w:rPr>
          <w:b/>
        </w:rPr>
        <w:t>2.4</w:t>
      </w:r>
      <w:r>
        <w:t xml:space="preserve">, </w:t>
      </w:r>
      <w:r>
        <w:rPr>
          <w:b/>
        </w:rPr>
        <w:t>6.1</w:t>
      </w:r>
      <w:r>
        <w:t>.</w:t>
      </w:r>
    </w:p>
    <w:p>
      <w:pPr>
        <w:pStyle w:val="ListBullet"/>
      </w:pPr>
      <w:r>
        <w:t xml:space="preserve">Keynes: </w:t>
      </w:r>
      <w:r>
        <w:rPr>
          <w:b/>
        </w:rPr>
        <w:t>8.2</w:t>
      </w:r>
      <w:r>
        <w:t>.</w:t>
      </w:r>
    </w:p>
    <w:p>
      <w:pPr>
        <w:pStyle w:val="ListBullet"/>
      </w:pPr>
      <w:r>
        <w:t xml:space="preserve">Kimball, la obshchina rusa: </w:t>
      </w:r>
      <w:r>
        <w:rPr>
          <w:b/>
        </w:rPr>
        <w:t>F.7</w:t>
      </w:r>
      <w:r>
        <w:t>.</w:t>
      </w:r>
    </w:p>
    <w:p>
      <w:pPr>
        <w:pStyle w:val="ListBullet"/>
      </w:pPr>
      <w:r>
        <w:t xml:space="preserve">La Boétie: </w:t>
      </w:r>
      <w:r>
        <w:rPr>
          <w:b/>
        </w:rPr>
        <w:t>4.1</w:t>
      </w:r>
      <w:r>
        <w:t xml:space="preserve">, </w:t>
      </w:r>
      <w:r>
        <w:rPr>
          <w:b/>
        </w:rPr>
        <w:t>5.4</w:t>
      </w:r>
      <w:r>
        <w:t>.</w:t>
      </w:r>
    </w:p>
    <w:p>
      <w:pPr>
        <w:pStyle w:val="ListBullet"/>
      </w:pPr>
      <w:r>
        <w:t xml:space="preserve">Lafuente Balle: </w:t>
      </w:r>
      <w:r>
        <w:rPr>
          <w:b/>
        </w:rPr>
        <w:t>A.9</w:t>
      </w:r>
      <w:r>
        <w:t>.</w:t>
      </w:r>
    </w:p>
    <w:p>
      <w:pPr>
        <w:pStyle w:val="ListBullet"/>
      </w:pPr>
      <w:r>
        <w:t xml:space="preserve">Locke: </w:t>
      </w:r>
      <w:r>
        <w:rPr>
          <w:b/>
        </w:rPr>
        <w:t>6.1</w:t>
      </w:r>
      <w:r>
        <w:t xml:space="preserve">, </w:t>
      </w:r>
      <w:r>
        <w:rPr>
          <w:b/>
        </w:rPr>
        <w:t>6.3</w:t>
      </w:r>
      <w:r>
        <w:t xml:space="preserve">, </w:t>
      </w:r>
      <w:r>
        <w:rPr>
          <w:b/>
        </w:rPr>
        <w:t>6.5</w:t>
      </w:r>
      <w:r>
        <w:t xml:space="preserve">, </w:t>
      </w:r>
      <w:r>
        <w:rPr>
          <w:b/>
        </w:rPr>
        <w:t>8.2</w:t>
      </w:r>
      <w:r>
        <w:t>.</w:t>
      </w:r>
    </w:p>
    <w:p>
      <w:pPr>
        <w:pStyle w:val="ListBullet"/>
      </w:pPr>
      <w:r>
        <w:t xml:space="preserve">López Austin: </w:t>
      </w:r>
      <w:r>
        <w:t>capítulo 9</w:t>
      </w:r>
      <w:r>
        <w:t>.</w:t>
      </w:r>
    </w:p>
    <w:p>
      <w:pPr>
        <w:pStyle w:val="ListBullet"/>
      </w:pPr>
      <w:r>
        <w:t xml:space="preserve">Lord Acton: </w:t>
      </w:r>
      <w:r>
        <w:rPr>
          <w:b/>
        </w:rPr>
        <w:t>8.9</w:t>
      </w:r>
      <w:r>
        <w:t>.</w:t>
      </w:r>
    </w:p>
    <w:p>
      <w:pPr>
        <w:pStyle w:val="ListBullet"/>
      </w:pPr>
      <w:r>
        <w:t xml:space="preserve">Lucrecio: </w:t>
      </w:r>
      <w:r>
        <w:rPr>
          <w:b/>
        </w:rPr>
        <w:t>H.10</w:t>
      </w:r>
      <w:r>
        <w:t>.</w:t>
      </w:r>
    </w:p>
    <w:p>
      <w:pPr>
        <w:pStyle w:val="ListBullet"/>
      </w:pPr>
      <w:r>
        <w:t xml:space="preserve">Luther Standing Bear: </w:t>
      </w:r>
      <w:r>
        <w:rPr>
          <w:b/>
        </w:rPr>
        <w:t>F.7</w:t>
      </w:r>
      <w:r>
        <w:t>.</w:t>
      </w:r>
    </w:p>
    <w:p>
      <w:pPr>
        <w:pStyle w:val="ListBullet"/>
      </w:pPr>
      <w:r>
        <w:t xml:space="preserve">Malebranche: </w:t>
      </w:r>
      <w:r>
        <w:rPr>
          <w:b/>
        </w:rPr>
        <w:t>6.1</w:t>
      </w:r>
      <w:r>
        <w:t>.</w:t>
      </w:r>
    </w:p>
    <w:p>
      <w:pPr>
        <w:pStyle w:val="ListBullet"/>
      </w:pPr>
      <w:r>
        <w:t xml:space="preserve">Malo, Antigüedades hawaianas: </w:t>
      </w:r>
      <w:r>
        <w:rPr>
          <w:b/>
        </w:rPr>
        <w:t>2.3</w:t>
      </w:r>
      <w:r>
        <w:t xml:space="preserve">, </w:t>
      </w:r>
      <w:r>
        <w:rPr>
          <w:b/>
        </w:rPr>
        <w:t>3.2</w:t>
      </w:r>
      <w:r>
        <w:t xml:space="preserve">, </w:t>
      </w:r>
      <w:r>
        <w:rPr>
          <w:b/>
        </w:rPr>
        <w:t>F.6</w:t>
      </w:r>
      <w:r>
        <w:t>.</w:t>
      </w:r>
    </w:p>
    <w:p>
      <w:pPr>
        <w:pStyle w:val="ListBullet"/>
      </w:pPr>
      <w:r>
        <w:t xml:space="preserve">Marco Aurelio: </w:t>
      </w:r>
      <w:r>
        <w:rPr>
          <w:b/>
        </w:rPr>
        <w:t>6.2</w:t>
      </w:r>
      <w:r>
        <w:t>.</w:t>
      </w:r>
    </w:p>
    <w:p>
      <w:pPr>
        <w:pStyle w:val="ListBullet"/>
      </w:pPr>
      <w:r>
        <w:t xml:space="preserve">Marín Arce: </w:t>
      </w:r>
      <w:r>
        <w:rPr>
          <w:b/>
        </w:rPr>
        <w:t>8.7</w:t>
      </w:r>
      <w:r>
        <w:t>.</w:t>
      </w:r>
    </w:p>
    <w:p>
      <w:pPr>
        <w:pStyle w:val="ListBullet"/>
      </w:pPr>
      <w:r>
        <w:t xml:space="preserve">Martín de Azpilcueta: </w:t>
      </w:r>
      <w:r>
        <w:rPr>
          <w:b/>
        </w:rPr>
        <w:t>8.2</w:t>
      </w:r>
      <w:r>
        <w:t>.</w:t>
      </w:r>
    </w:p>
    <w:p>
      <w:pPr>
        <w:pStyle w:val="ListBullet"/>
      </w:pPr>
      <w:r>
        <w:t xml:space="preserve">Martín-Retortillo Baquer: </w:t>
      </w:r>
      <w:r>
        <w:rPr>
          <w:b/>
        </w:rPr>
        <w:t>A.9</w:t>
      </w:r>
      <w:r>
        <w:t>.</w:t>
      </w:r>
    </w:p>
    <w:p>
      <w:pPr>
        <w:pStyle w:val="ListBullet"/>
      </w:pPr>
      <w:r>
        <w:t xml:space="preserve">Mastroianni y Gilbert: </w:t>
      </w:r>
      <w:r>
        <w:rPr>
          <w:b/>
        </w:rPr>
        <w:t>8.9</w:t>
      </w:r>
      <w:r>
        <w:t>.</w:t>
      </w:r>
    </w:p>
    <w:p>
      <w:pPr>
        <w:pStyle w:val="ListBullet"/>
      </w:pPr>
      <w:r>
        <w:t xml:space="preserve">Max Weber: </w:t>
      </w:r>
      <w:r>
        <w:rPr>
          <w:b/>
        </w:rPr>
        <w:t>6.3</w:t>
      </w:r>
      <w:r>
        <w:t xml:space="preserve">, </w:t>
      </w:r>
      <w:r>
        <w:rPr>
          <w:b/>
        </w:rPr>
        <w:t>6.4</w:t>
      </w:r>
      <w:r>
        <w:t>.</w:t>
      </w:r>
    </w:p>
    <w:p>
      <w:pPr>
        <w:pStyle w:val="ListBullet"/>
      </w:pPr>
      <w:r>
        <w:t xml:space="preserve">Meister Eckhart: </w:t>
      </w:r>
      <w:r>
        <w:rPr>
          <w:b/>
        </w:rPr>
        <w:t>I.1</w:t>
      </w:r>
      <w:r>
        <w:t>.</w:t>
      </w:r>
    </w:p>
    <w:p>
      <w:pPr>
        <w:pStyle w:val="ListBullet"/>
      </w:pPr>
      <w:r>
        <w:t xml:space="preserve">Mikel Buesa, «ETA: medio siglo de terrorismo. Un recuento estadístico» (2022): </w:t>
      </w:r>
      <w:r>
        <w:rPr>
          <w:b/>
        </w:rPr>
        <w:t>6.1</w:t>
      </w:r>
      <w:r>
        <w:t>.</w:t>
      </w:r>
    </w:p>
    <w:p>
      <w:pPr>
        <w:pStyle w:val="ListBullet"/>
      </w:pPr>
      <w:r>
        <w:t xml:space="preserve">Montaigne: </w:t>
      </w:r>
      <w:r>
        <w:rPr>
          <w:b/>
        </w:rPr>
        <w:t>5.3</w:t>
      </w:r>
      <w:r>
        <w:t>.</w:t>
      </w:r>
    </w:p>
    <w:p>
      <w:pPr>
        <w:pStyle w:val="ListBullet"/>
      </w:pPr>
      <w:r>
        <w:t xml:space="preserve">Montesquieu: </w:t>
      </w:r>
      <w:r>
        <w:rPr>
          <w:b/>
        </w:rPr>
        <w:t>6.1</w:t>
      </w:r>
      <w:r>
        <w:t xml:space="preserve">, </w:t>
      </w:r>
      <w:r>
        <w:rPr>
          <w:b/>
        </w:rPr>
        <w:t>6.5</w:t>
      </w:r>
      <w:r>
        <w:t>.</w:t>
      </w:r>
    </w:p>
    <w:p>
      <w:pPr>
        <w:pStyle w:val="ListBullet"/>
      </w:pPr>
      <w:r>
        <w:t xml:space="preserve">Murphy, «Measuring open access orders»: </w:t>
      </w:r>
      <w:r>
        <w:rPr>
          <w:b/>
        </w:rPr>
        <w:t>6.4</w:t>
      </w:r>
      <w:r>
        <w:t>.</w:t>
      </w:r>
    </w:p>
    <w:p>
      <w:pPr>
        <w:pStyle w:val="ListBullet"/>
      </w:pPr>
      <w:r>
        <w:t xml:space="preserve">Murra, Reciprocity and Redistribution in Andean Civilizations: </w:t>
      </w:r>
      <w:r>
        <w:rPr>
          <w:b/>
        </w:rPr>
        <w:t>F.7</w:t>
      </w:r>
      <w:r>
        <w:t>.</w:t>
      </w:r>
    </w:p>
    <w:p>
      <w:pPr>
        <w:pStyle w:val="ListBullet"/>
      </w:pPr>
      <w:r>
        <w:t xml:space="preserve">Musonio Rufo: </w:t>
      </w:r>
      <w:r>
        <w:rPr>
          <w:b/>
        </w:rPr>
        <w:t>F.4</w:t>
      </w:r>
      <w:r>
        <w:t>.</w:t>
      </w:r>
    </w:p>
    <w:p>
      <w:pPr>
        <w:pStyle w:val="ListBullet"/>
      </w:pPr>
      <w:r>
        <w:t xml:space="preserve">Nicolás Oresme: </w:t>
      </w:r>
      <w:r>
        <w:rPr>
          <w:b/>
        </w:rPr>
        <w:t>8.2</w:t>
      </w:r>
      <w:r>
        <w:t>.</w:t>
      </w:r>
    </w:p>
    <w:p>
      <w:pPr>
        <w:pStyle w:val="ListBullet"/>
      </w:pPr>
      <w:r>
        <w:t xml:space="preserve">Norris (y Harney), songlines: </w:t>
      </w:r>
      <w:r>
        <w:rPr>
          <w:b/>
        </w:rPr>
        <w:t>F.7</w:t>
      </w:r>
      <w:r>
        <w:t>.</w:t>
      </w:r>
    </w:p>
    <w:p>
      <w:pPr>
        <w:pStyle w:val="ListBullet"/>
      </w:pPr>
      <w:r>
        <w:t xml:space="preserve">North, Wallis y Weingast: </w:t>
      </w:r>
      <w:r>
        <w:rPr>
          <w:b/>
        </w:rPr>
        <w:t>6.4</w:t>
      </w:r>
      <w:r>
        <w:t>.</w:t>
      </w:r>
    </w:p>
    <w:p>
      <w:pPr>
        <w:pStyle w:val="ListBullet"/>
      </w:pPr>
      <w:r>
        <w:t xml:space="preserve">Oliver Araújo: </w:t>
      </w:r>
      <w:r>
        <w:rPr>
          <w:b/>
        </w:rPr>
        <w:t>11.3</w:t>
      </w:r>
      <w:r>
        <w:t>.</w:t>
      </w:r>
    </w:p>
    <w:p>
      <w:pPr>
        <w:pStyle w:val="ListBullet"/>
      </w:pPr>
      <w:r>
        <w:t xml:space="preserve">Oosten y otros, Inuit Laws: </w:t>
      </w:r>
      <w:r>
        <w:rPr>
          <w:b/>
        </w:rPr>
        <w:t>F.7</w:t>
      </w:r>
      <w:r>
        <w:t>.</w:t>
      </w:r>
    </w:p>
    <w:p>
      <w:pPr>
        <w:pStyle w:val="ListBullet"/>
      </w:pPr>
      <w:r>
        <w:t xml:space="preserve">Pascal: </w:t>
      </w:r>
      <w:r>
        <w:rPr>
          <w:b/>
        </w:rPr>
        <w:t>5.3</w:t>
      </w:r>
      <w:r>
        <w:t>.</w:t>
      </w:r>
    </w:p>
    <w:p>
      <w:pPr>
        <w:pStyle w:val="ListBullet"/>
      </w:pPr>
      <w:r>
        <w:t xml:space="preserve">Pita Broncano: </w:t>
      </w:r>
      <w:r>
        <w:rPr>
          <w:b/>
        </w:rPr>
        <w:t>6.1</w:t>
      </w:r>
      <w:r>
        <w:t>.</w:t>
      </w:r>
    </w:p>
    <w:p>
      <w:pPr>
        <w:pStyle w:val="ListBullet"/>
      </w:pPr>
      <w:r>
        <w:t xml:space="preserve">Platón: </w:t>
      </w:r>
      <w:r>
        <w:rPr>
          <w:b/>
        </w:rPr>
        <w:t>1.4</w:t>
      </w:r>
      <w:r>
        <w:t xml:space="preserve">, </w:t>
      </w:r>
      <w:r>
        <w:rPr>
          <w:b/>
        </w:rPr>
        <w:t>1.9</w:t>
      </w:r>
      <w:r>
        <w:t xml:space="preserve">, </w:t>
      </w:r>
      <w:r>
        <w:rPr>
          <w:b/>
        </w:rPr>
        <w:t>2.3</w:t>
      </w:r>
      <w:r>
        <w:t xml:space="preserve">, </w:t>
      </w:r>
      <w:r>
        <w:rPr>
          <w:b/>
        </w:rPr>
        <w:t>2.5</w:t>
      </w:r>
      <w:r>
        <w:t xml:space="preserve">, </w:t>
      </w:r>
      <w:r>
        <w:rPr>
          <w:b/>
        </w:rPr>
        <w:t>3.2</w:t>
      </w:r>
      <w:r>
        <w:t xml:space="preserve">, </w:t>
      </w:r>
      <w:r>
        <w:rPr>
          <w:b/>
        </w:rPr>
        <w:t>10.3</w:t>
      </w:r>
      <w:r>
        <w:t xml:space="preserve">, </w:t>
      </w:r>
      <w:r>
        <w:rPr>
          <w:b/>
        </w:rPr>
        <w:t>11.6</w:t>
      </w:r>
      <w:r>
        <w:t xml:space="preserve">, </w:t>
      </w:r>
      <w:r>
        <w:rPr>
          <w:b/>
        </w:rPr>
        <w:t>F.4</w:t>
      </w:r>
      <w:r>
        <w:t xml:space="preserve">, </w:t>
      </w:r>
      <w:r>
        <w:rPr>
          <w:b/>
        </w:rPr>
        <w:t>J.3</w:t>
      </w:r>
      <w:r>
        <w:t>.</w:t>
      </w:r>
    </w:p>
    <w:p>
      <w:pPr>
        <w:pStyle w:val="ListBullet"/>
      </w:pPr>
      <w:r>
        <w:t xml:space="preserve">Rattray, Ashanti Law and Constitution: </w:t>
      </w:r>
      <w:r>
        <w:rPr>
          <w:b/>
        </w:rPr>
        <w:t>3.2</w:t>
      </w:r>
      <w:r>
        <w:t xml:space="preserve">, </w:t>
      </w:r>
      <w:r>
        <w:rPr>
          <w:b/>
        </w:rPr>
        <w:t>3.3</w:t>
      </w:r>
      <w:r>
        <w:t xml:space="preserve">, </w:t>
      </w:r>
      <w:r>
        <w:rPr>
          <w:b/>
        </w:rPr>
        <w:t>7.5</w:t>
      </w:r>
      <w:r>
        <w:t xml:space="preserve">, </w:t>
      </w:r>
      <w:r>
        <w:rPr>
          <w:b/>
        </w:rPr>
        <w:t>F.6</w:t>
      </w:r>
      <w:r>
        <w:t>.</w:t>
      </w:r>
    </w:p>
    <w:p>
      <w:pPr>
        <w:pStyle w:val="ListBullet"/>
      </w:pPr>
      <w:r>
        <w:t xml:space="preserve">Revista de Derecho Político (UNED): </w:t>
      </w:r>
      <w:r>
        <w:rPr>
          <w:b/>
        </w:rPr>
        <w:t>A.3</w:t>
      </w:r>
      <w:r>
        <w:t xml:space="preserve">, </w:t>
      </w:r>
      <w:r>
        <w:rPr>
          <w:b/>
        </w:rPr>
        <w:t>A.6</w:t>
      </w:r>
      <w:r>
        <w:t xml:space="preserve">, </w:t>
      </w:r>
      <w:r>
        <w:rPr>
          <w:b/>
        </w:rPr>
        <w:t>A.11</w:t>
      </w:r>
      <w:r>
        <w:t>.</w:t>
      </w:r>
    </w:p>
    <w:p>
      <w:pPr>
        <w:pStyle w:val="ListBullet"/>
      </w:pPr>
      <w:r>
        <w:t xml:space="preserve">Robert D. Putnam: </w:t>
      </w:r>
      <w:r>
        <w:rPr>
          <w:b/>
        </w:rPr>
        <w:t>5.3</w:t>
      </w:r>
      <w:r>
        <w:t>.</w:t>
      </w:r>
    </w:p>
    <w:p>
      <w:pPr>
        <w:pStyle w:val="ListBullet"/>
      </w:pPr>
      <w:r>
        <w:t xml:space="preserve">Robert Michels: </w:t>
      </w:r>
      <w:r>
        <w:rPr>
          <w:b/>
        </w:rPr>
        <w:t>6.4</w:t>
      </w:r>
      <w:r>
        <w:t>.</w:t>
      </w:r>
    </w:p>
    <w:p>
      <w:pPr>
        <w:pStyle w:val="ListBullet"/>
      </w:pPr>
      <w:r>
        <w:t xml:space="preserve">Robespierre: </w:t>
      </w:r>
      <w:r>
        <w:rPr>
          <w:b/>
        </w:rPr>
        <w:t>6.1</w:t>
      </w:r>
      <w:r>
        <w:t>.</w:t>
      </w:r>
    </w:p>
    <w:p>
      <w:pPr>
        <w:pStyle w:val="ListBullet"/>
      </w:pPr>
      <w:r>
        <w:t xml:space="preserve">Rousseau: </w:t>
      </w:r>
      <w:r>
        <w:rPr>
          <w:b/>
        </w:rPr>
        <w:t>5.4</w:t>
      </w:r>
      <w:r>
        <w:t xml:space="preserve">, </w:t>
      </w:r>
      <w:r>
        <w:rPr>
          <w:b/>
        </w:rPr>
        <w:t>6.1</w:t>
      </w:r>
      <w:r>
        <w:t xml:space="preserve">, </w:t>
      </w:r>
      <w:r>
        <w:rPr>
          <w:b/>
        </w:rPr>
        <w:t>8.5</w:t>
      </w:r>
      <w:r>
        <w:t>.</w:t>
      </w:r>
    </w:p>
    <w:p>
      <w:pPr>
        <w:pStyle w:val="ListBullet"/>
      </w:pPr>
      <w:r>
        <w:t xml:space="preserve">Sahagún, Historia general de las cosas de Nueva España: </w:t>
      </w:r>
      <w:r>
        <w:rPr>
          <w:b/>
        </w:rPr>
        <w:t>2.3</w:t>
      </w:r>
      <w:r>
        <w:t xml:space="preserve">, </w:t>
      </w:r>
      <w:r>
        <w:rPr>
          <w:b/>
        </w:rPr>
        <w:t>F.6</w:t>
      </w:r>
      <w:r>
        <w:t>.</w:t>
      </w:r>
    </w:p>
    <w:p>
      <w:pPr>
        <w:pStyle w:val="ListBullet"/>
      </w:pPr>
      <w:r>
        <w:t xml:space="preserve">Saint-Just: </w:t>
      </w:r>
      <w:r>
        <w:rPr>
          <w:b/>
        </w:rPr>
        <w:t>6.1</w:t>
      </w:r>
      <w:r>
        <w:t>.</w:t>
      </w:r>
    </w:p>
    <w:p>
      <w:pPr>
        <w:pStyle w:val="ListBullet"/>
      </w:pPr>
      <w:r>
        <w:t xml:space="preserve">San Juan de la Cruz: </w:t>
      </w:r>
      <w:r>
        <w:rPr>
          <w:b/>
        </w:rPr>
        <w:t>I.1</w:t>
      </w:r>
      <w:r>
        <w:t>.</w:t>
      </w:r>
    </w:p>
    <w:p>
      <w:pPr>
        <w:pStyle w:val="ListBullet"/>
      </w:pPr>
      <w:r>
        <w:t xml:space="preserve">Scheppele: </w:t>
      </w:r>
      <w:r>
        <w:rPr>
          <w:b/>
        </w:rPr>
        <w:t>7.2</w:t>
      </w:r>
      <w:r>
        <w:t>.</w:t>
      </w:r>
    </w:p>
    <w:p>
      <w:pPr>
        <w:pStyle w:val="ListBullet"/>
      </w:pPr>
      <w:r>
        <w:t xml:space="preserve">Séneca: </w:t>
      </w:r>
      <w:r>
        <w:rPr>
          <w:b/>
        </w:rPr>
        <w:t>3.2</w:t>
      </w:r>
      <w:r>
        <w:t xml:space="preserve">, </w:t>
      </w:r>
      <w:r>
        <w:rPr>
          <w:b/>
        </w:rPr>
        <w:t>7.5</w:t>
      </w:r>
      <w:r>
        <w:t xml:space="preserve">, </w:t>
      </w:r>
      <w:r>
        <w:rPr>
          <w:b/>
        </w:rPr>
        <w:t>F.4</w:t>
      </w:r>
      <w:r>
        <w:t xml:space="preserve">, </w:t>
      </w:r>
      <w:r>
        <w:rPr>
          <w:b/>
        </w:rPr>
        <w:t>H.10</w:t>
      </w:r>
      <w:r>
        <w:t>.</w:t>
      </w:r>
    </w:p>
    <w:p>
      <w:pPr>
        <w:pStyle w:val="ListBullet"/>
      </w:pPr>
      <w:r>
        <w:t xml:space="preserve">Sherif y otros, The Robbers Cave Experiment: </w:t>
      </w:r>
      <w:r>
        <w:rPr>
          <w:b/>
        </w:rPr>
        <w:t>4.1</w:t>
      </w:r>
      <w:r>
        <w:t>.</w:t>
      </w:r>
    </w:p>
    <w:p>
      <w:pPr>
        <w:pStyle w:val="ListBullet"/>
      </w:pPr>
      <w:r>
        <w:t xml:space="preserve">Smith, Smith y Stocks: </w:t>
      </w:r>
      <w:r>
        <w:rPr>
          <w:b/>
        </w:rPr>
        <w:t>8.9</w:t>
      </w:r>
      <w:r>
        <w:t>.</w:t>
      </w:r>
    </w:p>
    <w:p>
      <w:pPr>
        <w:pStyle w:val="ListBullet"/>
      </w:pPr>
      <w:r>
        <w:t xml:space="preserve">Sófocles: </w:t>
      </w:r>
      <w:r>
        <w:rPr>
          <w:b/>
        </w:rPr>
        <w:t>1.4</w:t>
      </w:r>
      <w:r>
        <w:t xml:space="preserve">, </w:t>
      </w:r>
      <w:r>
        <w:rPr>
          <w:b/>
        </w:rPr>
        <w:t>6.2</w:t>
      </w:r>
      <w:r>
        <w:t>.</w:t>
      </w:r>
    </w:p>
    <w:p>
      <w:pPr>
        <w:pStyle w:val="ListBullet"/>
      </w:pPr>
      <w:r>
        <w:t xml:space="preserve">Stigler: </w:t>
      </w:r>
      <w:r>
        <w:rPr>
          <w:b/>
        </w:rPr>
        <w:t>11.2</w:t>
      </w:r>
      <w:r>
        <w:t>.</w:t>
      </w:r>
    </w:p>
    <w:p>
      <w:pPr>
        <w:pStyle w:val="ListBullet"/>
      </w:pPr>
      <w:r>
        <w:t xml:space="preserve">Straehle: </w:t>
      </w:r>
      <w:r>
        <w:rPr>
          <w:b/>
        </w:rPr>
        <w:t>6.1</w:t>
      </w:r>
      <w:r>
        <w:t>.</w:t>
      </w:r>
    </w:p>
    <w:p>
      <w:pPr>
        <w:pStyle w:val="ListBullet"/>
      </w:pPr>
      <w:r>
        <w:t xml:space="preserve">Suetonio, Vidas de los Césares: </w:t>
      </w:r>
      <w:r>
        <w:rPr>
          <w:b/>
        </w:rPr>
        <w:t>3.5</w:t>
      </w:r>
      <w:r>
        <w:t xml:space="preserve">, </w:t>
      </w:r>
      <w:r>
        <w:rPr>
          <w:b/>
        </w:rPr>
        <w:t>6.2</w:t>
      </w:r>
      <w:r>
        <w:t>.</w:t>
      </w:r>
    </w:p>
    <w:p>
      <w:pPr>
        <w:pStyle w:val="ListBullet"/>
      </w:pPr>
      <w:r>
        <w:t xml:space="preserve">Tácito, Anales: </w:t>
      </w:r>
      <w:r>
        <w:rPr>
          <w:b/>
        </w:rPr>
        <w:t>3.2</w:t>
      </w:r>
      <w:r>
        <w:t xml:space="preserve">, </w:t>
      </w:r>
      <w:r>
        <w:rPr>
          <w:b/>
        </w:rPr>
        <w:t>3.4</w:t>
      </w:r>
      <w:r>
        <w:t xml:space="preserve">, </w:t>
      </w:r>
      <w:r>
        <w:rPr>
          <w:b/>
        </w:rPr>
        <w:t>F.4</w:t>
      </w:r>
      <w:r>
        <w:t>.</w:t>
      </w:r>
    </w:p>
    <w:p>
      <w:pPr>
        <w:pStyle w:val="ListBullet"/>
      </w:pPr>
      <w:r>
        <w:t xml:space="preserve">Tomás de Aquino, Suma teológica: </w:t>
      </w:r>
      <w:r>
        <w:rPr>
          <w:b/>
        </w:rPr>
        <w:t>0.4</w:t>
      </w:r>
      <w:r>
        <w:t xml:space="preserve">, </w:t>
      </w:r>
      <w:r>
        <w:rPr>
          <w:b/>
        </w:rPr>
        <w:t>1.1</w:t>
      </w:r>
      <w:r>
        <w:t xml:space="preserve">, </w:t>
      </w:r>
      <w:r>
        <w:rPr>
          <w:b/>
        </w:rPr>
        <w:t>1.2</w:t>
      </w:r>
      <w:r>
        <w:t xml:space="preserve">, </w:t>
      </w:r>
      <w:r>
        <w:rPr>
          <w:b/>
        </w:rPr>
        <w:t>1.4</w:t>
      </w:r>
      <w:r>
        <w:t xml:space="preserve">, </w:t>
      </w:r>
      <w:r>
        <w:rPr>
          <w:b/>
        </w:rPr>
        <w:t>1.5</w:t>
      </w:r>
      <w:r>
        <w:t xml:space="preserve">, </w:t>
      </w:r>
      <w:r>
        <w:rPr>
          <w:b/>
        </w:rPr>
        <w:t>1.6</w:t>
      </w:r>
      <w:r>
        <w:t xml:space="preserve">, </w:t>
      </w:r>
      <w:r>
        <w:rPr>
          <w:b/>
        </w:rPr>
        <w:t>2.1</w:t>
      </w:r>
      <w:r>
        <w:t xml:space="preserve">, </w:t>
      </w:r>
      <w:r>
        <w:rPr>
          <w:b/>
        </w:rPr>
        <w:t>11.2</w:t>
      </w:r>
      <w:r>
        <w:t>.</w:t>
      </w:r>
    </w:p>
    <w:p>
      <w:pPr>
        <w:pStyle w:val="ListBullet"/>
      </w:pPr>
      <w:r>
        <w:t xml:space="preserve">Tomás de Mercado: </w:t>
      </w:r>
      <w:r>
        <w:rPr>
          <w:b/>
        </w:rPr>
        <w:t>3.3</w:t>
      </w:r>
      <w:r>
        <w:t>.</w:t>
      </w:r>
    </w:p>
    <w:p>
      <w:pPr>
        <w:pStyle w:val="ListBullet"/>
      </w:pPr>
      <w:r>
        <w:t xml:space="preserve">Torquemada, Monarquía indiana: </w:t>
      </w:r>
      <w:r>
        <w:t>capítulo 9</w:t>
      </w:r>
      <w:r>
        <w:t>.</w:t>
      </w:r>
    </w:p>
    <w:p>
      <w:pPr>
        <w:pStyle w:val="ListBullet"/>
      </w:pPr>
      <w:r>
        <w:t xml:space="preserve">Victorino de Pettau, Comentario al Apocalipsis: </w:t>
      </w:r>
      <w:r>
        <w:rPr>
          <w:b/>
        </w:rPr>
        <w:t>8.11</w:t>
      </w:r>
      <w:r>
        <w:t>.</w:t>
      </w:r>
    </w:p>
    <w:p>
      <w:pPr>
        <w:pStyle w:val="ListBullet"/>
      </w:pPr>
      <w:r>
        <w:t xml:space="preserve">Vilfredo Pareto: </w:t>
      </w:r>
      <w:r>
        <w:rPr>
          <w:b/>
        </w:rPr>
        <w:t>6.4</w:t>
      </w:r>
      <w:r>
        <w:t>.</w:t>
      </w:r>
    </w:p>
    <w:p>
      <w:pPr>
        <w:pStyle w:val="ListBullet"/>
      </w:pPr>
      <w:r>
        <w:t xml:space="preserve">Vírgala: </w:t>
      </w:r>
      <w:r>
        <w:rPr>
          <w:b/>
        </w:rPr>
        <w:t>A.2</w:t>
      </w:r>
      <w:r>
        <w:t>.</w:t>
      </w:r>
    </w:p>
    <w:p>
      <w:pPr>
        <w:pStyle w:val="ListBullet"/>
      </w:pPr>
      <w:r>
        <w:t xml:space="preserve">Weidmann: </w:t>
      </w:r>
      <w:r>
        <w:rPr>
          <w:b/>
        </w:rPr>
        <w:t>8.2</w:t>
      </w:r>
      <w:r>
        <w:t>.</w:t>
      </w:r>
    </w:p>
    <w:p>
      <w:pPr>
        <w:pStyle w:val="ListBullet"/>
      </w:pPr>
      <w:r>
        <w:t xml:space="preserve">Werner: </w:t>
      </w:r>
      <w:r>
        <w:rPr>
          <w:b/>
        </w:rPr>
        <w:t>8.1</w:t>
      </w:r>
      <w:r>
        <w:t>.</w:t>
      </w:r>
    </w:p>
    <w:p>
      <w:pPr>
        <w:pStyle w:val="ListBullet"/>
      </w:pPr>
      <w:r>
        <w:t xml:space="preserve">White y Schuler: </w:t>
      </w:r>
      <w:r>
        <w:rPr>
          <w:b/>
        </w:rPr>
        <w:t>8.2</w:t>
      </w:r>
      <w:r>
        <w:t>.</w:t>
      </w:r>
    </w:p>
    <w:p>
      <w:r>
        <w:rPr>
          <w:b/>
        </w:rPr>
        <w:t>Los diccionarios y las obras de consulta</w:t>
      </w:r>
      <w:r>
        <w:t xml:space="preserve"> (15 fuentes)</w:t>
      </w:r>
    </w:p>
    <w:p>
      <w:pPr>
        <w:pStyle w:val="ListBullet"/>
      </w:pPr>
      <w:r>
        <w:t xml:space="preserve">Black's Law Dictionary: </w:t>
      </w:r>
      <w:r>
        <w:rPr>
          <w:b/>
        </w:rPr>
        <w:t>H.10</w:t>
      </w:r>
      <w:r>
        <w:t>.</w:t>
      </w:r>
    </w:p>
    <w:p>
      <w:pPr>
        <w:pStyle w:val="ListBullet"/>
      </w:pPr>
      <w:r>
        <w:t xml:space="preserve">Cotterell, A collection of Latin maxims and phrases (1913): </w:t>
      </w:r>
      <w:r>
        <w:rPr>
          <w:b/>
        </w:rPr>
        <w:t>H.10</w:t>
      </w:r>
      <w:r>
        <w:t>.</w:t>
      </w:r>
    </w:p>
    <w:p>
      <w:pPr>
        <w:pStyle w:val="ListBullet"/>
      </w:pPr>
      <w:r>
        <w:t xml:space="preserve">dalailama.com: </w:t>
      </w:r>
      <w:r>
        <w:rPr>
          <w:b/>
        </w:rPr>
        <w:t>6.2</w:t>
      </w:r>
      <w:r>
        <w:t>.</w:t>
      </w:r>
    </w:p>
    <w:p>
      <w:pPr>
        <w:pStyle w:val="ListBullet"/>
      </w:pPr>
      <w:r>
        <w:t xml:space="preserve">Electronic Dictionary of the Irish Language: </w:t>
      </w:r>
      <w:r>
        <w:rPr>
          <w:b/>
        </w:rPr>
        <w:t>F.7</w:t>
      </w:r>
      <w:r>
        <w:t>.</w:t>
      </w:r>
    </w:p>
    <w:p>
      <w:pPr>
        <w:pStyle w:val="ListBullet"/>
      </w:pPr>
      <w:r>
        <w:t xml:space="preserve">Encyclopaedia Britannica: </w:t>
      </w:r>
      <w:r>
        <w:rPr>
          <w:b/>
        </w:rPr>
        <w:t>3.2</w:t>
      </w:r>
      <w:r>
        <w:t xml:space="preserve">, </w:t>
      </w:r>
      <w:r>
        <w:rPr>
          <w:b/>
        </w:rPr>
        <w:t>7.5</w:t>
      </w:r>
      <w:r>
        <w:t xml:space="preserve">, </w:t>
      </w:r>
      <w:r>
        <w:rPr>
          <w:b/>
        </w:rPr>
        <w:t>9.2</w:t>
      </w:r>
      <w:r>
        <w:t xml:space="preserve">, </w:t>
      </w:r>
      <w:r>
        <w:rPr>
          <w:b/>
        </w:rPr>
        <w:t>H.10</w:t>
      </w:r>
      <w:r>
        <w:t>.</w:t>
      </w:r>
    </w:p>
    <w:p>
      <w:pPr>
        <w:pStyle w:val="ListBullet"/>
      </w:pPr>
      <w:r>
        <w:t xml:space="preserve">Ethiopian Heritage Fund: </w:t>
      </w:r>
      <w:r>
        <w:rPr>
          <w:b/>
        </w:rPr>
        <w:t>0.1</w:t>
      </w:r>
      <w:r>
        <w:t>.</w:t>
      </w:r>
    </w:p>
    <w:p>
      <w:pPr>
        <w:pStyle w:val="ListBullet"/>
      </w:pPr>
      <w:r>
        <w:t xml:space="preserve">Halkerston, A collection of Latin maxims &amp; rules (1823): </w:t>
      </w:r>
      <w:r>
        <w:rPr>
          <w:b/>
        </w:rPr>
        <w:t>H.10</w:t>
      </w:r>
      <w:r>
        <w:t>.</w:t>
      </w:r>
    </w:p>
    <w:p>
      <w:pPr>
        <w:pStyle w:val="ListBullet"/>
      </w:pPr>
      <w:r>
        <w:t xml:space="preserve">Lewis y Short, A Latin Dictionary: </w:t>
      </w:r>
      <w:r>
        <w:rPr>
          <w:b/>
        </w:rPr>
        <w:t>5.3</w:t>
      </w:r>
      <w:r>
        <w:t xml:space="preserve">, </w:t>
      </w:r>
      <w:r>
        <w:rPr>
          <w:b/>
        </w:rPr>
        <w:t>6.2</w:t>
      </w:r>
      <w:r>
        <w:t>.</w:t>
      </w:r>
    </w:p>
    <w:p>
      <w:pPr>
        <w:pStyle w:val="ListBullet"/>
      </w:pPr>
      <w:r>
        <w:t xml:space="preserve">Liddell y Scott, Greek-English Lexicon: </w:t>
      </w:r>
      <w:r>
        <w:rPr>
          <w:b/>
        </w:rPr>
        <w:t>3.2</w:t>
      </w:r>
      <w:r>
        <w:t>.</w:t>
      </w:r>
    </w:p>
    <w:p>
      <w:pPr>
        <w:pStyle w:val="ListBullet"/>
      </w:pPr>
      <w:r>
        <w:t xml:space="preserve">Monier-Williams, A Sanskrit-English Dictionary: </w:t>
      </w:r>
      <w:r>
        <w:t>anexo F</w:t>
      </w:r>
      <w:r>
        <w:t xml:space="preserve">, </w:t>
      </w:r>
      <w:r>
        <w:rPr>
          <w:b/>
        </w:rPr>
        <w:t>F.8</w:t>
      </w:r>
      <w:r>
        <w:t>.</w:t>
      </w:r>
    </w:p>
    <w:p>
      <w:pPr>
        <w:pStyle w:val="ListBullet"/>
      </w:pPr>
      <w:r>
        <w:t xml:space="preserve">Nebrija, Vocabulario español-latino: </w:t>
      </w:r>
      <w:r>
        <w:rPr>
          <w:b/>
        </w:rPr>
        <w:t>D.13</w:t>
      </w:r>
      <w:r>
        <w:t>.</w:t>
      </w:r>
    </w:p>
    <w:p>
      <w:pPr>
        <w:pStyle w:val="ListBullet"/>
      </w:pPr>
      <w:r>
        <w:t xml:space="preserve">Real Academia Española, Diccionario de la lengua española (y ediciones antiguas): </w:t>
      </w:r>
      <w:r>
        <w:rPr>
          <w:b/>
        </w:rPr>
        <w:t>0.2</w:t>
      </w:r>
      <w:r>
        <w:t xml:space="preserve">, </w:t>
      </w:r>
      <w:r>
        <w:rPr>
          <w:b/>
        </w:rPr>
        <w:t>5.1</w:t>
      </w:r>
      <w:r>
        <w:t xml:space="preserve">, </w:t>
      </w:r>
      <w:r>
        <w:rPr>
          <w:b/>
        </w:rPr>
        <w:t>6.1</w:t>
      </w:r>
      <w:r>
        <w:t xml:space="preserve">, </w:t>
      </w:r>
      <w:r>
        <w:rPr>
          <w:b/>
        </w:rPr>
        <w:t>8.1</w:t>
      </w:r>
      <w:r>
        <w:t xml:space="preserve">, </w:t>
      </w:r>
      <w:r>
        <w:rPr>
          <w:b/>
        </w:rPr>
        <w:t>8.3</w:t>
      </w:r>
      <w:r>
        <w:t xml:space="preserve">, </w:t>
      </w:r>
      <w:r>
        <w:rPr>
          <w:b/>
        </w:rPr>
        <w:t>D.13</w:t>
      </w:r>
      <w:r>
        <w:t>.</w:t>
      </w:r>
    </w:p>
    <w:p>
      <w:pPr>
        <w:pStyle w:val="ListBullet"/>
      </w:pPr>
      <w:r>
        <w:t xml:space="preserve">Real Academia Española, Diccionario panhispánico del español jurídico: </w:t>
      </w:r>
      <w:r>
        <w:rPr>
          <w:b/>
        </w:rPr>
        <w:t>6.3</w:t>
      </w:r>
      <w:r>
        <w:t xml:space="preserve">, </w:t>
      </w:r>
      <w:r>
        <w:rPr>
          <w:b/>
        </w:rPr>
        <w:t>8.5</w:t>
      </w:r>
      <w:r>
        <w:t xml:space="preserve">, </w:t>
      </w:r>
      <w:r>
        <w:rPr>
          <w:b/>
        </w:rPr>
        <w:t>D.9</w:t>
      </w:r>
      <w:r>
        <w:t xml:space="preserve">, </w:t>
      </w:r>
      <w:r>
        <w:rPr>
          <w:b/>
        </w:rPr>
        <w:t>D.13</w:t>
      </w:r>
      <w:r>
        <w:t xml:space="preserve">, </w:t>
      </w:r>
      <w:r>
        <w:rPr>
          <w:b/>
        </w:rPr>
        <w:t>H.10</w:t>
      </w:r>
      <w:r>
        <w:t>.</w:t>
      </w:r>
    </w:p>
    <w:p>
      <w:pPr>
        <w:pStyle w:val="ListBullet"/>
      </w:pPr>
      <w:r>
        <w:t xml:space="preserve">South African History Online: </w:t>
      </w:r>
      <w:r>
        <w:rPr>
          <w:b/>
        </w:rPr>
        <w:t>9.2</w:t>
      </w:r>
      <w:r>
        <w:t>.</w:t>
      </w:r>
    </w:p>
    <w:p>
      <w:pPr>
        <w:pStyle w:val="ListBullet"/>
      </w:pPr>
      <w:r>
        <w:t xml:space="preserve">Webster's Revised Unabridged Dictionary (1913): </w:t>
      </w:r>
      <w:r>
        <w:rPr>
          <w:b/>
        </w:rPr>
        <w:t>5.1</w:t>
      </w:r>
      <w:r>
        <w:t xml:space="preserve">, </w:t>
      </w:r>
      <w:r>
        <w:rPr>
          <w:b/>
        </w:rPr>
        <w:t>8.3</w:t>
      </w:r>
      <w:r>
        <w:t>.</w:t>
      </w:r>
    </w:p>
    <w:p>
      <w:r>
        <w:rPr>
          <w:b/>
        </w:rPr>
        <w:t>La prensa, los estudios privados y otras fuentes</w:t>
      </w:r>
      <w:r>
        <w:t xml:space="preserve"> (38 fuentes)</w:t>
      </w:r>
    </w:p>
    <w:p>
      <w:pPr>
        <w:pStyle w:val="ListBullet"/>
      </w:pPr>
      <w:r>
        <w:t xml:space="preserve">ABC: </w:t>
      </w:r>
      <w:r>
        <w:rPr>
          <w:b/>
        </w:rPr>
        <w:t>7.7</w:t>
      </w:r>
      <w:r>
        <w:t xml:space="preserve">, </w:t>
      </w:r>
      <w:r>
        <w:rPr>
          <w:b/>
        </w:rPr>
        <w:t>A.2</w:t>
      </w:r>
      <w:r>
        <w:t>.</w:t>
      </w:r>
    </w:p>
    <w:p>
      <w:pPr>
        <w:pStyle w:val="ListBullet"/>
      </w:pPr>
      <w:r>
        <w:t xml:space="preserve">AEDAF: </w:t>
      </w:r>
      <w:r>
        <w:rPr>
          <w:b/>
        </w:rPr>
        <w:t>A.8</w:t>
      </w:r>
      <w:r>
        <w:t xml:space="preserve">, </w:t>
      </w:r>
      <w:r>
        <w:rPr>
          <w:b/>
        </w:rPr>
        <w:t>A.9</w:t>
      </w:r>
      <w:r>
        <w:t>.</w:t>
      </w:r>
    </w:p>
    <w:p>
      <w:pPr>
        <w:pStyle w:val="ListBullet"/>
      </w:pPr>
      <w:r>
        <w:t xml:space="preserve">Artículo14: </w:t>
      </w:r>
      <w:r>
        <w:rPr>
          <w:b/>
        </w:rPr>
        <w:t>A.4</w:t>
      </w:r>
      <w:r>
        <w:t>.</w:t>
      </w:r>
    </w:p>
    <w:p>
      <w:pPr>
        <w:pStyle w:val="ListBullet"/>
      </w:pPr>
      <w:r>
        <w:t xml:space="preserve">Asociación de Letrados por un Turno de Oficio Digno (ALTODO): </w:t>
      </w:r>
      <w:r>
        <w:rPr>
          <w:b/>
        </w:rPr>
        <w:t>A.7</w:t>
      </w:r>
      <w:r>
        <w:t>.</w:t>
      </w:r>
    </w:p>
    <w:p>
      <w:pPr>
        <w:pStyle w:val="ListBullet"/>
      </w:pPr>
      <w:r>
        <w:t xml:space="preserve">Asociación Estatal de Directoras y Gerentes de Servicios Sociales: </w:t>
      </w:r>
      <w:r>
        <w:rPr>
          <w:b/>
        </w:rPr>
        <w:t>8.5</w:t>
      </w:r>
      <w:r>
        <w:t xml:space="preserve">, </w:t>
      </w:r>
      <w:r>
        <w:rPr>
          <w:b/>
        </w:rPr>
        <w:t>11.6</w:t>
      </w:r>
      <w:r>
        <w:t>.</w:t>
      </w:r>
    </w:p>
    <w:p>
      <w:pPr>
        <w:pStyle w:val="ListBullet"/>
      </w:pPr>
      <w:r>
        <w:t xml:space="preserve">ASUFIN: </w:t>
      </w:r>
      <w:r>
        <w:rPr>
          <w:b/>
        </w:rPr>
        <w:t>B.5</w:t>
      </w:r>
      <w:r>
        <w:t>.</w:t>
      </w:r>
    </w:p>
    <w:p>
      <w:pPr>
        <w:pStyle w:val="ListBullet"/>
      </w:pPr>
      <w:r>
        <w:t xml:space="preserve">ATA, asociación de trabajadores autónomos: </w:t>
      </w:r>
      <w:r>
        <w:rPr>
          <w:b/>
        </w:rPr>
        <w:t>8.4</w:t>
      </w:r>
      <w:r>
        <w:t>.</w:t>
      </w:r>
    </w:p>
    <w:p>
      <w:pPr>
        <w:pStyle w:val="ListBullet"/>
      </w:pPr>
      <w:r>
        <w:t xml:space="preserve">Banco Santander: </w:t>
      </w:r>
      <w:r>
        <w:rPr>
          <w:b/>
        </w:rPr>
        <w:t>B.5</w:t>
      </w:r>
      <w:r>
        <w:t>.</w:t>
      </w:r>
    </w:p>
    <w:p>
      <w:pPr>
        <w:pStyle w:val="ListBullet"/>
      </w:pPr>
      <w:r>
        <w:t xml:space="preserve">CEOE: </w:t>
      </w:r>
      <w:r>
        <w:rPr>
          <w:b/>
        </w:rPr>
        <w:t>11.3</w:t>
      </w:r>
      <w:r>
        <w:t>.</w:t>
      </w:r>
    </w:p>
    <w:p>
      <w:pPr>
        <w:pStyle w:val="ListBullet"/>
      </w:pPr>
      <w:r>
        <w:t xml:space="preserve">CEPES: </w:t>
      </w:r>
      <w:r>
        <w:rPr>
          <w:b/>
        </w:rPr>
        <w:t>A.8</w:t>
      </w:r>
      <w:r>
        <w:t>.</w:t>
      </w:r>
    </w:p>
    <w:p>
      <w:pPr>
        <w:pStyle w:val="ListBullet"/>
      </w:pPr>
      <w:r>
        <w:t xml:space="preserve">Citizen Lab: </w:t>
      </w:r>
      <w:r>
        <w:rPr>
          <w:b/>
        </w:rPr>
        <w:t>A.2</w:t>
      </w:r>
      <w:r>
        <w:t>.</w:t>
      </w:r>
    </w:p>
    <w:p>
      <w:pPr>
        <w:pStyle w:val="ListBullet"/>
      </w:pPr>
      <w:r>
        <w:t xml:space="preserve">Columbia Magazine: </w:t>
      </w:r>
      <w:r>
        <w:rPr>
          <w:b/>
        </w:rPr>
        <w:t>9.2</w:t>
      </w:r>
      <w:r>
        <w:t>.</w:t>
      </w:r>
    </w:p>
    <w:p>
      <w:pPr>
        <w:pStyle w:val="ListBullet"/>
      </w:pPr>
      <w:r>
        <w:t xml:space="preserve">Ecologistas en Acción: </w:t>
      </w:r>
      <w:r>
        <w:rPr>
          <w:b/>
        </w:rPr>
        <w:t>8.7</w:t>
      </w:r>
      <w:r>
        <w:t>.</w:t>
      </w:r>
    </w:p>
    <w:p>
      <w:pPr>
        <w:pStyle w:val="ListBullet"/>
      </w:pPr>
      <w:r>
        <w:t xml:space="preserve">El Derecho: </w:t>
      </w:r>
      <w:r>
        <w:rPr>
          <w:b/>
        </w:rPr>
        <w:t>A.1</w:t>
      </w:r>
      <w:r>
        <w:t>.</w:t>
      </w:r>
    </w:p>
    <w:p>
      <w:pPr>
        <w:pStyle w:val="ListBullet"/>
      </w:pPr>
      <w:r>
        <w:t xml:space="preserve">EsadeEcPol: </w:t>
      </w:r>
      <w:r>
        <w:rPr>
          <w:b/>
        </w:rPr>
        <w:t>8.9</w:t>
      </w:r>
      <w:r>
        <w:t>.</w:t>
      </w:r>
    </w:p>
    <w:p>
      <w:pPr>
        <w:pStyle w:val="ListBullet"/>
      </w:pPr>
      <w:r>
        <w:t xml:space="preserve">Fedea: </w:t>
      </w:r>
      <w:r>
        <w:rPr>
          <w:b/>
        </w:rPr>
        <w:t>B.4</w:t>
      </w:r>
      <w:r>
        <w:t>.</w:t>
      </w:r>
    </w:p>
    <w:p>
      <w:pPr>
        <w:pStyle w:val="ListBullet"/>
      </w:pPr>
      <w:r>
        <w:t xml:space="preserve">Fundación CIVIO: </w:t>
      </w:r>
      <w:r>
        <w:rPr>
          <w:b/>
        </w:rPr>
        <w:t>A.3</w:t>
      </w:r>
      <w:r>
        <w:t>.</w:t>
      </w:r>
    </w:p>
    <w:p>
      <w:pPr>
        <w:pStyle w:val="ListBullet"/>
      </w:pPr>
      <w:r>
        <w:t xml:space="preserve">Fundación Civismo: </w:t>
      </w:r>
      <w:r>
        <w:rPr>
          <w:b/>
        </w:rPr>
        <w:t>8.4</w:t>
      </w:r>
      <w:r>
        <w:t>.</w:t>
      </w:r>
    </w:p>
    <w:p>
      <w:pPr>
        <w:pStyle w:val="ListBullet"/>
      </w:pPr>
      <w:r>
        <w:t xml:space="preserve">Fundación Cotec: </w:t>
      </w:r>
      <w:r>
        <w:rPr>
          <w:b/>
        </w:rPr>
        <w:t>A.2</w:t>
      </w:r>
      <w:r>
        <w:t>.</w:t>
      </w:r>
    </w:p>
    <w:p>
      <w:pPr>
        <w:pStyle w:val="ListBullet"/>
      </w:pPr>
      <w:r>
        <w:t xml:space="preserve">Fundación «la Caixa», Observatorio Social: </w:t>
      </w:r>
      <w:r>
        <w:rPr>
          <w:b/>
        </w:rPr>
        <w:t>A.8</w:t>
      </w:r>
      <w:r>
        <w:t>.</w:t>
      </w:r>
    </w:p>
    <w:p>
      <w:pPr>
        <w:pStyle w:val="ListBullet"/>
      </w:pPr>
      <w:r>
        <w:t xml:space="preserve">Gestha: </w:t>
      </w:r>
      <w:r>
        <w:rPr>
          <w:b/>
        </w:rPr>
        <w:t>A.9</w:t>
      </w:r>
      <w:r>
        <w:t>.</w:t>
      </w:r>
    </w:p>
    <w:p>
      <w:pPr>
        <w:pStyle w:val="ListBullet"/>
      </w:pPr>
      <w:r>
        <w:t xml:space="preserve">Graphic Online: </w:t>
      </w:r>
      <w:r>
        <w:rPr>
          <w:b/>
        </w:rPr>
        <w:t>7.5</w:t>
      </w:r>
      <w:r>
        <w:t>.</w:t>
      </w:r>
    </w:p>
    <w:p>
      <w:pPr>
        <w:pStyle w:val="ListBullet"/>
      </w:pPr>
      <w:r>
        <w:t xml:space="preserve">HayDerecho: </w:t>
      </w:r>
      <w:r>
        <w:rPr>
          <w:b/>
        </w:rPr>
        <w:t>A.4</w:t>
      </w:r>
      <w:r>
        <w:t xml:space="preserve">, </w:t>
      </w:r>
      <w:r>
        <w:rPr>
          <w:b/>
        </w:rPr>
        <w:t>A.8</w:t>
      </w:r>
      <w:r>
        <w:t>.</w:t>
      </w:r>
    </w:p>
    <w:p>
      <w:pPr>
        <w:pStyle w:val="ListBullet"/>
      </w:pPr>
      <w:r>
        <w:t xml:space="preserve">Idealista: </w:t>
      </w:r>
      <w:r>
        <w:rPr>
          <w:b/>
        </w:rPr>
        <w:t>7.7</w:t>
      </w:r>
      <w:r>
        <w:t xml:space="preserve">, </w:t>
      </w:r>
      <w:r>
        <w:rPr>
          <w:b/>
        </w:rPr>
        <w:t>10.7</w:t>
      </w:r>
      <w:r>
        <w:t>.</w:t>
      </w:r>
    </w:p>
    <w:p>
      <w:pPr>
        <w:pStyle w:val="ListBullet"/>
      </w:pPr>
      <w:r>
        <w:t xml:space="preserve">Instituto de Estudios Económicos (IEE): </w:t>
      </w:r>
      <w:r>
        <w:rPr>
          <w:b/>
        </w:rPr>
        <w:t>9.1</w:t>
      </w:r>
      <w:r>
        <w:t xml:space="preserve">, </w:t>
      </w:r>
      <w:r>
        <w:rPr>
          <w:b/>
        </w:rPr>
        <w:t>A.8</w:t>
      </w:r>
      <w:r>
        <w:t>.</w:t>
      </w:r>
    </w:p>
    <w:p>
      <w:pPr>
        <w:pStyle w:val="ListBullet"/>
      </w:pPr>
      <w:r>
        <w:t xml:space="preserve">Instituto Juan de Mariana: </w:t>
      </w:r>
      <w:r>
        <w:rPr>
          <w:b/>
        </w:rPr>
        <w:t>8.4</w:t>
      </w:r>
      <w:r>
        <w:t xml:space="preserve">, </w:t>
      </w:r>
      <w:r>
        <w:rPr>
          <w:b/>
        </w:rPr>
        <w:t>B.4</w:t>
      </w:r>
      <w:r>
        <w:t>.</w:t>
      </w:r>
    </w:p>
    <w:p>
      <w:pPr>
        <w:pStyle w:val="ListBullet"/>
      </w:pPr>
      <w:r>
        <w:t xml:space="preserve">Jueces para la Democracia (1991): </w:t>
      </w:r>
      <w:r>
        <w:rPr>
          <w:b/>
        </w:rPr>
        <w:t>A.7</w:t>
      </w:r>
      <w:r>
        <w:t>.</w:t>
      </w:r>
    </w:p>
    <w:p>
      <w:pPr>
        <w:pStyle w:val="ListBullet"/>
      </w:pPr>
      <w:r>
        <w:t xml:space="preserve">Maldita: </w:t>
      </w:r>
      <w:r>
        <w:rPr>
          <w:b/>
        </w:rPr>
        <w:t>A.6</w:t>
      </w:r>
      <w:r>
        <w:t>.</w:t>
      </w:r>
    </w:p>
    <w:p>
      <w:pPr>
        <w:pStyle w:val="ListBullet"/>
      </w:pPr>
      <w:r>
        <w:t xml:space="preserve">MyJoyOnline: </w:t>
      </w:r>
      <w:r>
        <w:rPr>
          <w:b/>
        </w:rPr>
        <w:t>7.5</w:t>
      </w:r>
      <w:r>
        <w:t>.</w:t>
      </w:r>
    </w:p>
    <w:p>
      <w:pPr>
        <w:pStyle w:val="ListBullet"/>
      </w:pPr>
      <w:r>
        <w:t xml:space="preserve">Noticias Jurídicas, TheObjective y El Derecho: </w:t>
      </w:r>
      <w:r>
        <w:rPr>
          <w:b/>
        </w:rPr>
        <w:t>A.9</w:t>
      </w:r>
      <w:r>
        <w:t>.</w:t>
      </w:r>
    </w:p>
    <w:p>
      <w:pPr>
        <w:pStyle w:val="ListBullet"/>
      </w:pPr>
      <w:r>
        <w:t xml:space="preserve">Political Watch: </w:t>
      </w:r>
      <w:r>
        <w:rPr>
          <w:b/>
        </w:rPr>
        <w:t>A.4</w:t>
      </w:r>
      <w:r>
        <w:t>.</w:t>
      </w:r>
    </w:p>
    <w:p>
      <w:pPr>
        <w:pStyle w:val="ListBullet"/>
      </w:pPr>
      <w:r>
        <w:t xml:space="preserve">Revista de Estudios de la Administración Local y Autonómica (REALA): </w:t>
      </w:r>
      <w:r>
        <w:rPr>
          <w:b/>
        </w:rPr>
        <w:t>A.9</w:t>
      </w:r>
      <w:r>
        <w:t>.</w:t>
      </w:r>
    </w:p>
    <w:p>
      <w:pPr>
        <w:pStyle w:val="ListBullet"/>
      </w:pPr>
      <w:r>
        <w:t xml:space="preserve">Statista: </w:t>
      </w:r>
      <w:r>
        <w:rPr>
          <w:b/>
        </w:rPr>
        <w:t>A.6</w:t>
      </w:r>
      <w:r>
        <w:t>.</w:t>
      </w:r>
    </w:p>
    <w:p>
      <w:pPr>
        <w:pStyle w:val="ListBullet"/>
      </w:pPr>
      <w:r>
        <w:t xml:space="preserve">Transparencia Internacional España: </w:t>
      </w:r>
      <w:r>
        <w:rPr>
          <w:b/>
        </w:rPr>
        <w:t>6.4</w:t>
      </w:r>
      <w:r>
        <w:t>.</w:t>
      </w:r>
    </w:p>
    <w:p>
      <w:pPr>
        <w:pStyle w:val="ListBullet"/>
      </w:pPr>
      <w:r>
        <w:t xml:space="preserve">Transparent Replications: </w:t>
      </w:r>
      <w:r>
        <w:rPr>
          <w:b/>
        </w:rPr>
        <w:t>8.9</w:t>
      </w:r>
      <w:r>
        <w:t>.</w:t>
      </w:r>
    </w:p>
    <w:p>
      <w:pPr>
        <w:pStyle w:val="ListBullet"/>
      </w:pPr>
      <w:r>
        <w:t xml:space="preserve">UGT: </w:t>
      </w:r>
      <w:r>
        <w:rPr>
          <w:b/>
        </w:rPr>
        <w:t>8.8</w:t>
      </w:r>
      <w:r>
        <w:t>.</w:t>
      </w:r>
    </w:p>
    <w:p>
      <w:pPr>
        <w:pStyle w:val="ListBullet"/>
      </w:pPr>
      <w:r>
        <w:t xml:space="preserve">Un magistrado del Tribunal Supremo, con datos del Ministerio de Justicia: </w:t>
      </w:r>
      <w:r>
        <w:rPr>
          <w:b/>
        </w:rPr>
        <w:t>A.5</w:t>
      </w:r>
      <w:r>
        <w:t>.</w:t>
      </w:r>
    </w:p>
    <w:p>
      <w:pPr>
        <w:pStyle w:val="ListBullet"/>
      </w:pPr>
      <w:r>
        <w:t xml:space="preserve">WEF: </w:t>
      </w:r>
      <w:r>
        <w:rPr>
          <w:b/>
        </w:rPr>
        <w:t>A.2</w:t>
      </w:r>
      <w:r>
        <w:t>.</w:t>
      </w:r>
    </w:p>
    <w:p>
      <w:r>
        <w:t>[todas las marcas de fuente de los capítulos 0 a 11 y de los anexos A a J, reunidas con un programa en el paso 4, 7-oct-2026]</w:t>
      </w:r>
    </w:p>
    <w:p>
      <w:pPr>
        <w:pStyle w:val="Heading2"/>
      </w:pPr>
      <w:r>
        <w:t>Límite honesto de la prueba</w:t>
      </w:r>
    </w:p>
    <w:p>
      <w:pPr>
        <w:pStyle w:val="ListBullet"/>
      </w:pPr>
      <w:r>
        <w:rPr>
          <w:b/>
        </w:rPr>
        <w:t>Lo que no se leyó no entra.</w:t>
      </w:r>
      <w:r>
        <w:t xml:space="preserve"> De la lista de la pieza quedan fuera, por no haberse leído en su fuente: Mt 22:39 (la misma frase está en Lv 19:18 y Gá 5:14, </w:t>
      </w:r>
      <w:r>
        <w:t>I.1</w:t>
      </w:r>
      <w:r>
        <w:t xml:space="preserve">), Ez 33:6, el </w:t>
      </w:r>
      <w:r>
        <w:rPr>
          <w:i/>
        </w:rPr>
        <w:t>bitul</w:t>
      </w:r>
      <w:r>
        <w:t xml:space="preserve"> jasídico y el </w:t>
      </w:r>
      <w:r>
        <w:rPr>
          <w:i/>
        </w:rPr>
        <w:t>fana'</w:t>
      </w:r>
      <w:r>
        <w:t xml:space="preserve"> sufí, el Kalama Sutta, el comentario de Jung al Bardo Thodol, Kant y la publicidad, y el origen de la expresión «la gran mentira». Tampoco la fecha de la Tabla Esmeralda. Mc 10:45 se leyó después en la Reina-Valera Antigua y dice lo mismo que Mt 20:28 (</w:t>
      </w:r>
      <w:r>
        <w:t>3.6</w:t>
      </w:r>
      <w:r>
        <w:t>), que es el que se cita.</w:t>
      </w:r>
    </w:p>
    <w:p>
      <w:pPr>
        <w:pStyle w:val="ListBullet"/>
      </w:pPr>
      <w:r>
        <w:rPr>
          <w:b/>
        </w:rPr>
        <w:t>Algunas traducciones no salen del original.</w:t>
      </w:r>
      <w:r>
        <w:t xml:space="preserve"> Las Analectas 5.10 y 15.24 se tradujeron de la versión inglesa de Legge, y el Dhammapada 11-12, de la de Müller y de la de Sujato; se dice en cada una. Los hadices de Sahih al-Bujari y de Sahih Muslim se leyeron en una copia de datos de la colección, no en una edición impresa: van como fuente secundaria (</w:t>
      </w:r>
      <w:r>
        <w:t>2.5</w:t>
      </w:r>
      <w:r>
        <w:t xml:space="preserve"> y </w:t>
      </w:r>
      <w:r>
        <w:t>anexo F</w:t>
      </w:r>
      <w:r>
        <w:t>).</w:t>
      </w:r>
    </w:p>
    <w:p>
      <w:r>
        <w:t>[00.00, secciones 14 a 26; paso 2 y su fe de erratas]</w:t>
      </w:r>
    </w:p>
    <w:p>
      <w:pPr>
        <w:pStyle w:val="Heading2"/>
      </w:pPr>
      <w:r>
        <w:t>Dónde se oye la defensa del Estado</w:t>
      </w:r>
    </w:p>
    <w:p>
      <w:r>
        <w:t>La defensa del Estado frente a las fuentes de la obra, y lo que la obra le responde, se oyen en el juicio, en las cuestiones previas (</w:t>
      </w:r>
      <w:r>
        <w:t>11.2</w:t>
      </w:r>
      <w:r>
        <w:t>): «Las citas son de opositores ideológicos, y algunas no están verificadas» (n.º 13) y «El Estado es aconfesional» (n.º 5).</w:t>
      </w:r>
    </w:p>
    <w:p>
      <w:r>
        <w:t>[clasificación de las defensas, aprobada; 11.2]</w:t>
      </w:r>
    </w:p>
    <w:p>
      <w:pPr>
        <w:pStyle w:val="Heading2"/>
      </w:pPr>
      <w:r>
        <w:t>Para recordar</w:t>
      </w:r>
    </w:p>
    <w:p>
      <w:pPr>
        <w:pStyle w:val="ListBullet"/>
      </w:pPr>
      <w:r>
        <w:t>Cada cita de la obra tiene su fuente; las de las tradiciones y los textos clásicos están aquí, por bloques, con el apartado donde se usan.</w:t>
      </w:r>
    </w:p>
    <w:p>
      <w:pPr>
        <w:pStyle w:val="ListBullet"/>
      </w:pPr>
      <w:r>
        <w:t>Cada cita va en las palabras de su fuente; donde la edición traduce, el texto del que se ha hecho va al lado.</w:t>
      </w:r>
    </w:p>
    <w:p>
      <w:pPr>
        <w:pStyle w:val="ListBullet"/>
      </w:pPr>
      <w:r>
        <w:t>Lo que no se pudo leer en su fuente no entra, y se dice.</w:t>
      </w:r>
    </w:p>
    <w:p>
      <w:pPr>
        <w:pStyle w:val="ListBullet"/>
      </w:pPr>
      <w:r>
        <w:t>La lista de todas las fuentes de la obra, por tipo, se hace con la obra entera.</w:t>
      </w:r>
    </w:p>
    <w:p>
      <w:r>
        <w:br w:type="page"/>
      </w:r>
    </w:p>
    <w:p>
      <w:pPr>
        <w:pStyle w:val="Heading1"/>
      </w:pPr>
      <w:r>
        <w:t>Anexo J. La balanza equilibrada: lo que habría sido de ajustarse a lo recibido</w:t>
      </w:r>
    </w:p>
    <w:p>
      <w:pPr>
        <w:spacing w:after="200"/>
      </w:pPr>
      <w:r>
        <w:rPr>
          <w:rFonts w:ascii="Segoe UI" w:hAnsi="Segoe UI" w:eastAsia="Segoe UI" w:cs="Segoe UI"/>
          <w:color w:val="6B665E"/>
          <w:sz w:val="17"/>
        </w:rPr>
        <w:t>Primera versión: 9 de octubre de 2026 · Última revisión: 12 de octubre de 2026 · Cambios anotados en el capítulo: 8 · Citas leídas en su fuente: 28</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(B13: Kiko, chat de 08.18, 06:3x, «si» a la forma «sin contacto documentado entre sí»; orden de 08.29, filas 709 y 710 de 08/01, tras la auditoría de 10.36): la frase en este capítulo con la forma de antes pasa a decir «sin contacto documentado» (07/herramientas/aplicar_contacto_documentado.py). Ninguna otra palabra cambia. Cambio del 12-oct-2026, los flecos del cierre (Kiko, chat de 08.28, 19:4x, a «¿sí a los seis flecos tal cual? Recomendación: sí a los seis», tal cual: «SI»; orden firme de 08.28): en J.3, «En Persia se elige un polo», la traducción del Yasna 30:3 se daba como de L. H. Mills y es la de avesta.org, palabra por palabra, la misma de 4.2: dice «de avesta.org». Quién es su traductor (avesta.org la da como de Bartholomae, por Taraporewala, «basada casi por entero en Moulton»), a 06/05 FLECOS. Ninguna otra palabra cambia. Cambio del 12-oct-2026 (Kiko: el piloto de J.6 sin números, fila 542 de 08/01, 13:4x; los cinco centros, chat de 08.26, 17:2x, tal cual: «A mí me parece que valen perfectamente. Son lógicos coherentes con todo lo que hemos tratado hasta la fecha y son las conclusiones que, a las cuales hemos llegado.»; y el texto, chat de 08.27, 18:3x, tal cual: «SI CONCUERDO»; ADELANTE de 08.27; borrador B21, construido por programa): al final de J.6, sin renumerar, el bloque «El piloto, hecho sin números»: la entrada, con el matiz de Kiko (el centro es el bien, Gn 1:10; el mal, errar ese blanco, 3.2 y F.8); las flechas de las cinco palabras; en el nivel completo, la tabla de los cinco diales, letra a letra la de los centros aprobados, y lo que sostiene cada flecha, solo con lo que la obra ya tiene y su remisión, sin dato ni número nuevos, con dos dimensiones sin flecha y su motivo; y la conclusión de dato, los dos vicios a la vez. Sin «Lectura del autor». La tabla de J.8, sin tocar. Sin palabra nueva. Ninguna otra palabra cambia. Cambio del 12-oct-2026 (Kiko, chat de 08.25, pasado por 08.25 tal cual a «¿entra el B18 así en J.1, con «Tres cosas que esta imagen no dice» y J.8 remitiendo a J.1?»: «SI»; fila 590 de 08/01; parlamento de la balanza, 08/22, 12.4; borrador B18, verificado por 08.25, fila 586): en J.0, la línea de J.1 añade «y el camino de vuelta»; en J.1, una frase al final de «La idea»; detrás de los siete gestos y su línea de fuente, el bloque «El camino de vuelta», en lista y fuera del nivel completo: siete tramos, uno por gesto, cada uno en cuatro pasos (la rama seca, la pesa, lo recibido y la puerta de la ley), con su línea de fuente; «Dos cosas que esta imagen no dice» pasa a «Tres cosas», con la tercera al final del párrafo (no sitúa a nadie, 10.9); y en J.8, una línea detrás de la tabla que remite a J.1. Sin dato ni cita nuevos. Ninguna otra palabra cambia. Cambio del 12-oct-2026 (Kiko, chat de 08.21, 11:0x, pasado por 08.21 tal cual, a «¿Entran así la pesa en 0.5 y la tabla de J.8?»: «si concuerdo»; la pesa calibrada, a las 10:5x: «concuerdo» y «si concuerdo»; parlamento de la balanza, 08/22, apartados 10 y 11): en J.0, una línea más en la lista (la de J.7 acaba ahora en punto y coma); un apartado nuevo, J.8 «La balanza, pesa a pesa», detrás de J.7 y antes de «Límite honesto de la prueba» (la idea con la pesa, la lectura de cómo se lee la tabla y una tabla de diecisiete filas y cuatro columnas, sin número y sin bloque de nivel completo: lo que expone el libro, hacia dónde se aparta la aguja, el fruto que lo muestra y lo que pesa en el otro plato; cada dato, el de su apartado); y un punto al final de «Para recordar» (borrador B17; siete celdas alineadas al aplicar con las palabras de su apartado, 08/22, 11.5). Sin dato ni cita nueva. Ninguna otra palabra cambia. Cambio del 12-oct-2026 (B13, punto 7 en otra forma; decisión de 08.18 sobre la frase que Kiko aprobó en el chat de 08.18, 06:3x: «si»; la vio 10.29): en J.1, «converge en tradiciones que no se leyeron entre sí» pasa a «sin contacto documentado entre sí». Ninguna otra palabra cambia. Cambio del 9-oct-2026 (Kiko: «Sí, ponlo en J.3»; fila 31 de 04p, los polos que faltaban en los diales): en J.3, el defecto de P7 (absolver al culpable, Pr 17:15) y el de P8 (no ejecutar la sentencia a tiempo, Ecl 8:11) con su texto de la Reina-Valera 1909; P3 y P5 siguen sin texto como vicio de quien manda, y la frase de debajo de la tabla dice por qué (seis diales con los dos vicios y dos con uno); la viñeta «Faltan polos» de «Límite honesto» pasa de cuatro principios a dos. Cambio del 9-oct-2026 (Kiko: «Sí a las tres, aplícalo y sigue con A10»; fila A7 de 03b, la obra como espejo del Estado y lo global y lo particular): al final de J.5, antes de J.6, un bloque nuevo como lectura del autor: lo global y lo particular (primero el centro, después el caso con sus variables), con las imágenes de la fuente y los animales y del árbol y sus ramas (palabras de Kiko del 6-oct) y la respuesta de plantilla (10.4). «La idea» de J.5 no cambia. ESTADO: APROBADO por Kiko el 9-oct-2026 («Sí a todo el B3 y el B4, aplícalos» en el chat de la ventana que acompaña, y «SÍ A TODO, LO PARLAMENTADO EN ESTE CONSENSO» en el de la que trabaja); borrador B4, escrito por la ventana que acompaña y aplicado por la que trabaja. Cualquier cambio posterior, con su aprobación. Sale de 04p (filas 19 a 24), 04o (1 a 6), 04g (1, 2 y 5), 04h (3.3), 04m (E) y la libreta 78. Trazabilidad: al final de cada párrafo, entre corchetes. Citas: Ezequiel 34, Mateo 7 y 20 en la Reina-Valera 1909 (10 FUENTES LEIDAS/biblia_rv1909); Daodejing 38 en Legge (10 FUENTES LEIDAS/cierre_B3_B4_9oct/taoismo_legge_sacredtexts); Proverbios 11:1, Levítico 19:36 y Aristóteles, ya en el capítulo 3 y en el anexo del 4.3. Conceptos que ancla: la semilla que se recibe y la que se siembra; el árbol recto y el torcido; los siete gestos; el centro; el dial; la ficha; la evaluación por los frutos; las tres capas; el piloto. Marcas: {fuente: …} niveles 2 y 3; {original: …} nivel 3; [trazabilidad] nivel 3; {completo} solo nivel 3; {breve} solo niveles 1 y 2. Añadido el 9-oct-2026 (Kiko: «la doble polaridad, por coherencia, en el dial» y «Sí a B7 y B8, aplícalos»; borrador B8 de la carpeta 07): en J.3, el bloque «¿Solo Aristóteles?» con la doble polaridad en seis tradiciones (30 pasajes leídos en 11), sus cinco matices («coinciden», no «convergen») y una viñeta del «Límite honesto de la prueba».</w:t>
      </w:r>
    </w:p>
    <w:p>
      <w:pPr>
        <w:pBdr>
          <w:left w:val="single" w:sz="24" w:space="6" w:color="E2DED6"/>
        </w:pBdr>
        <w:shd w:val="clear" w:color="auto" w:fill="F1EEE8"/>
        <w:spacing w:before="80" w:after="160"/>
        <w:ind w:left="142" w:right="142"/>
      </w:pPr>
      <w:r>
        <w:rPr>
          <w:b/>
        </w:rPr>
        <w:t>En pocas palabras:</w:t>
      </w:r>
    </w:p>
    <w:p>
      <w:pPr>
        <w:pStyle w:val="ListBullet"/>
      </w:pPr>
      <w:r>
        <w:t>Este anexo no añade datos: explica el método con que la obra mide hacia dónde apunta cada cosa, y lo deja escrito para que cualquiera lo aplique.</w:t>
      </w:r>
    </w:p>
    <w:p>
      <w:pPr>
        <w:pStyle w:val="ListBullet"/>
      </w:pPr>
      <w:r>
        <w:t>Hay dos semillas: la que se recibe (la ley de Dios y la natural) y la que se siembra (la costumbre y la ley escrita). El árbol se tuerce cuando la segunda se corta de la primera o se pone por encima.</w:t>
      </w:r>
    </w:p>
    <w:p>
      <w:pPr>
        <w:pStyle w:val="ListBullet"/>
      </w:pPr>
      <w:r>
        <w:t>El dial mide una conducta entre dos vicios, uno por defecto y otro por exceso, con la virtud en el centro. El centro no lo pone quien mide: lo ponen las dos leyes de arriba, y se escribe antes de mirar los datos.</w:t>
      </w:r>
    </w:p>
    <w:p>
      <w:pPr>
        <w:pStyle w:val="ListBullet"/>
      </w:pPr>
      <w:r>
        <w:t>La balanza es para lo que se da y se recibe entre el ciudadano y el Estado; el dial, para la conducta de uno solo. La balanza equilibrada es el centro del dial.</w:t>
      </w:r>
    </w:p>
    <w:p>
      <w:pPr>
        <w:pStyle w:val="ListBullet"/>
      </w:pPr>
      <w:r>
        <w:t>Se miden normas, instituciones y situaciones, nunca personas; con números solo donde se cumplen cuatro condiciones, y con la mejor defensa del Estado al lado.</w:t>
      </w:r>
    </w:p>
    <w:p>
      <w:pPr>
        <w:pStyle w:val="Heading2"/>
      </w:pPr>
      <w:r>
        <w:t>J.0 Propósito</w:t>
      </w:r>
    </w:p>
    <w:p>
      <w:pPr>
        <w:pBdr>
          <w:left w:val="single" w:sz="24" w:space="6" w:color="E2DED6"/>
        </w:pBdr>
        <w:shd w:val="clear" w:color="auto" w:fill="F1EEE8"/>
        <w:spacing w:before="80" w:after="160"/>
        <w:ind w:left="142" w:right="142"/>
      </w:pPr>
      <w:r>
        <w:rPr>
          <w:b/>
        </w:rPr>
        <w:t>La idea: el dial no es un método nuevo. Es el segundo paso de la vara, los frutos, hecho visible: a la posición se le añade la dirección.</w:t>
      </w:r>
    </w:p>
    <w:p>
      <w:r>
        <w:t>La obra mide en dos pasos: primero, si los hechos son ciertos, con su fuente; después, sus frutos (</w:t>
      </w:r>
      <w:r>
        <w:t>0.5</w:t>
      </w:r>
      <w:r>
        <w:t>). La auditoría dice de cada artículo si se cumple o no (</w:t>
      </w:r>
      <w:r>
        <w:t>7.1</w:t>
      </w:r>
      <w:r>
        <w:t>), y los frutos se miden con datos (</w:t>
      </w:r>
      <w:r>
        <w:t>8</w:t>
      </w:r>
      <w:r>
        <w:t xml:space="preserve">). Este anexo añade a ese segundo paso dos cosas que ya estaban en los capítulos y no tenían nombre: </w:t>
      </w:r>
      <w:r>
        <w:rPr>
          <w:b/>
        </w:rPr>
        <w:t>la posición</w:t>
      </w:r>
      <w:r>
        <w:t xml:space="preserve"> (si algo se queda corto o se pasa) y </w:t>
      </w:r>
      <w:r>
        <w:rPr>
          <w:b/>
        </w:rPr>
        <w:t>la dirección</w:t>
      </w:r>
      <w:r>
        <w:t xml:space="preserve"> (si se acerca al centro o se aleja). No sustituye al «cumple o incumple»: lo lee desde arriba. A esa mirada la obra la llama </w:t>
      </w:r>
      <w:r>
        <w:rPr>
          <w:b/>
        </w:rPr>
        <w:t>la vista superior</w:t>
      </w:r>
      <w:r>
        <w:t>: mirar desde las leyes superiores, la ley de Dios y la natural, que son las únicas que pueden poner el centro (</w:t>
      </w:r>
      <w:r>
        <w:t>1.9</w:t>
      </w:r>
      <w:r>
        <w:t xml:space="preserve">). </w:t>
      </w:r>
      <w:r>
        <w:t>[04o, puntos 1 y 3; 04p, apartado 4; glosario 5.6]</w:t>
      </w:r>
    </w:p>
    <w:p>
      <w:r>
        <w:rPr>
          <w:b/>
        </w:rPr>
        <w:t>Por qué va en un anexo.</w:t>
      </w:r>
      <w:r>
        <w:t xml:space="preserve"> Porque es método, no dato, y porque el lector ya ha visto todo lo que mide: el Arca (</w:t>
      </w:r>
      <w:r>
        <w:t>3</w:t>
      </w:r>
      <w:r>
        <w:t>), la virtud entre dos vicios (anexo del 4.3), la auditoría (</w:t>
      </w:r>
      <w:r>
        <w:t>7</w:t>
      </w:r>
      <w:r>
        <w:t>) y los frutos (</w:t>
      </w:r>
      <w:r>
        <w:t>8</w:t>
      </w:r>
      <w:r>
        <w:t xml:space="preserve">). Aquí se junta y se ordena. Lo que mide se llama </w:t>
      </w:r>
      <w:r>
        <w:rPr>
          <w:b/>
        </w:rPr>
        <w:t>evaluación por los frutos</w:t>
      </w:r>
      <w:r>
        <w:t>, y se aplica a cosas, nunca a personas (</w:t>
      </w:r>
      <w:r>
        <w:t>0.2</w:t>
      </w:r>
      <w:r>
        <w:t xml:space="preserve">): cada persona, si quiere, se la aplica a sí misma. </w:t>
      </w:r>
      <w:r>
        <w:t>[04c, apartado 4; glosario 5.6]</w:t>
      </w:r>
    </w:p>
    <w:p>
      <w:r>
        <w:t>Este anexo dice:</w:t>
      </w:r>
    </w:p>
    <w:p>
      <w:pPr>
        <w:pStyle w:val="ListBullet"/>
      </w:pPr>
      <w:r>
        <w:rPr>
          <w:b/>
        </w:rPr>
        <w:t>J.1</w:t>
      </w:r>
      <w:r>
        <w:t xml:space="preserve"> las dos semillas y los dos árboles, dónde se tuerce un árbol y el camino de vuelta;</w:t>
      </w:r>
    </w:p>
    <w:p>
      <w:pPr>
        <w:pStyle w:val="ListBullet"/>
      </w:pPr>
      <w:r>
        <w:rPr>
          <w:b/>
        </w:rPr>
        <w:t>J.2</w:t>
      </w:r>
      <w:r>
        <w:t xml:space="preserve"> quién pone el centro, y cómo se escribe antes de medir;</w:t>
      </w:r>
    </w:p>
    <w:p>
      <w:pPr>
        <w:pStyle w:val="ListBullet"/>
      </w:pPr>
      <w:r>
        <w:rPr>
          <w:b/>
        </w:rPr>
        <w:t>J.3</w:t>
      </w:r>
      <w:r>
        <w:t xml:space="preserve"> el dial, con el dial maestro «servir» y los nueve principios del Arca como diales;</w:t>
      </w:r>
    </w:p>
    <w:p>
      <w:pPr>
        <w:pStyle w:val="ListBullet"/>
      </w:pPr>
      <w:r>
        <w:rPr>
          <w:b/>
        </w:rPr>
        <w:t>J.4</w:t>
      </w:r>
      <w:r>
        <w:t xml:space="preserve"> cuándo se usa la balanza y cuándo el dial;</w:t>
      </w:r>
    </w:p>
    <w:p>
      <w:pPr>
        <w:pStyle w:val="ListBullet"/>
      </w:pPr>
      <w:r>
        <w:rPr>
          <w:b/>
        </w:rPr>
        <w:t>J.5</w:t>
      </w:r>
      <w:r>
        <w:t xml:space="preserve"> las tres capas de la medida y la ficha;</w:t>
      </w:r>
    </w:p>
    <w:p>
      <w:pPr>
        <w:pStyle w:val="ListBullet"/>
      </w:pPr>
      <w:r>
        <w:rPr>
          <w:b/>
        </w:rPr>
        <w:t>J.6</w:t>
      </w:r>
      <w:r>
        <w:t xml:space="preserve"> el piloto;</w:t>
      </w:r>
    </w:p>
    <w:p>
      <w:pPr>
        <w:pStyle w:val="ListBullet"/>
      </w:pPr>
      <w:r>
        <w:rPr>
          <w:b/>
        </w:rPr>
        <w:t>J.7</w:t>
      </w:r>
      <w:r>
        <w:t xml:space="preserve"> lo que el dial no mide;</w:t>
      </w:r>
    </w:p>
    <w:p>
      <w:pPr>
        <w:pStyle w:val="ListBullet"/>
      </w:pPr>
      <w:r>
        <w:rPr>
          <w:b/>
        </w:rPr>
        <w:t>J.8</w:t>
      </w:r>
      <w:r>
        <w:t xml:space="preserve"> y la balanza, pesa a pesa: lo que expone el libro, pesado con la misma pesa.</w:t>
      </w:r>
    </w:p>
    <w:p>
      <w:pPr>
        <w:pStyle w:val="Heading2"/>
      </w:pPr>
      <w:r>
        <w:t>J.1 Las dos semillas y los dos árboles</w:t>
      </w:r>
    </w:p>
    <w:p>
      <w:pPr>
        <w:pBdr>
          <w:left w:val="single" w:sz="24" w:space="6" w:color="E2DED6"/>
        </w:pBdr>
        <w:shd w:val="clear" w:color="auto" w:fill="F1EEE8"/>
        <w:spacing w:before="80" w:after="160"/>
        <w:ind w:left="142" w:right="142"/>
      </w:pPr>
      <w:r>
        <w:rPr>
          <w:b/>
        </w:rPr>
        <w:t>La idea: las dos semillas no son el bien y el mal, sino lo que se recibe y lo que se siembra. El árbol se tuerce cuando lo sembrado se corta de lo recibido o se pone por encima. De cada gesto que lo tuerce hay un camino de vuelta a lo recibido, y lo anda cada uno.</w:t>
      </w:r>
    </w:p>
    <w:p>
      <w:r>
        <w:rPr>
          <w:b/>
        </w:rPr>
        <w:t>Las dos semillas.</w:t>
      </w:r>
      <w:r>
        <w:t xml:space="preserve"> La </w:t>
      </w:r>
      <w:r>
        <w:rPr>
          <w:b/>
        </w:rPr>
        <w:t>semilla que se recibe</w:t>
      </w:r>
      <w:r>
        <w:t xml:space="preserve"> es la ley de Dios y la ley natural: no la puso ningún autor humano con interés, y se reconoce porque converge en tradiciones sin contacto documentado entre sí (</w:t>
      </w:r>
      <w:r>
        <w:t>0.5</w:t>
      </w:r>
      <w:r>
        <w:t>). Es la autoridad original (</w:t>
      </w:r>
      <w:r>
        <w:t>1.9</w:t>
      </w:r>
      <w:r>
        <w:t xml:space="preserve">). La </w:t>
      </w:r>
      <w:r>
        <w:rPr>
          <w:b/>
        </w:rPr>
        <w:t>semilla que se siembra</w:t>
      </w:r>
      <w:r>
        <w:t xml:space="preserve"> es la costumbre y la ley escrita: la ponen las personas a partir de los hechos, de la necesidad y del acuerdo. Es la autoridad derivada (</w:t>
      </w:r>
      <w:r>
        <w:t>1.9</w:t>
      </w:r>
      <w:r>
        <w:t xml:space="preserve">), y vale tanto como su unión con la primera. Las dos hacen falta: sin la segunda no hay comunidad que se gobierne; sin la primera, la segunda no tiene de dónde recibir su título. </w:t>
      </w:r>
      <w:r>
        <w:t>[04g, 1.1 y 1.2; glosario 5.7]</w:t>
      </w:r>
    </w:p>
    <w:p>
      <w:r>
        <w:rPr>
          <w:b/>
        </w:rPr>
        <w:t>Los dos árboles.</w:t>
      </w:r>
      <w:r>
        <w:t xml:space="preserve"> No nacen de semillas distintas: nacen de </w:t>
      </w:r>
      <w:r>
        <w:rPr>
          <w:b/>
        </w:rPr>
        <w:t>a qué se une lo sembrado.</w:t>
      </w:r>
      <w:r>
        <w:t xml:space="preserve"> El </w:t>
      </w:r>
      <w:r>
        <w:rPr>
          <w:b/>
        </w:rPr>
        <w:t>árbol recto</w:t>
      </w:r>
      <w:r>
        <w:t xml:space="preserve"> crece de lo recibido, y la costumbre y la ley escrita entran en él como ramas, que valen porque están unidas al tronco. El </w:t>
      </w:r>
      <w:r>
        <w:rPr>
          <w:b/>
        </w:rPr>
        <w:t>árbol torcido</w:t>
      </w:r>
      <w:r>
        <w:t xml:space="preserve"> crece de lo sembrado solo: en el lugar de lo recibido pone una </w:t>
      </w:r>
      <w:r>
        <w:rPr>
          <w:b/>
        </w:rPr>
        <w:t>presunción</w:t>
      </w:r>
      <w:r>
        <w:t>, algo dado por cierto sin prueba (</w:t>
      </w:r>
      <w:r>
        <w:t>0.4</w:t>
      </w:r>
      <w:r>
        <w:t>), y todo lo que se construye encima hereda esa raíz. Las dos cosas se comprueban distinto: la raíz recta, por convergencia; la raíz torcida, buscando el documento que la sostiene, y si no lo hay, es presunción (</w:t>
      </w:r>
      <w:r>
        <w:t>capítulo 5</w:t>
      </w:r>
      <w:r>
        <w:t xml:space="preserve">). </w:t>
      </w:r>
      <w:r>
        <w:t>[04g, 2.1 y 2.2]</w:t>
      </w:r>
    </w:p>
    <w:p>
      <w:r>
        <w:rPr>
          <w:b/>
        </w:rPr>
        <w:t>Las cuatro partes, y dónde están en este libro.</w:t>
      </w:r>
      <w:r>
        <w:t xml:space="preserve"> La raíz: el Arca (</w:t>
      </w:r>
      <w:r>
        <w:t>3</w:t>
      </w:r>
      <w:r>
        <w:t>), o una presunción en su lugar (</w:t>
      </w:r>
      <w:r>
        <w:t>5</w:t>
      </w:r>
      <w:r>
        <w:t>). El tronco: el orden de las leyes y la persona (1, 2 y 4), o cómo se construyó el Estado (</w:t>
      </w:r>
      <w:r>
        <w:t>6</w:t>
      </w:r>
      <w:r>
        <w:t xml:space="preserve">). Las ramas: los artículos que se cumplen y los que no (7 y </w:t>
      </w:r>
      <w:r>
        <w:t>anexo A</w:t>
      </w:r>
      <w:r>
        <w:t>). El follaje y los frutos: lo que se vive y lo que da (8 y 10).</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El árbol recto</w:t>
            </w:r>
          </w:p>
        </w:tc>
        <w:tc>
          <w:tcPr>
            <w:tcW w:type="dxa" w:w="2296"/>
            <w:shd w:val="clear" w:color="auto" w:fill="F1EEE8"/>
          </w:tcPr>
          <w:p>
            <w:pPr>
              <w:spacing w:after="20" w:line="264" w:lineRule="auto"/>
            </w:pPr>
            <w:r>
              <w:rPr>
                <w:b/>
              </w:rPr>
            </w:r>
            <w:r>
              <w:rPr>
                <w:rFonts w:ascii="Segoe UI" w:hAnsi="Segoe UI" w:eastAsia="Segoe UI" w:cs="Segoe UI"/>
                <w:b/>
                <w:color w:val="1F1D1A"/>
                <w:sz w:val="18"/>
              </w:rPr>
              <w:t>El árbol torcido</w:t>
            </w:r>
          </w:p>
        </w:tc>
        <w:tc>
          <w:tcPr>
            <w:tcW w:type="dxa" w:w="2296"/>
            <w:shd w:val="clear" w:color="auto" w:fill="F1EEE8"/>
          </w:tcPr>
          <w:p>
            <w:pPr>
              <w:spacing w:after="20" w:line="264" w:lineRule="auto"/>
            </w:pPr>
            <w:r>
              <w:rPr>
                <w:b/>
              </w:rPr>
            </w:r>
            <w:r>
              <w:rPr>
                <w:rFonts w:ascii="Segoe UI" w:hAnsi="Segoe UI" w:eastAsia="Segoe UI" w:cs="Segoe UI"/>
                <w:b/>
                <w:color w:val="1F1D1A"/>
                <w:sz w:val="18"/>
              </w:rPr>
              <w:t>Cómo se comprueba</w:t>
            </w:r>
          </w:p>
        </w:tc>
      </w:tr>
      <w:tr>
        <w:tc>
          <w:tcPr>
            <w:tcW w:type="dxa" w:w="2296"/>
          </w:tcPr>
          <w:p>
            <w:pPr>
              <w:spacing w:after="20" w:line="264" w:lineRule="auto"/>
            </w:pPr>
            <w:r/>
            <w:r>
              <w:rPr>
                <w:rFonts w:ascii="Segoe UI" w:hAnsi="Segoe UI" w:eastAsia="Segoe UI" w:cs="Segoe UI"/>
                <w:b/>
                <w:color w:val="1F1D1A"/>
                <w:sz w:val="18"/>
              </w:rPr>
              <w:t>La raíz</w:t>
            </w:r>
          </w:p>
        </w:tc>
        <w:tc>
          <w:tcPr>
            <w:tcW w:type="dxa" w:w="2296"/>
          </w:tcPr>
          <w:p>
            <w:pPr>
              <w:spacing w:after="20" w:line="264" w:lineRule="auto"/>
            </w:pPr>
            <w:r/>
            <w:r>
              <w:rPr>
                <w:rFonts w:ascii="Segoe UI" w:hAnsi="Segoe UI" w:eastAsia="Segoe UI" w:cs="Segoe UI"/>
                <w:color w:val="1F1D1A"/>
                <w:sz w:val="18"/>
              </w:rPr>
              <w:t>La ley de Dios y la ley natural: el Arca (</w:t>
            </w:r>
            <w:r>
              <w:rPr>
                <w:rFonts w:ascii="Segoe UI" w:hAnsi="Segoe UI" w:eastAsia="Segoe UI" w:cs="Segoe UI"/>
                <w:color w:val="1F1D1A"/>
                <w:sz w:val="18"/>
              </w:rPr>
              <w:t>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Una presunción en el lugar de lo recibido (</w:t>
            </w:r>
            <w:r>
              <w:rPr>
                <w:rFonts w:ascii="Segoe UI" w:hAnsi="Segoe UI" w:eastAsia="Segoe UI" w:cs="Segoe UI"/>
                <w:color w:val="1F1D1A"/>
                <w:sz w:val="18"/>
              </w:rPr>
              <w:t>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Convergencia (</w:t>
            </w:r>
            <w:r>
              <w:rPr>
                <w:rFonts w:ascii="Segoe UI" w:hAnsi="Segoe UI" w:eastAsia="Segoe UI" w:cs="Segoe UI"/>
                <w:color w:val="1F1D1A"/>
                <w:sz w:val="18"/>
              </w:rPr>
              <w:t>0.5</w:t>
            </w:r>
            <w:r>
              <w:rPr>
                <w:rFonts w:ascii="Segoe UI" w:hAnsi="Segoe UI" w:eastAsia="Segoe UI" w:cs="Segoe UI"/>
                <w:color w:val="1F1D1A"/>
                <w:sz w:val="18"/>
              </w:rPr>
              <w:t>); o el documento, y si no lo hay, presunción (</w:t>
            </w:r>
            <w:r>
              <w:rPr>
                <w:rFonts w:ascii="Segoe UI" w:hAnsi="Segoe UI" w:eastAsia="Segoe UI" w:cs="Segoe UI"/>
                <w:color w:val="1F1D1A"/>
                <w:sz w:val="18"/>
              </w:rPr>
              <w:t>0.4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b/>
                <w:color w:val="1F1D1A"/>
                <w:sz w:val="18"/>
              </w:rPr>
              <w:t>El tronco</w:t>
            </w:r>
          </w:p>
        </w:tc>
        <w:tc>
          <w:tcPr>
            <w:tcW w:type="dxa" w:w="2296"/>
          </w:tcPr>
          <w:p>
            <w:pPr>
              <w:spacing w:after="20" w:line="264" w:lineRule="auto"/>
            </w:pPr>
            <w:r/>
            <w:r>
              <w:rPr>
                <w:rFonts w:ascii="Segoe UI" w:hAnsi="Segoe UI" w:eastAsia="Segoe UI" w:cs="Segoe UI"/>
                <w:color w:val="1F1D1A"/>
                <w:sz w:val="18"/>
              </w:rPr>
              <w:t>El orden de las leyes y los derechos que preceden al Estado (1 y 2); discernir (</w:t>
            </w:r>
            <w:r>
              <w:rPr>
                <w:rFonts w:ascii="Segoe UI" w:hAnsi="Segoe UI" w:eastAsia="Segoe UI" w:cs="Segoe UI"/>
                <w:color w:val="1F1D1A"/>
                <w:sz w:val="18"/>
              </w:rPr>
              <w:t>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Cómo se construyó el Estado (</w:t>
            </w:r>
            <w:r>
              <w:rPr>
                <w:rFonts w:ascii="Segoe UI" w:hAnsi="Segoe UI" w:eastAsia="Segoe UI" w:cs="Segoe UI"/>
                <w:color w:val="1F1D1A"/>
                <w:sz w:val="18"/>
              </w:rPr>
              <w:t>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lógica: ¿sigue de la raíz?</w:t>
            </w:r>
          </w:p>
        </w:tc>
      </w:tr>
      <w:tr>
        <w:tc>
          <w:tcPr>
            <w:tcW w:type="dxa" w:w="2296"/>
          </w:tcPr>
          <w:p>
            <w:pPr>
              <w:spacing w:after="20" w:line="264" w:lineRule="auto"/>
            </w:pPr>
            <w:r/>
            <w:r>
              <w:rPr>
                <w:rFonts w:ascii="Segoe UI" w:hAnsi="Segoe UI" w:eastAsia="Segoe UI" w:cs="Segoe UI"/>
                <w:b/>
                <w:color w:val="1F1D1A"/>
                <w:sz w:val="18"/>
              </w:rPr>
              <w:t>Las ramas</w:t>
            </w:r>
          </w:p>
        </w:tc>
        <w:tc>
          <w:tcPr>
            <w:tcW w:type="dxa" w:w="2296"/>
          </w:tcPr>
          <w:p>
            <w:pPr>
              <w:spacing w:after="20" w:line="264" w:lineRule="auto"/>
            </w:pPr>
            <w:r/>
            <w:r>
              <w:rPr>
                <w:rFonts w:ascii="Segoe UI" w:hAnsi="Segoe UI" w:eastAsia="Segoe UI" w:cs="Segoe UI"/>
                <w:color w:val="1F1D1A"/>
                <w:sz w:val="18"/>
              </w:rPr>
              <w:t xml:space="preserve">La costumbre y la ley escrita unidas al tronco: los artículos que se cumplen (7, </w:t>
            </w:r>
            <w:r>
              <w:rPr>
                <w:rFonts w:ascii="Segoe UI" w:hAnsi="Segoe UI" w:eastAsia="Segoe UI" w:cs="Segoe UI"/>
                <w:color w:val="1F1D1A"/>
                <w:sz w:val="18"/>
              </w:rPr>
              <w:t>anexo A</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Los hechos del presente: los que no se cumplen (7, </w:t>
            </w:r>
            <w:r>
              <w:rPr>
                <w:rFonts w:ascii="Segoe UI" w:hAnsi="Segoe UI" w:eastAsia="Segoe UI" w:cs="Segoe UI"/>
                <w:color w:val="1F1D1A"/>
                <w:sz w:val="18"/>
              </w:rPr>
              <w:t>anexo A</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los frutos</w:t>
            </w:r>
          </w:p>
        </w:tc>
      </w:tr>
      <w:tr>
        <w:tc>
          <w:tcPr>
            <w:tcW w:type="dxa" w:w="2296"/>
          </w:tcPr>
          <w:p>
            <w:pPr>
              <w:spacing w:after="20" w:line="264" w:lineRule="auto"/>
            </w:pPr>
            <w:r/>
            <w:r>
              <w:rPr>
                <w:rFonts w:ascii="Segoe UI" w:hAnsi="Segoe UI" w:eastAsia="Segoe UI" w:cs="Segoe UI"/>
                <w:b/>
                <w:color w:val="1F1D1A"/>
                <w:sz w:val="18"/>
              </w:rPr>
              <w:t>El follaje y los frutos</w:t>
            </w:r>
          </w:p>
        </w:tc>
        <w:tc>
          <w:tcPr>
            <w:tcW w:type="dxa" w:w="2296"/>
          </w:tcPr>
          <w:p>
            <w:pPr>
              <w:spacing w:after="20" w:line="264" w:lineRule="auto"/>
            </w:pPr>
            <w:r/>
            <w:r>
              <w:rPr>
                <w:rFonts w:ascii="Segoe UI" w:hAnsi="Segoe UI" w:eastAsia="Segoe UI" w:cs="Segoe UI"/>
                <w:color w:val="1F1D1A"/>
                <w:sz w:val="18"/>
              </w:rPr>
              <w:t>Lo que se ve y se vive, y lo que da</w:t>
            </w:r>
          </w:p>
        </w:tc>
        <w:tc>
          <w:tcPr>
            <w:tcW w:type="dxa" w:w="2296"/>
          </w:tcPr>
          <w:p>
            <w:pPr>
              <w:spacing w:after="20" w:line="264" w:lineRule="auto"/>
            </w:pPr>
            <w:r/>
            <w:r>
              <w:rPr>
                <w:rFonts w:ascii="Segoe UI" w:hAnsi="Segoe UI" w:eastAsia="Segoe UI" w:cs="Segoe UI"/>
                <w:color w:val="1F1D1A"/>
                <w:sz w:val="18"/>
              </w:rPr>
              <w:t>Su propio follaje y sus propios frutos (</w:t>
            </w:r>
            <w:r>
              <w:rPr>
                <w:rFonts w:ascii="Segoe UI" w:hAnsi="Segoe UI" w:eastAsia="Segoe UI" w:cs="Segoe UI"/>
                <w:color w:val="1F1D1A"/>
                <w:sz w:val="18"/>
              </w:rPr>
              <w:t>8</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Los frutos se miden; el follaje se pregunta (</w:t>
            </w:r>
            <w:r>
              <w:rPr>
                <w:rFonts w:ascii="Segoe UI" w:hAnsi="Segoe UI" w:eastAsia="Segoe UI" w:cs="Segoe UI"/>
                <w:color w:val="1F1D1A"/>
                <w:sz w:val="18"/>
              </w:rPr>
              <w:t>10</w:t>
            </w:r>
            <w:r>
              <w:rPr>
                <w:rFonts w:ascii="Segoe UI" w:hAnsi="Segoe UI" w:eastAsia="Segoe UI" w:cs="Segoe UI"/>
                <w:color w:val="1F1D1A"/>
                <w:sz w:val="18"/>
              </w:rPr>
              <w:t>)</w:t>
            </w:r>
          </w:p>
        </w:tc>
      </w:tr>
    </w:tbl>
    <w:p>
      <w:pPr>
        <w:spacing w:after="80"/>
      </w:pPr>
    </w:p>
    <w:p>
      <w:r>
        <w:t>[04g, 2.2; 04h, 3.1]</w:t>
      </w:r>
    </w:p>
    <w:p>
      <w:r>
        <w:rPr>
          <w:b/>
        </w:rPr>
        <w:t>El follaje no es el fruto.</w:t>
      </w:r>
      <w:r>
        <w:t xml:space="preserve"> El Evangelio avisa de que la apariencia engaña y de que la prueba es el fruto: «guardaos de los falsos profetas, que vienen á vosotros con vestidos de ovejas, mas de dentro son lobos rapaces. Por sus frutos los conoceréis»</w:t>
      </w:r>
      <w:r>
        <w:t xml:space="preserve"> (Mt 7:15-16)</w:t>
      </w:r>
      <w:r>
        <w:br/>
      </w:r>
      <w:r>
        <w:rPr>
          <w:b/>
        </w:rPr>
        <w:t>leída en su fuente · Mt 7:15-16</w:t>
      </w:r>
      <w:r>
        <w:br/>
      </w:r>
      <w:r>
        <w:rPr>
          <w:b/>
        </w:rPr>
        <w:t>Original donde está:</w:t>
      </w:r>
      <w:r>
        <w:t xml:space="preserve"> spaRV1909_texto_corrido.txt</w:t>
      </w:r>
      <w:r>
        <w:br/>
      </w:r>
      <w:r>
        <w:t>El pasaje literal no está en el archivo de pasajes con este comienzo; la auditoría lo halló en ese original.</w:t>
      </w:r>
      <w:r>
        <w:t>; «todo buen árbol lleva buenos frutos; mas el árbol maleado lleva malos frutos»</w:t>
      </w:r>
      <w:r>
        <w:t xml:space="preserve"> (Mt 7:17)</w:t>
      </w:r>
      <w:r>
        <w:br/>
      </w:r>
      <w:r>
        <w:rPr>
          <w:b/>
        </w:rPr>
        <w:t>leída en su fuente · Mt 7:17</w:t>
      </w:r>
      <w:r>
        <w:br/>
      </w:r>
      <w:r>
        <w:rPr>
          <w:b/>
        </w:rPr>
        <w:t>Archivo leído:</w:t>
      </w:r>
      <w:r>
        <w:t xml:space="preserve"> mt_7_17-18_rva.html; mt_7_17-18_rvr1960.html (c9h\mt_7_17-18_rva.html) · contraste del archivo de pasajes: ✔</w:t>
      </w:r>
      <w:r>
        <w:br/>
      </w:r>
      <w:r>
        <w:rPr>
          <w:b/>
        </w:rPr>
        <w:t>Lugar:</w:t>
      </w:r>
      <w:r>
        <w:t xml:space="preserve"> RVA, v. 17</w:t>
      </w:r>
      <w:r>
        <w:br/>
      </w:r>
      <w:r>
        <w:rPr>
          <w:b/>
        </w:rPr>
        <w:t>Dirección:</w:t>
      </w:r>
      <w:r>
        <w:t xml:space="preserve"> </w:t>
      </w:r>
      <w:r>
        <w:t>https://www.biblegateway.com/passage/?search=Matthew+7%3A17-18&amp;version=RVA</w:t>
      </w:r>
      <w:r>
        <w:t xml:space="preserve"> ; </w:t>
      </w:r>
      <w:r>
        <w:t>…&amp;version=RVR1960</w:t>
      </w:r>
      <w:r>
        <w:br/>
      </w:r>
      <w:r>
        <w:rPr>
          <w:b/>
        </w:rPr>
        <w:t>Tal como está en la fuente:</w:t>
      </w:r>
      <w:r>
        <w:t xml:space="preserve"> Así, todo buen árbol lleva buenos frutos; mas el árbol maleado lleva malos frutos.</w:t>
      </w:r>
      <w:r>
        <w:t>. El Daodejing dice lo mismo del hombre grande: «se queda con el fruto y no con la flor»</w:t>
      </w:r>
      <w:r>
        <w:t xml:space="preserve"> [original: «dwells with the fruit and not with the flower», en la traducción inglesa de Legge]</w:t>
      </w:r>
      <w:r>
        <w:t xml:space="preserve"> (Daodejing 38, en la traducción de James Legge, Sacred Books of the East, vol. 39)</w:t>
      </w:r>
      <w:r>
        <w:br/>
      </w:r>
      <w:r>
        <w:rPr>
          <w:b/>
        </w:rPr>
        <w:t>leída en su fuente · Daodejing 38, en la traducción de James Legge, Sacred Books of the East, vol. 39</w:t>
      </w:r>
      <w:r>
        <w:br/>
      </w:r>
      <w:r>
        <w:rPr>
          <w:b/>
        </w:rPr>
        <w:t>Archivo leído:</w:t>
      </w:r>
      <w:r>
        <w:t xml:space="preserve"> laozi_legge_gutenberg_216.txt (c9h\laozi_legge_gutenberg_216.txt) · contraste del archivo de pasajes: ✔</w:t>
      </w:r>
      <w:r>
        <w:br/>
      </w:r>
      <w:r>
        <w:rPr>
          <w:b/>
        </w:rPr>
        <w:t>Lugar:</w:t>
      </w:r>
      <w:r>
        <w:t xml:space="preserve"> Daodejing 38, en la traducción de James Legge, Sacred Books of the East, vol. 39</w:t>
      </w:r>
      <w:r>
        <w:br/>
      </w:r>
      <w:r>
        <w:rPr>
          <w:b/>
        </w:rPr>
        <w:t>Tal como está en la fuente:</w:t>
      </w:r>
      <w:r>
        <w:t xml:space="preserve"> dwells with the fruit and not with the flower</w:t>
      </w:r>
      <w:r>
        <w:t>. Por eso los frutos se miden con datos (</w:t>
      </w:r>
      <w:r>
        <w:t>8</w:t>
      </w:r>
      <w:r>
        <w:t xml:space="preserve">) y el follaje, lo que se siente al vivir en un árbol, se pregunta y no se afirma: es la brújula, que se explica al cerrar el </w:t>
      </w:r>
      <w:r>
        <w:t>capítulo 10</w:t>
      </w:r>
      <w:r>
        <w:t xml:space="preserve">. </w:t>
      </w:r>
      <w:r>
        <w:t>[Mt 7:15-18, Reina-Valera Antigua; Daodejing 38, extracto comprobado el 8-oct; 04g, 2.2; fila 16 de 04p]</w:t>
      </w:r>
    </w:p>
    <w:p>
      <w:r>
        <w:rPr>
          <w:b/>
        </w:rPr>
        <w:t>Dónde se tuerce un árbol: siete gestos, en dos familias.</w:t>
      </w:r>
      <w:r>
        <w:t xml:space="preserve"> El conflicto no está en tener leyes, sino en cómo se convence y en qué hace quien manda con el título que consiguió así. Los textos del Génesis y los demás que se leyeron dan siete gestos (los textos, en </w:t>
      </w:r>
      <w:r>
        <w:t>1.9</w:t>
      </w:r>
      <w:r>
        <w:t xml:space="preserve">, </w:t>
      </w:r>
      <w:r>
        <w:t>4.2</w:t>
      </w:r>
      <w:r>
        <w:t xml:space="preserve"> y </w:t>
      </w:r>
      <w:r>
        <w:t>4.3</w:t>
      </w:r>
      <w:r>
        <w:t>; aquí, su lista):</w:t>
      </w:r>
    </w:p>
    <w:p>
      <w:pPr>
        <w:pStyle w:val="ListBullet"/>
      </w:pPr>
      <w:r>
        <w:rPr>
          <w:b/>
        </w:rPr>
        <w:t>Cómo se convence:</w:t>
      </w:r>
      <w:r>
        <w:t xml:space="preserve"> 1. falsear la información: citar mal la orden y negar la consecuencia sin dato (es lo que el </w:t>
      </w:r>
      <w:r>
        <w:t>capítulo 5</w:t>
      </w:r>
      <w:r>
        <w:t xml:space="preserve"> llama presunción); 2. atribuir un motivo a quien ordena, sin poder comprobarlo; 3. prometer lo que no es suyo: «seréis como dioses»</w:t>
      </w:r>
      <w:r>
        <w:t xml:space="preserve"> (Gn 3:5)</w:t>
      </w:r>
      <w:r>
        <w:t>, «Todo esto te daré»</w:t>
      </w:r>
      <w:r>
        <w:t xml:space="preserve"> (Mt 4:9)</w:t>
      </w:r>
      <w:r>
        <w:t xml:space="preserve"> (la prueba de una pregunta, </w:t>
      </w:r>
      <w:r>
        <w:t>1.9</w:t>
      </w:r>
      <w:r>
        <w:t>); 4. mover por el deseo y la apariencia, no por la comprobación.</w:t>
      </w:r>
    </w:p>
    <w:p>
      <w:pPr>
        <w:pStyle w:val="ListBullet"/>
      </w:pPr>
      <w:r>
        <w:rPr>
          <w:b/>
        </w:rPr>
        <w:t>Qué hace quien manda:</w:t>
      </w:r>
      <w:r>
        <w:t xml:space="preserve"> 5. cortarse de lo recibido; 6. ponerse por encima; 7. ser juez en su propia causa: quien legisla gana con lo que manda (</w:t>
      </w:r>
      <w:r>
        <w:t>1.7</w:t>
      </w:r>
      <w:r>
        <w:t>).</w:t>
      </w:r>
    </w:p>
    <w:p>
      <w:r>
        <w:t xml:space="preserve">Los cuatro primeros son el mecanismo por el que se consiente sin información; los tres últimos, lo que hace con el título quien lo obtuvo así. El </w:t>
      </w:r>
      <w:r>
        <w:t>capítulo 5</w:t>
      </w:r>
      <w:r>
        <w:t xml:space="preserve"> (las presunciones) y el 6 (cómo se construyó el Estado) son, en pequeño, los mismos pasos. </w:t>
      </w:r>
      <w:r>
        <w:t>[04g, 2.3; 04h, 3.2; Reina-Valera Antigua]</w:t>
      </w:r>
    </w:p>
    <w:p>
      <w:r>
        <w:rPr>
          <w:b/>
        </w:rPr>
        <w:t>El camino de vuelta.</w:t>
      </w:r>
      <w:r>
        <w:t xml:space="preserve"> Cada gesto que tuerce el árbol tiene su vuelta, y la obra ya la tiene escrita. Cada tramo va en cuatro pasos: </w:t>
      </w:r>
      <w:r>
        <w:rPr>
          <w:b/>
        </w:rPr>
        <w:t>la rama seca</w:t>
      </w:r>
      <w:r>
        <w:t xml:space="preserve">, que es el gesto y lo que los capítulos dicen que hay que podar; </w:t>
      </w:r>
      <w:r>
        <w:rPr>
          <w:b/>
        </w:rPr>
        <w:t>la pesa</w:t>
      </w:r>
      <w:r>
        <w:t xml:space="preserve"> que la mide, la misma de toda la obra: ¿roca o arena?, y, por sus frutos, ¿sirve más allá de sí, se sirve, o no cuida ni cumple? (</w:t>
      </w:r>
      <w:r>
        <w:t>0.5</w:t>
      </w:r>
      <w:r>
        <w:t xml:space="preserve">); </w:t>
      </w:r>
      <w:r>
        <w:rPr>
          <w:b/>
        </w:rPr>
        <w:t>lo recibido</w:t>
      </w:r>
      <w:r>
        <w:t xml:space="preserve"> que la sana: el Arca (</w:t>
      </w:r>
      <w:r>
        <w:t>3</w:t>
      </w:r>
      <w:r>
        <w:t>), con sus textos (F), y lo que se dio, se perdió y por dónde se vuelve (</w:t>
      </w:r>
      <w:r>
        <w:t>3.7</w:t>
      </w:r>
      <w:r>
        <w:t xml:space="preserve"> y </w:t>
      </w:r>
      <w:r>
        <w:t>F.9</w:t>
      </w:r>
      <w:r>
        <w:t xml:space="preserve">); y </w:t>
      </w:r>
      <w:r>
        <w:rPr>
          <w:b/>
        </w:rPr>
        <w:t>la puerta de la ley</w:t>
      </w:r>
      <w:r>
        <w:t xml:space="preserve"> por la que se vuelve (</w:t>
      </w:r>
      <w:r>
        <w:t>10</w:t>
      </w:r>
      <w:r>
        <w:t>). Sin la puerta, volver se oiría como salirse de la ley; con ella, se vuelve por la ley que ya existe. El camino no lo anda nadie por otro (</w:t>
      </w:r>
      <w:r>
        <w:t>3.7</w:t>
      </w:r>
      <w:r>
        <w:t>).</w:t>
      </w:r>
    </w:p>
    <w:p>
      <w:pPr>
        <w:spacing w:after="60"/>
        <w:ind w:left="510" w:hanging="397"/>
      </w:pPr>
      <w:r>
        <w:rPr>
          <w:b w:val="0"/>
        </w:rPr>
        <w:t xml:space="preserve">1. </w:t>
      </w:r>
      <w:r>
        <w:rPr>
          <w:b/>
        </w:rPr>
        <w:t>Falsear la información.</w:t>
      </w:r>
      <w:r>
        <w:t xml:space="preserve"> La rama seca: dar por cierto lo que no tiene documento, la presunción (</w:t>
      </w:r>
      <w:r>
        <w:t>0.4</w:t>
      </w:r>
      <w:r>
        <w:t xml:space="preserve">), y, en el </w:t>
      </w:r>
      <w:r>
        <w:t>capítulo 5</w:t>
      </w:r>
      <w:r>
        <w:t>, la presunción en el lugar del consentimiento. La pesa: ¿roca o arena? Lo recibido: las pesas y medidas justas (</w:t>
      </w:r>
      <w:r>
        <w:t>3.2</w:t>
      </w:r>
      <w:r>
        <w:t>, P4). La puerta: pedir por escrito la norma y la resolución que amparan lo que se exige, y que quede constancia (</w:t>
      </w:r>
      <w:r>
        <w:t>10.4</w:t>
      </w:r>
      <w:r>
        <w:t>).</w:t>
      </w:r>
    </w:p>
    <w:p>
      <w:pPr>
        <w:spacing w:after="60"/>
        <w:ind w:left="510" w:hanging="397"/>
      </w:pPr>
      <w:r>
        <w:rPr>
          <w:b w:val="0"/>
        </w:rPr>
        <w:t xml:space="preserve">2. </w:t>
      </w:r>
      <w:r>
        <w:rPr>
          <w:b/>
        </w:rPr>
        <w:t>Atribuir un motivo a quien ordena, sin poder comprobarlo.</w:t>
      </w:r>
      <w:r>
        <w:t xml:space="preserve"> La rama seca: el gesto mismo, juzgar la intención. La pesa: se pesan cosas, nunca personas ni intenciones (</w:t>
      </w:r>
      <w:r>
        <w:t>J.7</w:t>
      </w:r>
      <w:r>
        <w:t>). Lo recibido: examinar antes de castigar (</w:t>
      </w:r>
      <w:r>
        <w:t>3.2</w:t>
      </w:r>
      <w:r>
        <w:t>, P7). La puerta: la responsabilidad se establece por acto y con fuente, nunca por pertenecer a un colectivo (</w:t>
      </w:r>
      <w:r>
        <w:t>10.3</w:t>
      </w:r>
      <w:r>
        <w:t>).</w:t>
      </w:r>
    </w:p>
    <w:p>
      <w:pPr>
        <w:spacing w:after="60"/>
        <w:ind w:left="510" w:hanging="397"/>
      </w:pPr>
      <w:r>
        <w:rPr>
          <w:b w:val="0"/>
        </w:rPr>
        <w:t xml:space="preserve">3. </w:t>
      </w:r>
      <w:r>
        <w:rPr>
          <w:b/>
        </w:rPr>
        <w:t>Prometer lo que no es suyo.</w:t>
      </w:r>
      <w:r>
        <w:t xml:space="preserve"> La rama seca: el gesto mismo, prometer ser como dioses (Gn 3:5, arriba). La pesa: ¿roca o arena?, con la prueba de una pregunta (</w:t>
      </w:r>
      <w:r>
        <w:t>1.9</w:t>
      </w:r>
      <w:r>
        <w:t>). Lo recibido: devolver lo confiado (</w:t>
      </w:r>
      <w:r>
        <w:t>3.2</w:t>
      </w:r>
      <w:r>
        <w:t>, P5). La puerta: la pregunta por escrito, que deja constancia de lo que se responde y de lo que se calla (</w:t>
      </w:r>
      <w:r>
        <w:t>10.4</w:t>
      </w:r>
      <w:r>
        <w:t>).</w:t>
      </w:r>
    </w:p>
    <w:p>
      <w:pPr>
        <w:spacing w:after="60"/>
        <w:ind w:left="510" w:hanging="397"/>
      </w:pPr>
      <w:r>
        <w:rPr>
          <w:b w:val="0"/>
        </w:rPr>
        <w:t xml:space="preserve">4. </w:t>
      </w:r>
      <w:r>
        <w:rPr>
          <w:b/>
        </w:rPr>
        <w:t>Mover por el deseo y la apariencia.</w:t>
      </w:r>
      <w:r>
        <w:t xml:space="preserve"> La rama seca: lo que el </w:t>
      </w:r>
      <w:r>
        <w:t>capítulo 7</w:t>
      </w:r>
      <w:r>
        <w:t xml:space="preserve"> manda podar, dar por cumplido lo que solo está escrito, la forma que conserva el nombre y pierde la sustancia. La pesa: por sus frutos. Lo recibido: el fruto y no la flor (arriba: Mt 7:16; Daodejing 38). La puerta: el Registro de los frutos (</w:t>
      </w:r>
      <w:r>
        <w:t>10.8</w:t>
      </w:r>
      <w:r>
        <w:t>) y la brújula, que pregunta por el follaje sin darlo por prueba (</w:t>
      </w:r>
      <w:r>
        <w:t>10.9</w:t>
      </w:r>
      <w:r>
        <w:t>).</w:t>
      </w:r>
    </w:p>
    <w:p>
      <w:pPr>
        <w:spacing w:after="60"/>
        <w:ind w:left="510" w:hanging="397"/>
      </w:pPr>
      <w:r>
        <w:rPr>
          <w:b w:val="0"/>
        </w:rPr>
        <w:t xml:space="preserve">5. </w:t>
      </w:r>
      <w:r>
        <w:rPr>
          <w:b/>
        </w:rPr>
        <w:t>Cortarse de lo recibido.</w:t>
      </w:r>
      <w:r>
        <w:t xml:space="preserve"> La rama seca: lo que el </w:t>
      </w:r>
      <w:r>
        <w:t>capítulo 1</w:t>
      </w:r>
      <w:r>
        <w:t xml:space="preserve"> manda podar, el orden invertido, que pone la ley que escriben los hombres en el lugar de la ley de Dios; y lo que el </w:t>
      </w:r>
      <w:r>
        <w:t>capítulo 2</w:t>
      </w:r>
      <w:r>
        <w:t>, la creencia de que los derechos de la persona los da la ley. La pesa: ¿sirve más allá de sí? Lo recibido: volver a lo que se dio, que es el camino de vuelta que nombran diez tradiciones (</w:t>
      </w:r>
      <w:r>
        <w:t>3.7</w:t>
      </w:r>
      <w:r>
        <w:t>). La puerta: la metamorfosis, que el Estado se alinee con la ley que está por encima de la suya (</w:t>
      </w:r>
      <w:r>
        <w:t>10.2</w:t>
      </w:r>
      <w:r>
        <w:t>).</w:t>
      </w:r>
    </w:p>
    <w:p>
      <w:pPr>
        <w:spacing w:after="60"/>
        <w:ind w:left="510" w:hanging="397"/>
      </w:pPr>
      <w:r>
        <w:rPr>
          <w:b w:val="0"/>
        </w:rPr>
        <w:t xml:space="preserve">6. </w:t>
      </w:r>
      <w:r>
        <w:rPr>
          <w:b/>
        </w:rPr>
        <w:t>Ponerse por encima.</w:t>
      </w:r>
      <w:r>
        <w:t xml:space="preserve"> La rama seca: lo que el </w:t>
      </w:r>
      <w:r>
        <w:t>capítulo 6</w:t>
      </w:r>
      <w:r>
        <w:t xml:space="preserve"> manda podar, el poder que se declara el único intérprete del bien y deja de admitir corrección; y lo que el </w:t>
      </w:r>
      <w:r>
        <w:t>capítulo 9</w:t>
      </w:r>
      <w:r>
        <w:t>, la regla que aplica a cualquier empresa y no se aplica a sí mismo. La pesa: ¿sirve, o se sirve? Lo recibido: el gobernante existe para el pueblo (</w:t>
      </w:r>
      <w:r>
        <w:t>3.2</w:t>
      </w:r>
      <w:r>
        <w:t>, P1), con el hilo del Arca, servir (</w:t>
      </w:r>
      <w:r>
        <w:t>3.6</w:t>
      </w:r>
      <w:r>
        <w:t>). La puerta: un Estado que sirva al pueblo (</w:t>
      </w:r>
      <w:r>
        <w:t>10.1</w:t>
      </w:r>
      <w:r>
        <w:t>).</w:t>
      </w:r>
    </w:p>
    <w:p>
      <w:pPr>
        <w:spacing w:after="60"/>
        <w:ind w:left="510" w:hanging="397"/>
      </w:pPr>
      <w:r>
        <w:rPr>
          <w:b w:val="0"/>
        </w:rPr>
        <w:t xml:space="preserve">7. </w:t>
      </w:r>
      <w:r>
        <w:rPr>
          <w:b/>
        </w:rPr>
        <w:t>Ser juez en su propia causa.</w:t>
      </w:r>
      <w:r>
        <w:t xml:space="preserve"> La rama seca: lo que el </w:t>
      </w:r>
      <w:r>
        <w:t>capítulo 1</w:t>
      </w:r>
      <w:r>
        <w:t xml:space="preserve"> manda podar, la autoridad que se ejerce siendo juez en su propia causa: quien legisla gana con lo que manda (</w:t>
      </w:r>
      <w:r>
        <w:t>1.7</w:t>
      </w:r>
      <w:r>
        <w:t>). La pesa: vale también para quien pesa (</w:t>
      </w:r>
      <w:r>
        <w:t>0.5</w:t>
      </w:r>
      <w:r>
        <w:t>). Lo recibido: el castigo no es un negocio, y contra el soborno (</w:t>
      </w:r>
      <w:r>
        <w:t>3.2</w:t>
      </w:r>
      <w:r>
        <w:t>, P8). La puerta: el deslinde, con las dos partes presentes (</w:t>
      </w:r>
      <w:r>
        <w:t>10.7</w:t>
      </w:r>
      <w:r>
        <w:t>), y el jurado, ante el que la institución juzgada también puede recusar (</w:t>
      </w:r>
      <w:r>
        <w:t>11.1</w:t>
      </w:r>
      <w:r>
        <w:t>).</w:t>
      </w:r>
    </w:p>
    <w:p>
      <w:r>
        <w:t>[parlamento de la balanza (08/22), apartados 12.2 y 12.4; parlamento 08/23, apartado 10; borrador B18; sin dato nuevo]</w:t>
      </w:r>
    </w:p>
    <w:p>
      <w:r>
        <w:rPr>
          <w:b/>
        </w:rPr>
        <w:t>Tres cosas que esta imagen no dice.</w:t>
      </w:r>
      <w:r>
        <w:t xml:space="preserve"> No dice que el Estado sea el árbol torcido: de los 169 artículos de la Constitución, 93 se cumplen (</w:t>
      </w:r>
      <w:r>
        <w:t>7.1</w:t>
      </w:r>
      <w:r>
        <w:t>); las ramas de un mismo árbol caen de un lado o de otro, y la propia obra lo dice. Y no dice que quien tuerce lo haga con mala fe: la autoridad que nace de una necesidad real y se paga con una función la cuentan varias tradiciones (</w:t>
      </w:r>
      <w:r>
        <w:t>1.9</w:t>
      </w:r>
      <w:r>
        <w:t>), y la intención de nadie es dato de esta obra (</w:t>
      </w:r>
      <w:r>
        <w:t>0.3</w:t>
      </w:r>
      <w:r>
        <w:t>). Y no sitúa a nadie: enseña el terreno, lo recibido y las puertas, pero dónde está cada uno lo mira cada uno, y la respuesta es suya (</w:t>
      </w:r>
      <w:r>
        <w:t>10.9</w:t>
      </w:r>
      <w:r>
        <w:t xml:space="preserve">). </w:t>
      </w:r>
      <w:r>
        <w:t>[04g, 2.4; 04h, 3.1]</w:t>
      </w:r>
    </w:p>
    <w:p>
      <w:pPr>
        <w:pStyle w:val="Heading2"/>
      </w:pPr>
      <w:r>
        <w:t>J.2 El centro: quién lo pone y cómo se escribe</w:t>
      </w:r>
    </w:p>
    <w:p>
      <w:pPr>
        <w:pBdr>
          <w:left w:val="single" w:sz="24" w:space="6" w:color="E2DED6"/>
        </w:pBdr>
        <w:shd w:val="clear" w:color="auto" w:fill="F1EEE8"/>
        <w:spacing w:before="80" w:after="160"/>
        <w:ind w:left="142" w:right="142"/>
      </w:pPr>
      <w:r>
        <w:rPr>
          <w:b/>
        </w:rPr>
        <w:t>La idea: el centro no lo pone quien mide. Lo ponen la ley de Dios y la ley natural, por convergencia, y se escribe antes de mirar los datos.</w:t>
      </w:r>
    </w:p>
    <w:p>
      <w:r>
        <w:rPr>
          <w:b/>
        </w:rPr>
        <w:t>Quién lo pone.</w:t>
      </w:r>
      <w:r>
        <w:t xml:space="preserve"> Solo las dos leyes de arriba tienen autoridad original (</w:t>
      </w:r>
      <w:r>
        <w:t>1.9</w:t>
      </w:r>
      <w:r>
        <w:t>); por eso solo ellas pueden poner el centro. Lo que lo pone no es la opinión de nadie, sino lo que converge en tradiciones sin contacto documentado y pasa la vara (</w:t>
      </w:r>
      <w:r>
        <w:t>0.5</w:t>
      </w:r>
      <w:r>
        <w:t>). La lista corta de lo que pone el centro ya está escrita: son los nueve principios del Arca (</w:t>
      </w:r>
      <w:r>
        <w:t>3.2</w:t>
      </w:r>
      <w:r>
        <w:t xml:space="preserve">), cada uno con sus patas y su pata coja. </w:t>
      </w:r>
      <w:r>
        <w:t>[04d, matiz 7; 04o, «Matiz 7»; 04h, 3.3]</w:t>
      </w:r>
    </w:p>
    <w:p>
      <w:r>
        <w:rPr>
          <w:b/>
        </w:rPr>
        <w:t>Cómo se escribe.</w:t>
      </w:r>
      <w:r>
        <w:t xml:space="preserve"> Antes de medir, no después. Es la regla de la vara: «la vara va antes de los datos» (</w:t>
      </w:r>
      <w:r>
        <w:t>0.5</w:t>
      </w:r>
      <w:r>
        <w:t xml:space="preserve">). Si el centro se escribiera después de mirar los datos, se movería para que encajara con lo medido, y el dial sería una opinión con forma de cifra. Y cada verdad que pone el centro se escribe con sus condiciones: dónde, cuándo y quién la observa, para que cualquier observador pueda contrastarla. Lo que parece obvio descansa a veces en condiciones no dichas; dichas, deja de ser presunción. </w:t>
      </w:r>
      <w:r>
        <w:t>[04c, apartado 4, «Las capas de la presunción»; libreta 78, condición 2; 04g, 5.1]</w:t>
      </w:r>
    </w:p>
    <w:p>
      <w:r>
        <w:rPr>
          <w:b/>
        </w:rPr>
        <w:t>Lo que no se puede decir.</w:t>
      </w:r>
      <w:r>
        <w:t xml:space="preserve"> Que el centro sea «de Dios» en último término no se comprueba; lo comprobable es que no tiene autor interesado, que converge y que pasa la vara (</w:t>
      </w:r>
      <w:r>
        <w:t>1.9</w:t>
      </w:r>
      <w:r>
        <w:t>). Y «bien común» necesita una definición escrita antes de medir: la obra la toma de la clasificación de la auditoría (</w:t>
      </w:r>
      <w:r>
        <w:t>7.4</w:t>
      </w:r>
      <w:r>
        <w:t xml:space="preserve">), lo que afecta al ciudadano en su vida diaria frente a lo que organiza al poder. </w:t>
      </w:r>
      <w:r>
        <w:t>[04c, apartado 5; libreta 78, condición 2]</w:t>
      </w:r>
    </w:p>
    <w:p>
      <w:pPr>
        <w:pStyle w:val="Heading2"/>
      </w:pPr>
      <w:r>
        <w:t>J.3 El dial</w:t>
      </w:r>
    </w:p>
    <w:p>
      <w:pPr>
        <w:pBdr>
          <w:left w:val="single" w:sz="24" w:space="6" w:color="E2DED6"/>
        </w:pBdr>
        <w:shd w:val="clear" w:color="auto" w:fill="F1EEE8"/>
        <w:spacing w:before="80" w:after="160"/>
        <w:ind w:left="142" w:right="142"/>
      </w:pPr>
      <w:r>
        <w:rPr>
          <w:b/>
        </w:rPr>
        <w:t>La idea: el dial mide una conducta entre dos vicios, uno por defecto y otro por exceso, con la virtud en el centro. El dial maestro del Estado es «servir»: a la izquierda, no cuida ni cumple; a la derecha, se sirve.</w:t>
      </w:r>
    </w:p>
    <w:p>
      <w:r>
        <w:rPr>
          <w:b/>
        </w:rPr>
        <w:t>Dos vicios y un centro.</w:t>
      </w:r>
      <w:r>
        <w:t xml:space="preserve"> Para quien lo midió con más cuidado, la virtud no está entre el bien y el mal, sino entre dos males: «un término medio entre dos vicios: uno por exceso y otro por defecto» (anexo del 4.3, con Aristóteles). El dial es esa idea hecha instrumento: una línea con el </w:t>
      </w:r>
      <w:r>
        <w:rPr>
          <w:b/>
        </w:rPr>
        <w:t>defecto a la izquierda</w:t>
      </w:r>
      <w:r>
        <w:t xml:space="preserve">, el </w:t>
      </w:r>
      <w:r>
        <w:rPr>
          <w:b/>
        </w:rPr>
        <w:t>exceso a la derecha</w:t>
      </w:r>
      <w:r>
        <w:t xml:space="preserve"> y la </w:t>
      </w:r>
      <w:r>
        <w:rPr>
          <w:b/>
        </w:rPr>
        <w:t>medida justa en el centro</w:t>
      </w:r>
      <w:r>
        <w:t>. Y como lo que se hace una y otra vez forma a quien lo hace (</w:t>
      </w:r>
      <w:r>
        <w:t>4.4</w:t>
      </w:r>
      <w:r>
        <w:t xml:space="preserve">), lo que mueve el dial es lo que se repite. </w:t>
      </w:r>
      <w:r>
        <w:t>[anexo del 4.3; 4.4; 04n Q10: Kiko, 8-oct, «sí»; 04o: defecto a la izquierda, exceso a la derecha]</w:t>
      </w:r>
    </w:p>
    <w:p>
      <w:r>
        <w:rPr>
          <w:b/>
        </w:rPr>
        <w:t>¿Solo Aristóteles?</w:t>
      </w:r>
      <w:r>
        <w:t xml:space="preserve"> No. La obra buscó la misma figura, dos excesos y un medio, en otras tradiciones, y la encontró en seis (los pasajes se leyeron en sus archivos):</w:t>
      </w:r>
    </w:p>
    <w:p>
      <w:pPr>
        <w:pStyle w:val="ListBullet"/>
      </w:pPr>
      <w:r>
        <w:rPr>
          <w:b/>
        </w:rPr>
        <w:t>Israel.</w:t>
      </w:r>
      <w:r>
        <w:t xml:space="preserve"> El proverbio de Agur pide: «No me des pobreza ni riquezas; manténme del pan que he menester»</w:t>
      </w:r>
      <w:r>
        <w:t xml:space="preserve"> (Prov 30:8)</w:t>
      </w:r>
      <w:r>
        <w:br/>
      </w:r>
      <w:r>
        <w:rPr>
          <w:b/>
        </w:rPr>
        <w:t>leída en su fuente · Prov 30:8</w:t>
      </w:r>
      <w:r>
        <w:br/>
      </w:r>
      <w:r>
        <w:rPr>
          <w:b/>
        </w:rPr>
        <w:t>Original donde está:</w:t>
      </w:r>
      <w:r>
        <w:t xml:space="preserve"> spaRV1909_vpl.txt</w:t>
      </w:r>
      <w:r>
        <w:br/>
      </w:r>
      <w:r>
        <w:t>El pasaje literal no está en el archivo de pasajes con este comienzo; la auditoría lo halló en ese original.</w:t>
      </w:r>
      <w:r>
        <w:t>, porque en la abundancia podría negar a Dios y en la pobreza, robar</w:t>
      </w:r>
      <w:r>
        <w:t xml:space="preserve"> (Prov 30:9)</w:t>
      </w:r>
      <w:r>
        <w:t>.</w:t>
      </w:r>
    </w:p>
    <w:p>
      <w:pPr>
        <w:pStyle w:val="ListBullet"/>
      </w:pPr>
      <w:r>
        <w:rPr>
          <w:b/>
        </w:rPr>
        <w:t>El islam.</w:t>
      </w:r>
      <w:r>
        <w:t xml:space="preserve"> Los fieles «cuando gastan, no lo hacen con prodigalidad ni con tacañería, -el término medio es lo justo-»</w:t>
      </w:r>
      <w:r>
        <w:t xml:space="preserve"> [original: «وَٱلَّذِينَ إِذَآ أَنفَقُوا۟ لَمْ يُسْرِفُوا۟ وَلَمْ يَقْتُرُوا۟ وَكَانَ بَيْنَ ذَٰلِكَ قَوَامًۭا»]</w:t>
      </w:r>
      <w:r>
        <w:t xml:space="preserve"> (Corán 25:67, traducción de Julio Cortés; fuente secundaria)</w:t>
      </w:r>
      <w:r>
        <w:br/>
      </w:r>
      <w:r>
        <w:rPr>
          <w:b/>
        </w:rPr>
        <w:t>leída en su fuente · Corán 25:67, traducción de Julio Cortés; fuente secundaria</w:t>
      </w:r>
      <w:r>
        <w:br/>
      </w:r>
      <w:r>
        <w:rPr>
          <w:b/>
        </w:rPr>
        <w:t>Original donde está:</w:t>
      </w:r>
      <w:r>
        <w:t xml:space="preserve"> coran_arabe_tanzil_uthmani_texto_corrido.txt</w:t>
      </w:r>
      <w:r>
        <w:br/>
      </w:r>
      <w:r>
        <w:t>El pasaje literal no está en el archivo de pasajes con este comienzo; la auditoría lo halló en ese original.</w:t>
      </w:r>
      <w:r>
        <w:t>.</w:t>
      </w:r>
    </w:p>
    <w:p>
      <w:pPr>
        <w:pStyle w:val="ListBullet"/>
      </w:pPr>
      <w:r>
        <w:rPr>
          <w:b/>
        </w:rPr>
        <w:t>La India.</w:t>
      </w:r>
      <w:r>
        <w:t xml:space="preserve"> «La religión no es de quien ayuna demasiado ni de quien come demasiado, ni de quien duerme con la mente ociosa, ni de quien gasta sus fuerzas en vigilias», sino de quien es «moderado al comer, al descansar y en el juego; medido en deseo y en acción»</w:t>
      </w:r>
      <w:r>
        <w:t xml:space="preserve"> [original: «Religion is not his who too much fasts Or too much feasts, nor his who sleeps away An idle mind; nor his who wears to waste His strength in vigils.»; «where one is moderate In eating and in resting, and in sport; Measured in wish and act», en la traducción inglesa de Edwin Arnold]</w:t>
      </w:r>
      <w:r>
        <w:t xml:space="preserve"> (Bhagavad Gita 6:16-17)</w:t>
      </w:r>
      <w:r>
        <w:br/>
      </w:r>
      <w:r>
        <w:rPr>
          <w:b/>
        </w:rPr>
        <w:t>leída en su fuente · Bhagavad Gita 6:16-17</w:t>
      </w:r>
      <w:r>
        <w:br/>
      </w:r>
      <w:r>
        <w:rPr>
          <w:b/>
        </w:rPr>
        <w:t>Archivo leído:</w:t>
      </w:r>
      <w:r>
        <w:t xml:space="preserve"> pg2388.txt (cierre_B3_B4_9oct\gita_arnold_gutenberg\pg2388.txt) · contraste del archivo de pasajes: ✔</w:t>
      </w:r>
      <w:r>
        <w:br/>
      </w:r>
      <w:r>
        <w:rPr>
          <w:b/>
        </w:rPr>
        <w:t>Lugar:</w:t>
      </w:r>
      <w:r>
        <w:t xml:space="preserve"> Bhagavad Gita 6:16-17</w:t>
      </w:r>
      <w:r>
        <w:br/>
      </w:r>
      <w:r>
        <w:rPr>
          <w:b/>
        </w:rPr>
        <w:t>Tal como está en la fuente:</w:t>
      </w:r>
      <w:r>
        <w:t xml:space="preserve"> Religion is not his who too much fasts Or too much feasts, nor his who sleeps away An idle mind; nor his who wears to waste His strength in vigils.</w:t>
      </w:r>
      <w:r>
        <w:t>.</w:t>
      </w:r>
    </w:p>
    <w:p>
      <w:pPr>
        <w:pStyle w:val="ListBullet"/>
      </w:pPr>
      <w:r>
        <w:rPr>
          <w:b/>
        </w:rPr>
        <w:t>China.</w:t>
      </w:r>
      <w:r>
        <w:t xml:space="preserve"> El sabio Shun «tomó los dos extremos de ellas [las opiniones], determinó el Medio y lo empleó en su gobierno del pueblo»</w:t>
      </w:r>
      <w:r>
        <w:t xml:space="preserve"> [original: «He took hold of their two extremes, determined the Mean, and employed it in his government of the people.», en la traducción inglesa de James Legge]</w:t>
      </w:r>
      <w:r>
        <w:t xml:space="preserve"> (Zhongyong 6)</w:t>
      </w:r>
      <w:r>
        <w:br/>
      </w:r>
      <w:r>
        <w:rPr>
          <w:b/>
        </w:rPr>
        <w:t>leída en su fuente · Zhongyong 6</w:t>
      </w:r>
      <w:r>
        <w:br/>
      </w:r>
      <w:r>
        <w:rPr>
          <w:b/>
        </w:rPr>
        <w:t>Archivo leído:</w:t>
      </w:r>
      <w:r>
        <w:t xml:space="preserve"> zhongyong_legge_enwikisource.html (cierre_doble_polaridad_9oct\china_enwikisource\zhongyong_legge_enwikisource.html) · contraste del archivo de pasajes: ✔</w:t>
      </w:r>
      <w:r>
        <w:br/>
      </w:r>
      <w:r>
        <w:rPr>
          <w:b/>
        </w:rPr>
        <w:t>Lugar:</w:t>
      </w:r>
      <w:r>
        <w:t xml:space="preserve"> Zhongyong 6</w:t>
      </w:r>
      <w:r>
        <w:br/>
      </w:r>
      <w:r>
        <w:rPr>
          <w:b/>
        </w:rPr>
        <w:t>Tal como está en la fuente:</w:t>
      </w:r>
      <w:r>
        <w:t xml:space="preserve"> He took hold of their two extremes, determined the Mean, and employed it in his government of the people.</w:t>
      </w:r>
      <w:r>
        <w:t>.</w:t>
      </w:r>
    </w:p>
    <w:p>
      <w:pPr>
        <w:pStyle w:val="ListBullet"/>
      </w:pPr>
      <w:r>
        <w:rPr>
          <w:b/>
        </w:rPr>
        <w:t>El budismo.</w:t>
      </w:r>
      <w:r>
        <w:t xml:space="preserve"> «Mendicantes, estos dos extremos no deben ser cultivados por quien ha salido [de la vida de casa]»: la indulgencia en los placeres sensuales y la indulgencia en la automortificación; «evitando estos dos extremos, el Realizado comprendió el camino medio de la práctica»</w:t>
      </w:r>
      <w:r>
        <w:t xml:space="preserve"> [original: «Mendicants, these two extremes should not be cultivated by one gone forth.»; «Avoiding these two extremes, the Realized One understood the middle way of practice», en la traducción inglesa de Sujato]</w:t>
      </w:r>
      <w:r>
        <w:t xml:space="preserve"> (Saṃyutta Nikāya 56.11)</w:t>
      </w:r>
      <w:r>
        <w:br/>
      </w:r>
      <w:r>
        <w:rPr>
          <w:b/>
        </w:rPr>
        <w:t>leída en su fuente · Saṃyutta Nikāya 56.11</w:t>
      </w:r>
      <w:r>
        <w:br/>
      </w:r>
      <w:r>
        <w:rPr>
          <w:b/>
        </w:rPr>
        <w:t>Archivo leído:</w:t>
      </w:r>
      <w:r>
        <w:t xml:space="preserve"> sn56_11_sujato.json (cierre_doble_polaridad_9oct\budismo_suttacentral\sn56_11_sujato.json) · contraste del archivo de pasajes: ✔</w:t>
      </w:r>
      <w:r>
        <w:br/>
      </w:r>
      <w:r>
        <w:rPr>
          <w:b/>
        </w:rPr>
        <w:t>Lugar:</w:t>
      </w:r>
      <w:r>
        <w:t xml:space="preserve"> Saṃyutta Nikāya 56.11</w:t>
      </w:r>
      <w:r>
        <w:br/>
      </w:r>
      <w:r>
        <w:rPr>
          <w:b/>
        </w:rPr>
        <w:t>Tal como está en la fuente:</w:t>
      </w:r>
      <w:r>
        <w:t xml:space="preserve"> Mendicants, these two extremes should not be cultivated by one gone forth.</w:t>
      </w:r>
      <w:r>
        <w:t>.</w:t>
      </w:r>
    </w:p>
    <w:p>
      <w:pPr>
        <w:pStyle w:val="ListBullet"/>
      </w:pPr>
      <w:r>
        <w:rPr>
          <w:b/>
        </w:rPr>
        <w:t>Grecia, en Platón.</w:t>
      </w:r>
      <w:r>
        <w:t xml:space="preserve"> «Que sepa elegir el término medio y evitar los extremos de uno y otro lado, en cuanto sea posible, no solo en esta vida sino en todo lo que ha de venir. Pues este es el camino de la felicidad»</w:t>
      </w:r>
      <w:r>
        <w:t xml:space="preserve"> [original: «let him know how to choose the mean and avoid the extremes on either side, as far as possible, not only in this life but in all that which is to come. For this is the way of happiness.», en la traducción inglesa de Jowett]</w:t>
      </w:r>
      <w:r>
        <w:t xml:space="preserve"> (Platón, República X, 619 a-b)</w:t>
      </w:r>
      <w:r>
        <w:br/>
      </w:r>
      <w:r>
        <w:rPr>
          <w:b/>
        </w:rPr>
        <w:t>leída en su fuente · Platón, República X, 619 a-b</w:t>
      </w:r>
      <w:r>
        <w:br/>
      </w:r>
      <w:r>
        <w:rPr>
          <w:b/>
        </w:rPr>
        <w:t>Archivo leído:</w:t>
      </w:r>
      <w:r>
        <w:t xml:space="preserve"> platon_republica_jowett_gutenberg_1497.txt (c9h\platon_republica_jowett_gutenberg_1497.txt) · contraste del archivo de pasajes: ✔</w:t>
      </w:r>
      <w:r>
        <w:br/>
      </w:r>
      <w:r>
        <w:rPr>
          <w:b/>
        </w:rPr>
        <w:t>Lugar:</w:t>
      </w:r>
      <w:r>
        <w:t xml:space="preserve"> Platón, República X, 619 a-b</w:t>
      </w:r>
      <w:r>
        <w:br/>
      </w:r>
      <w:r>
        <w:rPr>
          <w:b/>
        </w:rPr>
        <w:t>Tal como está en la fuente:</w:t>
      </w:r>
      <w:r>
        <w:t xml:space="preserve"> let him know how to choose the mean and avoid the extremes on either side, as far as possible, not only in this life but in all that which is to come. For this is the way of happiness.</w:t>
      </w:r>
      <w:r>
        <w:t>.</w:t>
      </w:r>
    </w:p>
    <w:p>
      <w:pPr>
        <w:pStyle w:val="ListBullet"/>
      </w:pPr>
      <w:r>
        <w:rPr>
          <w:b/>
        </w:rPr>
        <w:t>Deuteronomio.</w:t>
      </w:r>
      <w:r>
        <w:t xml:space="preserve"> «no os apartéis á diestra ni á siniestra»</w:t>
      </w:r>
      <w:r>
        <w:t xml:space="preserve"> (Dt 5:32)</w:t>
      </w:r>
      <w:r>
        <w:br/>
      </w:r>
      <w:r>
        <w:rPr>
          <w:b/>
        </w:rPr>
        <w:t>leída en su fuente · Dt 5:32</w:t>
      </w:r>
      <w:r>
        <w:br/>
      </w:r>
      <w:r>
        <w:rPr>
          <w:b/>
        </w:rPr>
        <w:t>Archivo leído:</w:t>
      </w:r>
      <w:r>
        <w:t xml:space="preserve"> spaRV1909_texto_corrido.txt (biblia_rv1909\spaRV1909_texto_corrido.txt) · contraste del archivo de pasajes: ✔</w:t>
      </w:r>
      <w:r>
        <w:br/>
      </w:r>
      <w:r>
        <w:rPr>
          <w:b/>
        </w:rPr>
        <w:t>Lugar:</w:t>
      </w:r>
      <w:r>
        <w:t xml:space="preserve"> Dt 5:32</w:t>
      </w:r>
      <w:r>
        <w:br/>
      </w:r>
      <w:r>
        <w:rPr>
          <w:b/>
        </w:rPr>
        <w:t>Tal como está en la fuente:</w:t>
      </w:r>
      <w:r>
        <w:t xml:space="preserve"> no os apartéis á diestra ni á siniestra</w:t>
      </w:r>
      <w:r>
        <w:t>: las dos desviaciones de lo mandado.</w:t>
      </w:r>
    </w:p>
    <w:p>
      <w:pPr>
        <w:pStyle w:val="ListBullet"/>
      </w:pPr>
      <w:r>
        <w:rPr>
          <w:b/>
        </w:rPr>
        <w:t>Zhongyong 4.</w:t>
      </w:r>
      <w:r>
        <w:t xml:space="preserve"> «Sé por qué no se anda el camino del Medio: los sabios se pasan de él y los necios no llegan a él»</w:t>
      </w:r>
      <w:r>
        <w:t xml:space="preserve"> [original: «I know how it is that the path of the Mean is not walked in: The knowing go beyond it, and the stupid do not come up to it.», en la traducción inglesa de James Legge]</w:t>
      </w:r>
      <w:r>
        <w:t xml:space="preserve"> (Zhongyong 4)</w:t>
      </w:r>
      <w:r>
        <w:br/>
      </w:r>
      <w:r>
        <w:rPr>
          <w:b/>
        </w:rPr>
        <w:t>leída en su fuente · Zhongyong 4</w:t>
      </w:r>
      <w:r>
        <w:br/>
      </w:r>
      <w:r>
        <w:rPr>
          <w:b/>
        </w:rPr>
        <w:t>Archivo leído:</w:t>
      </w:r>
      <w:r>
        <w:t xml:space="preserve"> zhongyong_legge_enwikisource.html (cierre_doble_polaridad_9oct\china_enwikisource\zhongyong_legge_enwikisource.html) · contraste del archivo de pasajes: ✔</w:t>
      </w:r>
      <w:r>
        <w:br/>
      </w:r>
      <w:r>
        <w:rPr>
          <w:b/>
        </w:rPr>
        <w:t>Lugar:</w:t>
      </w:r>
      <w:r>
        <w:t xml:space="preserve"> Zhongyong 4</w:t>
      </w:r>
      <w:r>
        <w:br/>
      </w:r>
      <w:r>
        <w:rPr>
          <w:b/>
        </w:rPr>
        <w:t>Tal como está en la fuente:</w:t>
      </w:r>
      <w:r>
        <w:t xml:space="preserve"> I know how it is that the path of the Mean is not walked in: The knowing go beyond it, and the stupid do not come up to it.</w:t>
      </w:r>
      <w:r>
        <w:t>.</w:t>
      </w:r>
    </w:p>
    <w:p>
      <w:pPr>
        <w:pStyle w:val="ListBullet"/>
      </w:pPr>
      <w:r>
        <w:rPr>
          <w:b/>
        </w:rPr>
        <w:t>Analectas XI.</w:t>
      </w:r>
      <w:r>
        <w:t xml:space="preserve"> «Pasarse es tan malo como quedarse corto»</w:t>
      </w:r>
      <w:r>
        <w:t xml:space="preserve"> [original: «To go beyond is as wrong as to fall short.», en la traducción inglesa de James Legge]</w:t>
      </w:r>
      <w:r>
        <w:t xml:space="preserve"> (Analectas XI, capítulo XV de Legge)</w:t>
      </w:r>
      <w:r>
        <w:br/>
      </w:r>
      <w:r>
        <w:rPr>
          <w:b/>
        </w:rPr>
        <w:t>leída en su fuente · Analectas XI, capítulo XV de Legge</w:t>
      </w:r>
      <w:r>
        <w:br/>
      </w:r>
      <w:r>
        <w:rPr>
          <w:b/>
        </w:rPr>
        <w:t>Archivo leído:</w:t>
      </w:r>
      <w:r>
        <w:t xml:space="preserve"> 19.00-2.1_Analects_Legge_Gutenberg_3330.txt (c7c\19.00-2.1_Analects_Legge_Gutenberg_3330.txt) · contraste del archivo de pasajes: ✔</w:t>
      </w:r>
      <w:r>
        <w:br/>
      </w:r>
      <w:r>
        <w:rPr>
          <w:b/>
        </w:rPr>
        <w:t>Lugar:</w:t>
      </w:r>
      <w:r>
        <w:t xml:space="preserve"> Analectas XI, capítulo XV de Legge</w:t>
      </w:r>
      <w:r>
        <w:br/>
      </w:r>
      <w:r>
        <w:rPr>
          <w:b/>
        </w:rPr>
        <w:t>Tal como está en la fuente:</w:t>
      </w:r>
      <w:r>
        <w:t xml:space="preserve"> To go beyond is as wrong as to fall short.</w:t>
      </w:r>
      <w:r>
        <w:t>.</w:t>
      </w:r>
    </w:p>
    <w:p>
      <w:pPr>
        <w:pStyle w:val="ListBullet"/>
      </w:pPr>
      <w:r>
        <w:rPr>
          <w:b/>
        </w:rPr>
        <w:t>El arpa de Buda.</w:t>
      </w:r>
      <w:r>
        <w:t xml:space="preserve"> «Cuando la energía es demasiado forzada lleva a la inquietud. Cuando la energía es demasiado floja lleva a la pereza»</w:t>
      </w:r>
      <w:r>
        <w:t xml:space="preserve"> [original: «when energy is too forceful it leads to restlessness. When energy is too slack it leads to laziness.», en la traducción inglesa de Sujato]</w:t>
      </w:r>
      <w:r>
        <w:t xml:space="preserve"> (Aṅguttara Nikāya 6.55)</w:t>
      </w:r>
      <w:r>
        <w:br/>
      </w:r>
      <w:r>
        <w:rPr>
          <w:b/>
        </w:rPr>
        <w:t>leída en su fuente · Aṅguttara Nikāya 6.55</w:t>
      </w:r>
      <w:r>
        <w:br/>
      </w:r>
      <w:r>
        <w:rPr>
          <w:b/>
        </w:rPr>
        <w:t>Archivo leído:</w:t>
      </w:r>
      <w:r>
        <w:t xml:space="preserve"> an6_55_sujato.json (cierre_doble_polaridad_9oct\budismo_suttacentral\an6_55_sujato.json) · contraste del archivo de pasajes: ✔</w:t>
      </w:r>
      <w:r>
        <w:br/>
      </w:r>
      <w:r>
        <w:rPr>
          <w:b/>
        </w:rPr>
        <w:t>Lugar:</w:t>
      </w:r>
      <w:r>
        <w:t xml:space="preserve"> Aṅguttara Nikāya 6.55</w:t>
      </w:r>
      <w:r>
        <w:br/>
      </w:r>
      <w:r>
        <w:rPr>
          <w:b/>
        </w:rPr>
        <w:t>Tal como está en la fuente:</w:t>
      </w:r>
      <w:r>
        <w:t xml:space="preserve"> when energy is too forceful it leads to restlessness. When energy is too slack it leads to laziness.</w:t>
      </w:r>
      <w:r>
        <w:t>.</w:t>
      </w:r>
    </w:p>
    <w:p>
      <w:pPr>
        <w:pStyle w:val="ListBullet"/>
      </w:pPr>
      <w:r>
        <w:rPr>
          <w:b/>
        </w:rPr>
        <w:t>Horacio.</w:t>
      </w:r>
      <w:r>
        <w:t xml:space="preserve"> «Quien ama la áurea medianía»: el «áureo término medio» entre la alta mar y la costa peligrosa</w:t>
      </w:r>
      <w:r>
        <w:t xml:space="preserve"> [original: «auream quisquis mediocritatem / diligit»]</w:t>
      </w:r>
      <w:r>
        <w:t xml:space="preserve"> (Horacio, Odas II, 10)</w:t>
      </w:r>
      <w:r>
        <w:t>.</w:t>
      </w:r>
    </w:p>
    <w:p>
      <w:r>
        <w:rPr>
          <w:b/>
        </w:rPr>
        <w:t>Lo que lo matiza.</w:t>
      </w:r>
      <w:r>
        <w:t xml:space="preserve"> No todas dicen lo mismo del medio:</w:t>
      </w:r>
    </w:p>
    <w:p>
      <w:pPr>
        <w:pStyle w:val="ListBullet"/>
      </w:pPr>
      <w:r>
        <w:rPr>
          <w:b/>
        </w:rPr>
        <w:t>El medio no es siempre un punto equidistante.</w:t>
      </w:r>
      <w:r>
        <w:t xml:space="preserve"> En Israel es suficiencia («el pan que he menester», Prov 30:8) y mandato («no os apartéis á diestra ni á siniestra», Dt 5:32); en el budismo, el camino medio es el noble camino óctuple, un programa de ocho factores y no un punto entre dos polos</w:t>
      </w:r>
      <w:r>
        <w:t xml:space="preserve"> (Saṃyutta Nikāya 56.11)</w:t>
      </w:r>
      <w:r>
        <w:t>.</w:t>
      </w:r>
    </w:p>
    <w:p>
      <w:pPr>
        <w:pStyle w:val="ListBullet"/>
      </w:pPr>
      <w:r>
        <w:rPr>
          <w:b/>
        </w:rPr>
        <w:t>Hay un exceso de justicia.</w:t>
      </w:r>
      <w:r>
        <w:t xml:space="preserve"> «No seas demasiado justo, ni seas sabio con exceso»</w:t>
      </w:r>
      <w:r>
        <w:t xml:space="preserve"> (Ecl 7:16)</w:t>
      </w:r>
      <w:r>
        <w:br/>
      </w:r>
      <w:r>
        <w:rPr>
          <w:b/>
        </w:rPr>
        <w:t>leída en su fuente · Ecl 7:16</w:t>
      </w:r>
      <w:r>
        <w:br/>
      </w:r>
      <w:r>
        <w:rPr>
          <w:b/>
        </w:rPr>
        <w:t>Archivo leído:</w:t>
      </w:r>
      <w:r>
        <w:t xml:space="preserve"> spaRV1909_texto_corrido.txt (biblia_rv1909\spaRV1909_texto_corrido.txt) · contraste del archivo de pasajes: ✔</w:t>
      </w:r>
      <w:r>
        <w:br/>
      </w:r>
      <w:r>
        <w:rPr>
          <w:b/>
        </w:rPr>
        <w:t>Lugar:</w:t>
      </w:r>
      <w:r>
        <w:t xml:space="preserve"> Ecl 7:16</w:t>
      </w:r>
      <w:r>
        <w:br/>
      </w:r>
      <w:r>
        <w:rPr>
          <w:b/>
        </w:rPr>
        <w:t>Tal como está en la fuente:</w:t>
      </w:r>
      <w:r>
        <w:t xml:space="preserve"> No seas demasiado justo, ni seas sabio con exceso</w:t>
      </w:r>
      <w:r>
        <w:t>: Cohélet avisa contra el exceso de justicia y de sabiduría, y no dice dónde está el medio.</w:t>
      </w:r>
    </w:p>
    <w:p>
      <w:pPr>
        <w:pStyle w:val="ListBullet"/>
      </w:pPr>
      <w:r>
        <w:rPr>
          <w:b/>
        </w:rPr>
        <w:t>El medio sostenido sin sopesar es un solo punto.</w:t>
      </w:r>
      <w:r>
        <w:t xml:space="preserve"> Mencio: «sostenerlo sin dejar sitio a las exigencias de las circunstancias es como su sostener un solo punto»</w:t>
      </w:r>
      <w:r>
        <w:t xml:space="preserve"> [original: «But by holding it without leaving room for the exigency of circumstances, it becomes like their holding their one point.», en la traducción inglesa de James Legge]</w:t>
      </w:r>
      <w:r>
        <w:t xml:space="preserve"> (Mencio 7A26; fuente secundaria)</w:t>
      </w:r>
      <w:r>
        <w:br/>
      </w:r>
      <w:r>
        <w:rPr>
          <w:b/>
        </w:rPr>
        <w:t>leída en su fuente · Mencio 7A26; fuente secundaria</w:t>
      </w:r>
      <w:r>
        <w:br/>
      </w:r>
      <w:r>
        <w:rPr>
          <w:b/>
        </w:rPr>
        <w:t>Archivo leído:</w:t>
      </w:r>
      <w:r>
        <w:t xml:space="preserve"> 8.3_24_Legge_1895_Chinese_Classics_vol2_Mencius_OCR_archive.txt (c8a\8.3_24_Legge_1895_Chinese_Classics_vol2_Mencius_OCR_archive.txt) · contraste del archivo de pasajes: ✔</w:t>
      </w:r>
      <w:r>
        <w:br/>
      </w:r>
      <w:r>
        <w:rPr>
          <w:b/>
        </w:rPr>
        <w:t>Lugar:</w:t>
      </w:r>
      <w:r>
        <w:t xml:space="preserve"> Mencio 7A26; fuente secundaria</w:t>
      </w:r>
      <w:r>
        <w:br/>
      </w:r>
      <w:r>
        <w:rPr>
          <w:b/>
        </w:rPr>
        <w:t>Tal como está en la fuente:</w:t>
      </w:r>
      <w:r>
        <w:t xml:space="preserve"> But by holding it without leaving room for the exigency of circumstances, it becomes like their holding their one point.</w:t>
      </w:r>
      <w:r>
        <w:t>.</w:t>
      </w:r>
    </w:p>
    <w:p>
      <w:pPr>
        <w:pStyle w:val="ListBullet"/>
      </w:pPr>
      <w:r>
        <w:rPr>
          <w:b/>
        </w:rPr>
        <w:t>Los extremos valen algo cuando falta quien siga el medio.</w:t>
      </w:r>
      <w:r>
        <w:t xml:space="preserve"> Confucio: «Como no puedo conseguir hombres que sigan el justo medio […], tendré que buscar a los ardientes y a los cautelosamente decididos»</w:t>
      </w:r>
      <w:r>
        <w:t xml:space="preserve"> [original: «Since I cannot get men pursuing the due medium, to whom I might communicate my instructions, I must find the ardent and the cautiously-decided.», en la traducción inglesa de James Legge]</w:t>
      </w:r>
      <w:r>
        <w:t xml:space="preserve"> (Analectas XIII, capítulo XXI de Legge; fuente secundaria)</w:t>
      </w:r>
      <w:r>
        <w:br/>
      </w:r>
      <w:r>
        <w:rPr>
          <w:b/>
        </w:rPr>
        <w:t>leída en su fuente · Analectas XIII, capítulo XXI de Legge; fuente secundaria</w:t>
      </w:r>
      <w:r>
        <w:br/>
      </w:r>
      <w:r>
        <w:rPr>
          <w:b/>
        </w:rPr>
        <w:t>Archivo leído:</w:t>
      </w:r>
      <w:r>
        <w:t xml:space="preserve"> 19.00-2.1_Analects_Legge_Gutenberg_3330.txt (c7c\19.00-2.1_Analects_Legge_Gutenberg_3330.txt) · contraste del archivo de pasajes: ✔</w:t>
      </w:r>
      <w:r>
        <w:br/>
      </w:r>
      <w:r>
        <w:rPr>
          <w:b/>
        </w:rPr>
        <w:t>Lugar:</w:t>
      </w:r>
      <w:r>
        <w:t xml:space="preserve"> Analectas XIII, capítulo XXI de Legge; fuente secundaria</w:t>
      </w:r>
      <w:r>
        <w:br/>
      </w:r>
      <w:r>
        <w:rPr>
          <w:b/>
        </w:rPr>
        <w:t>Tal como está en la fuente:</w:t>
      </w:r>
      <w:r>
        <w:t xml:space="preserve"> Since I cannot get men pursuing the due medium, to whom I might communicate my instructions, I must find the ardent and the cautiously-decided.</w:t>
      </w:r>
      <w:r>
        <w:t>.</w:t>
      </w:r>
    </w:p>
    <w:p>
      <w:pPr>
        <w:pStyle w:val="ListBullet"/>
      </w:pPr>
      <w:r>
        <w:rPr>
          <w:b/>
        </w:rPr>
        <w:t>En Persia se elige un polo.</w:t>
      </w:r>
      <w:r>
        <w:t xml:space="preserve"> «Entre estos dos los sabios eligieron bien, no así los necios»</w:t>
      </w:r>
      <w:r>
        <w:t xml:space="preserve"> [original: «And between these two the wise ones chose aright, the foolish not so.», en la traducción inglesa de avesta.org]</w:t>
      </w:r>
      <w:r>
        <w:t xml:space="preserve"> (Yasna 30:3; fuente secundaria)</w:t>
      </w:r>
      <w:r>
        <w:br/>
      </w:r>
      <w:r>
        <w:rPr>
          <w:b/>
        </w:rPr>
        <w:t>leída en su fuente · Yasna 30:3; fuente secundaria</w:t>
      </w:r>
      <w:r>
        <w:br/>
      </w:r>
      <w:r>
        <w:rPr>
          <w:b/>
        </w:rPr>
        <w:t>Archivo leído:</w:t>
      </w:r>
      <w:r>
        <w:t xml:space="preserve"> yasna_ingles_avesta_org.html (c4\yasna_ingles_avesta_org.html) · contraste del archivo de pasajes: ✔</w:t>
      </w:r>
      <w:r>
        <w:br/>
      </w:r>
      <w:r>
        <w:rPr>
          <w:b/>
        </w:rPr>
        <w:t>Lugar:</w:t>
      </w:r>
      <w:r>
        <w:t xml:space="preserve"> Yasna 30:3; fuente secundaria</w:t>
      </w:r>
      <w:r>
        <w:br/>
      </w:r>
      <w:r>
        <w:rPr>
          <w:b/>
        </w:rPr>
        <w:t>Tal como está en la fuente:</w:t>
      </w:r>
      <w:r>
        <w:t xml:space="preserve"> And between these two the wise ones chose aright, the foolish not so.</w:t>
      </w:r>
      <w:r>
        <w:t>: dos espíritus que no se complementan; se elige uno, y no hay medio.</w:t>
      </w:r>
    </w:p>
    <w:p>
      <w:r>
        <w:rPr>
          <w:b/>
        </w:rPr>
        <w:t>Conclusión, lo que arrojan los datos:</w:t>
      </w:r>
      <w:r>
        <w:t xml:space="preserve"> seis tradiciones, Israel, el islam, la India, China, el budismo y Grecia, hablan de dos excesos y un medio, en materias distintas: el dinero, la comida y el sueño, el gobierno, la práctica y la vida elegida. </w:t>
      </w:r>
      <w:r>
        <w:rPr>
          <w:b/>
        </w:rPr>
        <w:t>Coinciden, no convergen:</w:t>
      </w:r>
      <w:r>
        <w:t xml:space="preserve"> casi todas las fechas son aproximadas y no está comprobado que sean independientes entre sí. No dicen lo mismo del medio: en unas es una medida; en otras, una suficiencia, un mandato o un camino; y Persia pide elegir un polo. Y ninguna dice que el centro lo ponga «la ley de Dios y la ley natural»: lo sugiere solo, y de lejos, el mandato de Dt 5:32.</w:t>
      </w:r>
    </w:p>
    <w:p>
      <w:r>
        <w:rPr>
          <w:b/>
        </w:rPr>
        <w:t>Lectura del autor:</w:t>
      </w:r>
      <w:r>
        <w:t xml:space="preserve"> el dial es esa figura hecha instrumento. Lo que las tradiciones coinciden en decir es la forma, dos excesos y un medio; lo que la obra añade es quién pone el centro, la ley de Dios y la ley natural (</w:t>
      </w:r>
      <w:r>
        <w:t>1.9</w:t>
      </w:r>
      <w:r>
        <w:t>), y por eso lo escribe antes de medir. Que el medio sea una medida, una suficiencia, un mandato o un camino no rompe el dial: dice qué clase de centro es cada uno. Y lo de Mencio es la razón de que el centro se escriba antes, pero se mida con las circunstancias a la vista: el dial lleva flecha, no solo un número (</w:t>
      </w:r>
      <w:r>
        <w:t>J.5</w:t>
      </w:r>
      <w:r>
        <w:t>).</w:t>
      </w:r>
    </w:p>
    <w:p>
      <w:r>
        <w:t>[doble polaridad: 30 pasajes de 11 tradiciones leídos en sus archivos el 9-oct-2026; Kiko, 9-oct: «por coherencia en el dial»; borrador B8]</w:t>
      </w:r>
    </w:p>
    <w:p>
      <w:r>
        <w:rPr>
          <w:b/>
        </w:rPr>
        <w:t>Cómo se lee.</w:t>
      </w:r>
      <w:r>
        <w:t xml:space="preserve"> En tres zonas, </w:t>
      </w:r>
      <w:r>
        <w:rPr>
          <w:b/>
        </w:rPr>
        <w:t>defecto</w:t>
      </w:r>
      <w:r>
        <w:t xml:space="preserve">, </w:t>
      </w:r>
      <w:r>
        <w:rPr>
          <w:b/>
        </w:rPr>
        <w:t>centro</w:t>
      </w:r>
      <w:r>
        <w:t xml:space="preserve"> y </w:t>
      </w:r>
      <w:r>
        <w:rPr>
          <w:b/>
        </w:rPr>
        <w:t>exceso</w:t>
      </w:r>
      <w:r>
        <w:t>, con una flecha que dice hacia dónde se mueve. Con números, de −100 a +100 y el 0 en el centro, solo donde se cumplen las cuatro condiciones del piloto (</w:t>
      </w:r>
      <w:r>
        <w:t>J.6</w:t>
      </w:r>
      <w:r>
        <w:t xml:space="preserve">). El número mide la posición, no si algo es bueno o malo. </w:t>
      </w:r>
      <w:r>
        <w:t>[00 PLAN GENERAL de 07, decisión 5; 04g, 5.1]</w:t>
      </w:r>
    </w:p>
    <w:p>
      <w:r>
        <w:rPr>
          <w:b/>
        </w:rPr>
        <w:t>El dial maestro: servir.</w:t>
      </w:r>
      <w:r>
        <w:t xml:space="preserve"> El hilo de los nueve principios del Arca es uno: «¿sirve, o se sirve?» (</w:t>
      </w:r>
      <w:r>
        <w:t>3.6</w:t>
      </w:r>
      <w:r>
        <w:t>). Ese es el dial del Estado:</w:t>
      </w:r>
    </w:p>
    <w:p>
      <w:pPr>
        <w:pStyle w:val="ListBullet"/>
      </w:pPr>
      <w:r>
        <w:rPr>
          <w:b/>
        </w:rPr>
        <w:t>A la izquierda, el defecto:</w:t>
      </w:r>
      <w:r>
        <w:t xml:space="preserve"> no cuida al ciudadano, o lo cuida poco; no cumple lo que prometió. En este libro lo mide el </w:t>
      </w:r>
      <w:r>
        <w:t>capítulo 7</w:t>
      </w:r>
      <w:r>
        <w:t>: lo prometido frente a los hechos.</w:t>
      </w:r>
    </w:p>
    <w:p>
      <w:pPr>
        <w:pStyle w:val="ListBullet"/>
      </w:pPr>
      <w:r>
        <w:rPr>
          <w:b/>
        </w:rPr>
        <w:t>En el centro, la medida justa:</w:t>
      </w:r>
      <w:r>
        <w:t xml:space="preserve"> el que manda sirve. «Sabéis que los príncipes de los Gentiles se enseñorean sobre ellos, y los que son grandes ejercen sobre ellos potestad. Mas entre vosotros no será así; sino el que quisiere entre vosotros hacerse grande, será vuestro servidor»</w:t>
      </w:r>
      <w:r>
        <w:t xml:space="preserve"> (Mt 20:25-26)</w:t>
      </w:r>
      <w:r>
        <w:br/>
      </w:r>
      <w:r>
        <w:rPr>
          <w:b/>
        </w:rPr>
        <w:t>leída en su fuente · Mt 20:25-26</w:t>
      </w:r>
      <w:r>
        <w:br/>
      </w:r>
      <w:r>
        <w:rPr>
          <w:b/>
        </w:rPr>
        <w:t>Archivo leído:</w:t>
      </w:r>
      <w:r>
        <w:t xml:space="preserve"> rva_c3.txt; rvr1960_mt_20_25-26.html (c3\rva_c3.txt) · contraste del archivo de pasajes: ✔</w:t>
      </w:r>
      <w:r>
        <w:br/>
      </w:r>
      <w:r>
        <w:rPr>
          <w:b/>
        </w:rPr>
        <w:t>Lugar:</w:t>
      </w:r>
      <w:r>
        <w:t xml:space="preserve"> RVA</w:t>
      </w:r>
      <w:r>
        <w:br/>
      </w:r>
      <w:r>
        <w:rPr>
          <w:b/>
        </w:rPr>
        <w:t>Dirección:</w:t>
      </w:r>
      <w:r>
        <w:t xml:space="preserve"> </w:t>
      </w:r>
      <w:r>
        <w:t>https://www.biblegateway.com/passage/?search=Matthew+20%3A25-26&amp;version=RVA</w:t>
      </w:r>
      <w:r>
        <w:br/>
      </w:r>
      <w:r>
        <w:rPr>
          <w:b/>
        </w:rPr>
        <w:t>Tal como está en la fuente:</w:t>
      </w:r>
      <w:r>
        <w:t xml:space="preserve"> Sabéis que los príncipes de los Gentiles se enseñorean sobre ellos, y los que son grandes ejercen sobre ellos potestad. Mas entre vosotros no será así; sino el que quisiere entre vosotros hacerse grande, será vuestro servidor;</w:t>
      </w:r>
      <w:r>
        <w:t>; «Como el Hijo del hombre no vino para ser servido, sino para servir»</w:t>
      </w:r>
      <w:r>
        <w:t xml:space="preserve"> (Mt 20:28)</w:t>
      </w:r>
      <w:r>
        <w:br/>
      </w:r>
      <w:r>
        <w:rPr>
          <w:b/>
        </w:rPr>
        <w:t>leída en su fuente · Mt 20:28</w:t>
      </w:r>
      <w:r>
        <w:br/>
      </w:r>
      <w:r>
        <w:rPr>
          <w:b/>
        </w:rPr>
        <w:t>Archivo leído:</w:t>
      </w:r>
      <w:r>
        <w:t xml:space="preserve"> spaRV1909_texto_corrido.txt (biblia_rv1909\spaRV1909_texto_corrido.txt) · contraste del archivo de pasajes: ✔</w:t>
      </w:r>
      <w:r>
        <w:br/>
      </w:r>
      <w:r>
        <w:rPr>
          <w:b/>
        </w:rPr>
        <w:t>Lugar:</w:t>
      </w:r>
      <w:r>
        <w:t xml:space="preserve"> Mt 20:28</w:t>
      </w:r>
      <w:r>
        <w:br/>
      </w:r>
      <w:r>
        <w:rPr>
          <w:b/>
        </w:rPr>
        <w:t>Tal como está en la fuente:</w:t>
      </w:r>
      <w:r>
        <w:t xml:space="preserve"> Como el Hijo del hombre no vino para ser servido, sino para servir</w:t>
      </w:r>
      <w:r>
        <w:t>.</w:t>
      </w:r>
    </w:p>
    <w:p>
      <w:pPr>
        <w:pStyle w:val="ListBullet"/>
      </w:pPr>
      <w:r>
        <w:rPr>
          <w:b/>
        </w:rPr>
        <w:t>A la derecha, el exceso:</w:t>
      </w:r>
      <w:r>
        <w:t xml:space="preserve"> se sirve del ciudadano: impuestos, presión fiscal, control, leyes de más. En este libro lo mide el </w:t>
      </w:r>
      <w:r>
        <w:t>capítulo 8</w:t>
      </w:r>
      <w:r>
        <w:t>: los frutos.</w:t>
      </w:r>
    </w:p>
    <w:p>
      <w:r>
        <w:t>Un solo texto da los dos polos a la vez. A los pastores que «se apacientan á sí mismos»</w:t>
      </w:r>
      <w:r>
        <w:t xml:space="preserve"> (Ez 34:2)</w:t>
      </w:r>
      <w:r>
        <w:br/>
      </w:r>
      <w:r>
        <w:rPr>
          <w:b/>
        </w:rPr>
        <w:t>pasaje guardado</w:t>
      </w:r>
      <w:r>
        <w:br/>
      </w:r>
      <w:r>
        <w:rPr>
          <w:b/>
        </w:rPr>
        <w:t>Archivo leído:</w:t>
      </w:r>
      <w:r>
        <w:t xml:space="preserve"> spaRV1909_texto_corrido.txt (biblia_rv1909\spaRV1909_texto_corrido.txt) · contraste del archivo de pasajes: ✔</w:t>
      </w:r>
      <w:r>
        <w:br/>
      </w:r>
      <w:r>
        <w:rPr>
          <w:b/>
        </w:rPr>
        <w:t>Lugar:</w:t>
      </w:r>
      <w:r>
        <w:t xml:space="preserve"> Ez 34:2-4</w:t>
      </w:r>
      <w:r>
        <w:br/>
      </w:r>
      <w:r>
        <w:rPr>
          <w:b/>
        </w:rPr>
        <w:t>Tal como está en la fuente:</w:t>
      </w:r>
      <w:r>
        <w:t xml:space="preserve"> ¡Ay de los pastores de Israel, que se apacientan á sí mismos! ¿No apacientan los pastores los rebaños? Coméis la leche, y os vestís de la lana […] no apacentáis las ovejas […] sino que os habéis enseñoreado de ellas con dureza y con violencia</w:t>
      </w:r>
      <w:r>
        <w:t>, Ezequiel les reprocha primero el defecto: «No corroborasteis las flacas, ni curasteis la enferma: no ligasteis la perniquebrada, ni tornasteis la amontada, ni buscasteis la perdida»; y después el exceso: «sino que os habéis enseñoreado de ellas con dureza y con violencia»</w:t>
      </w:r>
      <w:r>
        <w:t xml:space="preserve"> (Ez 34:4)</w:t>
      </w:r>
      <w:r>
        <w:br/>
      </w:r>
      <w:r>
        <w:rPr>
          <w:b/>
        </w:rPr>
        <w:t>leída en su fuente · Ez 34:4</w:t>
      </w:r>
      <w:r>
        <w:br/>
      </w:r>
      <w:r>
        <w:rPr>
          <w:b/>
        </w:rPr>
        <w:t>Archivo leído:</w:t>
      </w:r>
      <w:r>
        <w:t xml:space="preserve"> spaRV1909_texto_corrido.txt (biblia_rv1909\spaRV1909_texto_corrido.txt) · contraste del archivo de pasajes: ✔</w:t>
      </w:r>
      <w:r>
        <w:br/>
      </w:r>
      <w:r>
        <w:rPr>
          <w:b/>
        </w:rPr>
        <w:t>Lugar:</w:t>
      </w:r>
      <w:r>
        <w:t xml:space="preserve"> Ez 34:2-4</w:t>
      </w:r>
      <w:r>
        <w:br/>
      </w:r>
      <w:r>
        <w:rPr>
          <w:b/>
        </w:rPr>
        <w:t>Tal como está en la fuente:</w:t>
      </w:r>
      <w:r>
        <w:t xml:space="preserve"> ¡Ay de los pastores de Israel, que se apacientan á sí mismos! ¿No apacientan los pastores los rebaños? Coméis la leche, y os vestís de la lana […] no apacentáis las ovejas […] sino que os habéis enseñoreado de ellas con dureza y con violencia</w:t>
      </w:r>
      <w:r>
        <w:t>. Y dice el centro: «Yo buscaré la perdida, y tornaré la amontada, y ligaré la perniquebrada, y corroboraré la enferma […]. Yo las apacentaré en juicio»</w:t>
      </w:r>
      <w:r>
        <w:t xml:space="preserve"> (Ez 34:16)</w:t>
      </w:r>
      <w:r>
        <w:br/>
      </w:r>
      <w:r>
        <w:rPr>
          <w:b/>
        </w:rPr>
        <w:t>leída en su fuente · Ez 34:16</w:t>
      </w:r>
      <w:r>
        <w:br/>
      </w:r>
      <w:r>
        <w:rPr>
          <w:b/>
        </w:rPr>
        <w:t>Original donde está:</w:t>
      </w:r>
      <w:r>
        <w:t xml:space="preserve"> spaRV1909_vpl.txt</w:t>
      </w:r>
      <w:r>
        <w:br/>
      </w:r>
      <w:r>
        <w:t>El pasaje literal no está en el archivo de pasajes con este comienzo; la auditoría lo halló en ese original.</w:t>
      </w:r>
      <w:r>
        <w:t xml:space="preserve">. </w:t>
      </w:r>
      <w:r>
        <w:t>[Kiko, 8-oct (04m, apartado E); 04h, 3.3; Ezequiel 34 y Mateo 20 en la Reina-Valera 1909]</w:t>
      </w:r>
    </w:p>
    <w:p>
      <w:r>
        <w:rPr>
          <w:b/>
        </w:rPr>
        <w:t>Los nueve principios del Arca como diales.</w:t>
      </w:r>
      <w:r>
        <w:t xml:space="preserve"> Cada principio del Arca (</w:t>
      </w:r>
      <w:r>
        <w:t>3.2</w:t>
      </w:r>
      <w:r>
        <w:t xml:space="preserve">) es un dial: su centro es la medida justa que las tradiciones guardaron, y sus extremos, dos vicios. Solo se pone un polo </w:t>
      </w:r>
      <w:r>
        <w:rPr>
          <w:b/>
        </w:rPr>
        <w:t>donde un texto ya leído lo dice</w:t>
      </w:r>
      <w:r>
        <w:t>; donde el Arca no tiene texto, se dice y no se inventa.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Principio (</w:t>
            </w:r>
            <w:r>
              <w:rPr>
                <w:rFonts w:ascii="Segoe UI" w:hAnsi="Segoe UI" w:eastAsia="Segoe UI" w:cs="Segoe UI"/>
                <w:b/>
                <w:color w:val="1F1D1A"/>
                <w:sz w:val="18"/>
              </w:rPr>
              <w:t>3.2</w:t>
            </w:r>
            <w:r>
              <w:rPr>
                <w:rFonts w:ascii="Segoe UI" w:hAnsi="Segoe UI" w:eastAsia="Segoe UI" w:cs="Segoe UI"/>
                <w:b/>
                <w:color w:val="1F1D1A"/>
                <w:sz w:val="18"/>
              </w:rPr>
              <w:t>)</w:t>
            </w:r>
          </w:p>
        </w:tc>
        <w:tc>
          <w:tcPr>
            <w:tcW w:type="dxa" w:w="2296"/>
            <w:shd w:val="clear" w:color="auto" w:fill="F1EEE8"/>
          </w:tcPr>
          <w:p>
            <w:pPr>
              <w:spacing w:after="20" w:line="264" w:lineRule="auto"/>
            </w:pPr>
            <w:r>
              <w:rPr>
                <w:b/>
              </w:rPr>
            </w:r>
            <w:r>
              <w:rPr>
                <w:rFonts w:ascii="Segoe UI" w:hAnsi="Segoe UI" w:eastAsia="Segoe UI" w:cs="Segoe UI"/>
                <w:b/>
                <w:color w:val="1F1D1A"/>
                <w:sz w:val="18"/>
              </w:rPr>
              <w:t>Defecto (izquierda)</w:t>
            </w:r>
          </w:p>
        </w:tc>
        <w:tc>
          <w:tcPr>
            <w:tcW w:type="dxa" w:w="2296"/>
            <w:shd w:val="clear" w:color="auto" w:fill="F1EEE8"/>
          </w:tcPr>
          <w:p>
            <w:pPr>
              <w:spacing w:after="20" w:line="264" w:lineRule="auto"/>
            </w:pPr>
            <w:r>
              <w:rPr>
                <w:b/>
              </w:rPr>
            </w:r>
            <w:r>
              <w:rPr>
                <w:rFonts w:ascii="Segoe UI" w:hAnsi="Segoe UI" w:eastAsia="Segoe UI" w:cs="Segoe UI"/>
                <w:b/>
                <w:color w:val="1F1D1A"/>
                <w:sz w:val="18"/>
              </w:rPr>
              <w:t>Centro</w:t>
            </w:r>
          </w:p>
        </w:tc>
        <w:tc>
          <w:tcPr>
            <w:tcW w:type="dxa" w:w="2296"/>
            <w:shd w:val="clear" w:color="auto" w:fill="F1EEE8"/>
          </w:tcPr>
          <w:p>
            <w:pPr>
              <w:spacing w:after="20" w:line="264" w:lineRule="auto"/>
            </w:pPr>
            <w:r>
              <w:rPr>
                <w:b/>
              </w:rPr>
            </w:r>
            <w:r>
              <w:rPr>
                <w:rFonts w:ascii="Segoe UI" w:hAnsi="Segoe UI" w:eastAsia="Segoe UI" w:cs="Segoe UI"/>
                <w:b/>
                <w:color w:val="1F1D1A"/>
                <w:sz w:val="18"/>
              </w:rPr>
              <w:t>Exceso (derecha)</w:t>
            </w:r>
          </w:p>
        </w:tc>
      </w:tr>
      <w:tr>
        <w:tc>
          <w:tcPr>
            <w:tcW w:type="dxa" w:w="2296"/>
          </w:tcPr>
          <w:p>
            <w:pPr>
              <w:spacing w:after="20" w:line="264" w:lineRule="auto"/>
            </w:pPr>
            <w:r/>
            <w:r>
              <w:rPr>
                <w:rFonts w:ascii="Segoe UI" w:hAnsi="Segoe UI" w:eastAsia="Segoe UI" w:cs="Segoe UI"/>
                <w:b/>
                <w:color w:val="1F1D1A"/>
                <w:sz w:val="18"/>
              </w:rPr>
              <w:t>P1. El gobernante existe para el pueblo</w:t>
            </w:r>
          </w:p>
        </w:tc>
        <w:tc>
          <w:tcPr>
            <w:tcW w:type="dxa" w:w="2296"/>
          </w:tcPr>
          <w:p>
            <w:pPr>
              <w:spacing w:after="20" w:line="264" w:lineRule="auto"/>
            </w:pPr>
            <w:r/>
            <w:r>
              <w:rPr>
                <w:rFonts w:ascii="Segoe UI" w:hAnsi="Segoe UI" w:eastAsia="Segoe UI" w:cs="Segoe UI"/>
                <w:color w:val="1F1D1A"/>
                <w:sz w:val="18"/>
              </w:rPr>
              <w:t>No cuida ni cumple (el dial maestro)</w:t>
            </w:r>
          </w:p>
        </w:tc>
        <w:tc>
          <w:tcPr>
            <w:tcW w:type="dxa" w:w="2296"/>
          </w:tcPr>
          <w:p>
            <w:pPr>
              <w:spacing w:after="20" w:line="264" w:lineRule="auto"/>
            </w:pPr>
            <w:r/>
            <w:r>
              <w:rPr>
                <w:rFonts w:ascii="Segoe UI" w:hAnsi="Segoe UI" w:eastAsia="Segoe UI" w:cs="Segoe UI"/>
                <w:color w:val="1F1D1A"/>
                <w:sz w:val="18"/>
              </w:rPr>
              <w:t>Servir: el que manda es el servidor</w:t>
            </w:r>
          </w:p>
        </w:tc>
        <w:tc>
          <w:tcPr>
            <w:tcW w:type="dxa" w:w="2296"/>
          </w:tcPr>
          <w:p>
            <w:pPr>
              <w:spacing w:after="20" w:line="264" w:lineRule="auto"/>
            </w:pPr>
            <w:r/>
            <w:r>
              <w:rPr>
                <w:rFonts w:ascii="Segoe UI" w:hAnsi="Segoe UI" w:eastAsia="Segoe UI" w:cs="Segoe UI"/>
                <w:color w:val="1F1D1A"/>
                <w:sz w:val="18"/>
              </w:rPr>
              <w:t>Se sirve: el pueblo débil para que el Estado sea fuerte; el rey tenido por deidad</w:t>
            </w:r>
          </w:p>
        </w:tc>
      </w:tr>
      <w:tr>
        <w:tc>
          <w:tcPr>
            <w:tcW w:type="dxa" w:w="2296"/>
          </w:tcPr>
          <w:p>
            <w:pPr>
              <w:spacing w:after="20" w:line="264" w:lineRule="auto"/>
            </w:pPr>
            <w:r/>
            <w:r>
              <w:rPr>
                <w:rFonts w:ascii="Segoe UI" w:hAnsi="Segoe UI" w:eastAsia="Segoe UI" w:cs="Segoe UI"/>
                <w:b/>
                <w:color w:val="1F1D1A"/>
                <w:sz w:val="18"/>
              </w:rPr>
              <w:t>P2. Impuestos moderados</w:t>
            </w:r>
          </w:p>
        </w:tc>
        <w:tc>
          <w:tcPr>
            <w:tcW w:type="dxa" w:w="2296"/>
          </w:tcPr>
          <w:p>
            <w:pPr>
              <w:spacing w:after="20" w:line="264" w:lineRule="auto"/>
            </w:pPr>
            <w:r/>
            <w:r>
              <w:rPr>
                <w:rFonts w:ascii="Segoe UI" w:hAnsi="Segoe UI" w:eastAsia="Segoe UI" w:cs="Segoe UI"/>
                <w:color w:val="1F1D1A"/>
                <w:sz w:val="18"/>
              </w:rPr>
              <w:t>El impuesto tan bajo que no sostiene lo común (Mencio lo rechaza también)</w:t>
            </w:r>
          </w:p>
        </w:tc>
        <w:tc>
          <w:tcPr>
            <w:tcW w:type="dxa" w:w="2296"/>
          </w:tcPr>
          <w:p>
            <w:pPr>
              <w:spacing w:after="20" w:line="264" w:lineRule="auto"/>
            </w:pPr>
            <w:r/>
            <w:r>
              <w:rPr>
                <w:rFonts w:ascii="Segoe UI" w:hAnsi="Segoe UI" w:eastAsia="Segoe UI" w:cs="Segoe UI"/>
                <w:color w:val="1F1D1A"/>
                <w:sz w:val="18"/>
              </w:rPr>
              <w:t>La medida justa</w:t>
            </w:r>
          </w:p>
        </w:tc>
        <w:tc>
          <w:tcPr>
            <w:tcW w:type="dxa" w:w="2296"/>
          </w:tcPr>
          <w:p>
            <w:pPr>
              <w:spacing w:after="20" w:line="264" w:lineRule="auto"/>
            </w:pPr>
            <w:r/>
            <w:r>
              <w:rPr>
                <w:rFonts w:ascii="Segoe UI" w:hAnsi="Segoe UI" w:eastAsia="Segoe UI" w:cs="Segoe UI"/>
                <w:color w:val="1F1D1A"/>
                <w:sz w:val="18"/>
              </w:rPr>
              <w:t>El pueblo pasa hambre porque los de arriba consumen demasiados impuestos</w:t>
            </w:r>
          </w:p>
        </w:tc>
      </w:tr>
      <w:tr>
        <w:tc>
          <w:tcPr>
            <w:tcW w:type="dxa" w:w="2296"/>
          </w:tcPr>
          <w:p>
            <w:pPr>
              <w:spacing w:after="20" w:line="264" w:lineRule="auto"/>
            </w:pPr>
            <w:r/>
            <w:r>
              <w:rPr>
                <w:rFonts w:ascii="Segoe UI" w:hAnsi="Segoe UI" w:eastAsia="Segoe UI" w:cs="Segoe UI"/>
                <w:b/>
                <w:color w:val="1F1D1A"/>
                <w:sz w:val="18"/>
              </w:rPr>
              <w:t>P3. No quitar al pueblo su tiempo</w:t>
            </w:r>
          </w:p>
        </w:tc>
        <w:tc>
          <w:tcPr>
            <w:tcW w:type="dxa" w:w="2296"/>
          </w:tcPr>
          <w:p>
            <w:pPr>
              <w:spacing w:after="20" w:line="264" w:lineRule="auto"/>
            </w:pPr>
            <w:r/>
            <w:r>
              <w:rPr>
                <w:rFonts w:ascii="Segoe UI" w:hAnsi="Segoe UI" w:eastAsia="Segoe UI" w:cs="Segoe UI"/>
                <w:i/>
                <w:color w:val="1F1D1A"/>
                <w:sz w:val="18"/>
              </w:rPr>
              <w:t>Sin texto en el Arca</w:t>
            </w:r>
          </w:p>
        </w:tc>
        <w:tc>
          <w:tcPr>
            <w:tcW w:type="dxa" w:w="2296"/>
          </w:tcPr>
          <w:p>
            <w:pPr>
              <w:spacing w:after="20" w:line="264" w:lineRule="auto"/>
            </w:pPr>
            <w:r/>
            <w:r>
              <w:rPr>
                <w:rFonts w:ascii="Segoe UI" w:hAnsi="Segoe UI" w:eastAsia="Segoe UI" w:cs="Segoe UI"/>
                <w:color w:val="1F1D1A"/>
                <w:sz w:val="18"/>
              </w:rPr>
              <w:t>El reposo y el tiempo propio</w:t>
            </w:r>
          </w:p>
        </w:tc>
        <w:tc>
          <w:tcPr>
            <w:tcW w:type="dxa" w:w="2296"/>
          </w:tcPr>
          <w:p>
            <w:pPr>
              <w:spacing w:after="20" w:line="264" w:lineRule="auto"/>
            </w:pPr>
            <w:r/>
            <w:r>
              <w:rPr>
                <w:rFonts w:ascii="Segoe UI" w:hAnsi="Segoe UI" w:eastAsia="Segoe UI" w:cs="Segoe UI"/>
                <w:color w:val="1F1D1A"/>
                <w:sz w:val="18"/>
              </w:rPr>
              <w:t>Todos edifican y labran para los señores</w:t>
            </w:r>
          </w:p>
        </w:tc>
      </w:tr>
      <w:tr>
        <w:tc>
          <w:tcPr>
            <w:tcW w:type="dxa" w:w="2296"/>
          </w:tcPr>
          <w:p>
            <w:pPr>
              <w:spacing w:after="20" w:line="264" w:lineRule="auto"/>
            </w:pPr>
            <w:r/>
            <w:r>
              <w:rPr>
                <w:rFonts w:ascii="Segoe UI" w:hAnsi="Segoe UI" w:eastAsia="Segoe UI" w:cs="Segoe UI"/>
                <w:b/>
                <w:color w:val="1F1D1A"/>
                <w:sz w:val="18"/>
              </w:rPr>
              <w:t>P4. Pesas y medidas justas</w:t>
            </w:r>
          </w:p>
        </w:tc>
        <w:tc>
          <w:tcPr>
            <w:tcW w:type="dxa" w:w="2296"/>
          </w:tcPr>
          <w:p>
            <w:pPr>
              <w:spacing w:after="20" w:line="264" w:lineRule="auto"/>
            </w:pPr>
            <w:r/>
            <w:r>
              <w:rPr>
                <w:rFonts w:ascii="Segoe UI" w:hAnsi="Segoe UI" w:eastAsia="Segoe UI" w:cs="Segoe UI"/>
                <w:color w:val="1F1D1A"/>
                <w:sz w:val="18"/>
              </w:rPr>
              <w:t>Disminuir la medida</w:t>
            </w:r>
          </w:p>
        </w:tc>
        <w:tc>
          <w:tcPr>
            <w:tcW w:type="dxa" w:w="2296"/>
          </w:tcPr>
          <w:p>
            <w:pPr>
              <w:spacing w:after="20" w:line="264" w:lineRule="auto"/>
            </w:pPr>
            <w:r/>
            <w:r>
              <w:rPr>
                <w:rFonts w:ascii="Segoe UI" w:hAnsi="Segoe UI" w:eastAsia="Segoe UI" w:cs="Segoe UI"/>
                <w:color w:val="1F1D1A"/>
                <w:sz w:val="18"/>
              </w:rPr>
              <w:t>«Balanzas justas, pesas justas»</w:t>
            </w:r>
            <w:r>
              <w:rPr>
                <w:rFonts w:ascii="Segoe UI" w:hAnsi="Segoe UI" w:eastAsia="Segoe UI" w:cs="Segoe UI"/>
                <w:color w:val="1F1D1A"/>
                <w:sz w:val="18"/>
              </w:rPr>
              <w:t xml:space="preserve"> (Lv 19:36)</w:t>
            </w:r>
            <w:r>
              <w:br/>
            </w:r>
            <w:r>
              <w:rPr>
                <w:rFonts w:ascii="Segoe UI" w:hAnsi="Segoe UI" w:eastAsia="Segoe UI" w:cs="Segoe UI"/>
                <w:b/>
                <w:color w:val="1F1D1A"/>
                <w:sz w:val="18"/>
              </w:rPr>
              <w:t>leída en su fuente · Lv 19:36</w:t>
            </w:r>
            <w:r>
              <w:br/>
            </w:r>
            <w:r>
              <w:rPr>
                <w:rFonts w:ascii="Segoe UI" w:hAnsi="Segoe UI" w:eastAsia="Segoe UI" w:cs="Segoe UI"/>
                <w:b/>
                <w:color w:val="1F1D1A"/>
                <w:sz w:val="18"/>
              </w:rPr>
              <w:t>Archivo leído:</w:t>
            </w:r>
            <w:r>
              <w:rPr>
                <w:rFonts w:ascii="Segoe UI" w:hAnsi="Segoe UI" w:eastAsia="Segoe UI" w:cs="Segoe UI"/>
                <w:color w:val="1F1D1A"/>
                <w:sz w:val="18"/>
              </w:rPr>
              <w:t xml:space="preserve"> spaRV1909_texto_corrido.txt (biblia_rv1909\spaRV1909_texto_corrido.txt) · contraste del archivo de pasajes: ✔</w:t>
            </w:r>
            <w:r>
              <w:br/>
            </w:r>
            <w:r>
              <w:rPr>
                <w:rFonts w:ascii="Segoe UI" w:hAnsi="Segoe UI" w:eastAsia="Segoe UI" w:cs="Segoe UI"/>
                <w:b/>
                <w:color w:val="1F1D1A"/>
                <w:sz w:val="18"/>
              </w:rPr>
              <w:t>Lugar:</w:t>
            </w:r>
            <w:r>
              <w:rPr>
                <w:rFonts w:ascii="Segoe UI" w:hAnsi="Segoe UI" w:eastAsia="Segoe UI" w:cs="Segoe UI"/>
                <w:color w:val="1F1D1A"/>
                <w:sz w:val="18"/>
              </w:rPr>
              <w:t xml:space="preserve"> Lv 19:36</w:t>
            </w:r>
            <w:r>
              <w:br/>
            </w:r>
            <w:r>
              <w:rPr>
                <w:rFonts w:ascii="Segoe UI" w:hAnsi="Segoe UI" w:eastAsia="Segoe UI" w:cs="Segoe UI"/>
                <w:b/>
                <w:color w:val="1F1D1A"/>
                <w:sz w:val="18"/>
              </w:rPr>
              <w:t>Tal como está en la fuente:</w:t>
            </w:r>
            <w:r>
              <w:rPr>
                <w:rFonts w:ascii="Segoe UI" w:hAnsi="Segoe UI" w:eastAsia="Segoe UI" w:cs="Segoe UI"/>
                <w:color w:val="1F1D1A"/>
                <w:sz w:val="18"/>
              </w:rPr>
              <w:t xml:space="preserve"> Balanzas justas, pesas justas, epha justo, é hin justo tendréis</w:t>
            </w:r>
            <w:r>
              <w:rPr>
                <w:rFonts w:ascii="Segoe UI" w:hAnsi="Segoe UI" w:eastAsia="Segoe UI" w:cs="Segoe UI"/>
                <w:color w:val="1F1D1A"/>
                <w:sz w:val="18"/>
              </w:rPr>
              <w:t>; «la pesa cabal le agrada»</w:t>
            </w:r>
            <w:r>
              <w:rPr>
                <w:rFonts w:ascii="Segoe UI" w:hAnsi="Segoe UI" w:eastAsia="Segoe UI" w:cs="Segoe UI"/>
                <w:color w:val="1F1D1A"/>
                <w:sz w:val="18"/>
              </w:rPr>
              <w:t xml:space="preserve"> (Pr 11:1)</w:t>
            </w:r>
          </w:p>
        </w:tc>
        <w:tc>
          <w:tcPr>
            <w:tcW w:type="dxa" w:w="2296"/>
          </w:tcPr>
          <w:p>
            <w:pPr>
              <w:spacing w:after="20" w:line="264" w:lineRule="auto"/>
            </w:pPr>
            <w:r/>
            <w:r>
              <w:rPr>
                <w:rFonts w:ascii="Segoe UI" w:hAnsi="Segoe UI" w:eastAsia="Segoe UI" w:cs="Segoe UI"/>
                <w:color w:val="1F1D1A"/>
                <w:sz w:val="18"/>
              </w:rPr>
              <w:t>Añadir pesos a la balanza</w:t>
            </w:r>
          </w:p>
        </w:tc>
      </w:tr>
      <w:tr>
        <w:tc>
          <w:tcPr>
            <w:tcW w:type="dxa" w:w="2296"/>
          </w:tcPr>
          <w:p>
            <w:pPr>
              <w:spacing w:after="20" w:line="264" w:lineRule="auto"/>
            </w:pPr>
            <w:r/>
            <w:r>
              <w:rPr>
                <w:rFonts w:ascii="Segoe UI" w:hAnsi="Segoe UI" w:eastAsia="Segoe UI" w:cs="Segoe UI"/>
                <w:b/>
                <w:color w:val="1F1D1A"/>
                <w:sz w:val="18"/>
              </w:rPr>
              <w:t>P5. Devolver lo confiado</w:t>
            </w:r>
          </w:p>
        </w:tc>
        <w:tc>
          <w:tcPr>
            <w:tcW w:type="dxa" w:w="2296"/>
          </w:tcPr>
          <w:p>
            <w:pPr>
              <w:spacing w:after="20" w:line="264" w:lineRule="auto"/>
            </w:pPr>
            <w:r/>
            <w:r>
              <w:rPr>
                <w:rFonts w:ascii="Segoe UI" w:hAnsi="Segoe UI" w:eastAsia="Segoe UI" w:cs="Segoe UI"/>
                <w:i/>
                <w:color w:val="1F1D1A"/>
                <w:sz w:val="18"/>
              </w:rPr>
              <w:t>Sin texto en el Arca</w:t>
            </w:r>
          </w:p>
        </w:tc>
        <w:tc>
          <w:tcPr>
            <w:tcW w:type="dxa" w:w="2296"/>
          </w:tcPr>
          <w:p>
            <w:pPr>
              <w:spacing w:after="20" w:line="264" w:lineRule="auto"/>
            </w:pPr>
            <w:r/>
            <w:r>
              <w:rPr>
                <w:rFonts w:ascii="Segoe UI" w:hAnsi="Segoe UI" w:eastAsia="Segoe UI" w:cs="Segoe UI"/>
                <w:color w:val="1F1D1A"/>
                <w:sz w:val="18"/>
              </w:rPr>
              <w:t>Devolver íntegro</w:t>
            </w:r>
          </w:p>
        </w:tc>
        <w:tc>
          <w:tcPr>
            <w:tcW w:type="dxa" w:w="2296"/>
          </w:tcPr>
          <w:p>
            <w:pPr>
              <w:spacing w:after="20" w:line="264" w:lineRule="auto"/>
            </w:pPr>
            <w:r/>
            <w:r>
              <w:rPr>
                <w:rFonts w:ascii="Segoe UI" w:hAnsi="Segoe UI" w:eastAsia="Segoe UI" w:cs="Segoe UI"/>
                <w:color w:val="1F1D1A"/>
                <w:sz w:val="18"/>
              </w:rPr>
              <w:t>No devolver; hacerse robar la suma</w:t>
            </w:r>
          </w:p>
        </w:tc>
      </w:tr>
      <w:tr>
        <w:tc>
          <w:tcPr>
            <w:tcW w:type="dxa" w:w="2296"/>
          </w:tcPr>
          <w:p>
            <w:pPr>
              <w:spacing w:after="20" w:line="264" w:lineRule="auto"/>
            </w:pPr>
            <w:r/>
            <w:r>
              <w:rPr>
                <w:rFonts w:ascii="Segoe UI" w:hAnsi="Segoe UI" w:eastAsia="Segoe UI" w:cs="Segoe UI"/>
                <w:b/>
                <w:color w:val="1F1D1A"/>
                <w:sz w:val="18"/>
              </w:rPr>
              <w:t>P6. Contra la usura; perdonar las deudas</w:t>
            </w:r>
          </w:p>
        </w:tc>
        <w:tc>
          <w:tcPr>
            <w:tcW w:type="dxa" w:w="2296"/>
          </w:tcPr>
          <w:p>
            <w:pPr>
              <w:spacing w:after="20" w:line="264" w:lineRule="auto"/>
            </w:pPr>
            <w:r/>
            <w:r>
              <w:rPr>
                <w:rFonts w:ascii="Segoe UI" w:hAnsi="Segoe UI" w:eastAsia="Segoe UI" w:cs="Segoe UI"/>
                <w:i/>
                <w:color w:val="1F1D1A"/>
                <w:sz w:val="18"/>
              </w:rPr>
              <w:t xml:space="preserve">Se trata aparte, en </w:t>
            </w:r>
            <w:r>
              <w:rPr>
                <w:rFonts w:ascii="Segoe UI" w:hAnsi="Segoe UI" w:eastAsia="Segoe UI" w:cs="Segoe UI"/>
                <w:i/>
                <w:color w:val="1F1D1A"/>
                <w:sz w:val="18"/>
              </w:rPr>
              <w:t>3.3</w:t>
            </w:r>
          </w:p>
        </w:tc>
        <w:tc>
          <w:tcPr>
            <w:tcW w:type="dxa" w:w="2296"/>
          </w:tcPr>
          <w:p>
            <w:pPr>
              <w:spacing w:after="20" w:line="264" w:lineRule="auto"/>
            </w:pPr>
            <w:r/>
          </w:p>
        </w:tc>
        <w:tc>
          <w:tcPr>
            <w:tcW w:type="dxa" w:w="2296"/>
          </w:tcPr>
          <w:p>
            <w:pPr>
              <w:spacing w:after="20" w:line="264" w:lineRule="auto"/>
            </w:pPr>
            <w:r/>
          </w:p>
        </w:tc>
      </w:tr>
      <w:tr>
        <w:tc>
          <w:tcPr>
            <w:tcW w:type="dxa" w:w="2296"/>
          </w:tcPr>
          <w:p>
            <w:pPr>
              <w:spacing w:after="20" w:line="264" w:lineRule="auto"/>
            </w:pPr>
            <w:r/>
            <w:r>
              <w:rPr>
                <w:rFonts w:ascii="Segoe UI" w:hAnsi="Segoe UI" w:eastAsia="Segoe UI" w:cs="Segoe UI"/>
                <w:b/>
                <w:color w:val="1F1D1A"/>
                <w:sz w:val="18"/>
              </w:rPr>
              <w:t>P7. Cada uno responde de lo suyo</w:t>
            </w:r>
          </w:p>
        </w:tc>
        <w:tc>
          <w:tcPr>
            <w:tcW w:type="dxa" w:w="2296"/>
          </w:tcPr>
          <w:p>
            <w:pPr>
              <w:spacing w:after="20" w:line="264" w:lineRule="auto"/>
            </w:pPr>
            <w:r/>
            <w:r>
              <w:rPr>
                <w:rFonts w:ascii="Segoe UI" w:hAnsi="Segoe UI" w:eastAsia="Segoe UI" w:cs="Segoe UI"/>
                <w:color w:val="1F1D1A"/>
                <w:sz w:val="18"/>
              </w:rPr>
              <w:t>Absolver al culpable: justificar al impío</w:t>
            </w:r>
            <w:r>
              <w:rPr>
                <w:rFonts w:ascii="Segoe UI" w:hAnsi="Segoe UI" w:eastAsia="Segoe UI" w:cs="Segoe UI"/>
                <w:color w:val="1F1D1A"/>
                <w:sz w:val="18"/>
              </w:rPr>
              <w:t xml:space="preserve"> (Pr 17:15)</w:t>
            </w:r>
          </w:p>
        </w:tc>
        <w:tc>
          <w:tcPr>
            <w:tcW w:type="dxa" w:w="2296"/>
          </w:tcPr>
          <w:p>
            <w:pPr>
              <w:spacing w:after="20" w:line="264" w:lineRule="auto"/>
            </w:pPr>
            <w:r/>
            <w:r>
              <w:rPr>
                <w:rFonts w:ascii="Segoe UI" w:hAnsi="Segoe UI" w:eastAsia="Segoe UI" w:cs="Segoe UI"/>
                <w:color w:val="1F1D1A"/>
                <w:sz w:val="18"/>
              </w:rPr>
              <w:t>Cada uno por su propio pecado; examinar antes de castigar</w:t>
            </w:r>
          </w:p>
        </w:tc>
        <w:tc>
          <w:tcPr>
            <w:tcW w:type="dxa" w:w="2296"/>
          </w:tcPr>
          <w:p>
            <w:pPr>
              <w:spacing w:after="20" w:line="264" w:lineRule="auto"/>
            </w:pPr>
            <w:r/>
            <w:r>
              <w:rPr>
                <w:rFonts w:ascii="Segoe UI" w:hAnsi="Segoe UI" w:eastAsia="Segoe UI" w:cs="Segoe UI"/>
                <w:color w:val="1F1D1A"/>
                <w:sz w:val="18"/>
              </w:rPr>
              <w:t>La culpa compartida: castigar al hijo por el padre</w:t>
            </w:r>
          </w:p>
        </w:tc>
      </w:tr>
      <w:tr>
        <w:tc>
          <w:tcPr>
            <w:tcW w:type="dxa" w:w="2296"/>
          </w:tcPr>
          <w:p>
            <w:pPr>
              <w:spacing w:after="20" w:line="264" w:lineRule="auto"/>
            </w:pPr>
            <w:r/>
            <w:r>
              <w:rPr>
                <w:rFonts w:ascii="Segoe UI" w:hAnsi="Segoe UI" w:eastAsia="Segoe UI" w:cs="Segoe UI"/>
                <w:b/>
                <w:color w:val="1F1D1A"/>
                <w:sz w:val="18"/>
              </w:rPr>
              <w:t>P8. El castigo no es un negocio</w:t>
            </w:r>
          </w:p>
        </w:tc>
        <w:tc>
          <w:tcPr>
            <w:tcW w:type="dxa" w:w="2296"/>
          </w:tcPr>
          <w:p>
            <w:pPr>
              <w:spacing w:after="20" w:line="264" w:lineRule="auto"/>
            </w:pPr>
            <w:r/>
            <w:r>
              <w:rPr>
                <w:rFonts w:ascii="Segoe UI" w:hAnsi="Segoe UI" w:eastAsia="Segoe UI" w:cs="Segoe UI"/>
                <w:color w:val="1F1D1A"/>
                <w:sz w:val="18"/>
              </w:rPr>
              <w:t>No ejecutar la sentencia a tiempo</w:t>
            </w:r>
            <w:r>
              <w:rPr>
                <w:rFonts w:ascii="Segoe UI" w:hAnsi="Segoe UI" w:eastAsia="Segoe UI" w:cs="Segoe UI"/>
                <w:color w:val="1F1D1A"/>
                <w:sz w:val="18"/>
              </w:rPr>
              <w:t xml:space="preserve"> (Ecl 8:11)</w:t>
            </w:r>
          </w:p>
        </w:tc>
        <w:tc>
          <w:tcPr>
            <w:tcW w:type="dxa" w:w="2296"/>
          </w:tcPr>
          <w:p>
            <w:pPr>
              <w:spacing w:after="20" w:line="264" w:lineRule="auto"/>
            </w:pPr>
            <w:r/>
            <w:r>
              <w:rPr>
                <w:rFonts w:ascii="Segoe UI" w:hAnsi="Segoe UI" w:eastAsia="Segoe UI" w:cs="Segoe UI"/>
                <w:color w:val="1F1D1A"/>
                <w:sz w:val="18"/>
              </w:rPr>
              <w:t>Castigar para quitar el mal, no la hacienda</w:t>
            </w:r>
          </w:p>
        </w:tc>
        <w:tc>
          <w:tcPr>
            <w:tcW w:type="dxa" w:w="2296"/>
          </w:tcPr>
          <w:p>
            <w:pPr>
              <w:spacing w:after="20" w:line="264" w:lineRule="auto"/>
            </w:pPr>
            <w:r/>
            <w:r>
              <w:rPr>
                <w:rFonts w:ascii="Segoe UI" w:hAnsi="Segoe UI" w:eastAsia="Segoe UI" w:cs="Segoe UI"/>
                <w:color w:val="1F1D1A"/>
                <w:sz w:val="18"/>
              </w:rPr>
              <w:t>Las multas como ingreso</w:t>
            </w:r>
          </w:p>
        </w:tc>
      </w:tr>
      <w:tr>
        <w:tc>
          <w:tcPr>
            <w:tcW w:type="dxa" w:w="2296"/>
          </w:tcPr>
          <w:p>
            <w:pPr>
              <w:spacing w:after="20" w:line="264" w:lineRule="auto"/>
            </w:pPr>
            <w:r/>
            <w:r>
              <w:rPr>
                <w:rFonts w:ascii="Segoe UI" w:hAnsi="Segoe UI" w:eastAsia="Segoe UI" w:cs="Segoe UI"/>
                <w:b/>
                <w:color w:val="1F1D1A"/>
                <w:sz w:val="18"/>
              </w:rPr>
              <w:t>P9. Más leyes, más pobreza</w:t>
            </w:r>
          </w:p>
        </w:tc>
        <w:tc>
          <w:tcPr>
            <w:tcW w:type="dxa" w:w="2296"/>
          </w:tcPr>
          <w:p>
            <w:pPr>
              <w:spacing w:after="20" w:line="264" w:lineRule="auto"/>
            </w:pPr>
            <w:r/>
            <w:r>
              <w:rPr>
                <w:rFonts w:ascii="Segoe UI" w:hAnsi="Segoe UI" w:eastAsia="Segoe UI" w:cs="Segoe UI"/>
                <w:color w:val="1F1D1A"/>
                <w:sz w:val="18"/>
              </w:rPr>
              <w:t>Sin leyes: todo según la voluntad o el capricho del rey</w:t>
            </w:r>
          </w:p>
        </w:tc>
        <w:tc>
          <w:tcPr>
            <w:tcW w:type="dxa" w:w="2296"/>
          </w:tcPr>
          <w:p>
            <w:pPr>
              <w:spacing w:after="20" w:line="264" w:lineRule="auto"/>
            </w:pPr>
            <w:r/>
            <w:r>
              <w:rPr>
                <w:rFonts w:ascii="Segoe UI" w:hAnsi="Segoe UI" w:eastAsia="Segoe UI" w:cs="Segoe UI"/>
                <w:color w:val="1F1D1A"/>
                <w:sz w:val="18"/>
              </w:rPr>
              <w:t>La medida justa de leyes</w:t>
            </w:r>
          </w:p>
        </w:tc>
        <w:tc>
          <w:tcPr>
            <w:tcW w:type="dxa" w:w="2296"/>
          </w:tcPr>
          <w:p>
            <w:pPr>
              <w:spacing w:after="20" w:line="264" w:lineRule="auto"/>
            </w:pPr>
            <w:r/>
            <w:r>
              <w:rPr>
                <w:rFonts w:ascii="Segoe UI" w:hAnsi="Segoe UI" w:eastAsia="Segoe UI" w:cs="Segoe UI"/>
                <w:color w:val="1F1D1A"/>
                <w:sz w:val="18"/>
              </w:rPr>
              <w:t>Cuantas más prohibiciones, más pobre el pueblo</w:t>
            </w:r>
          </w:p>
        </w:tc>
      </w:tr>
    </w:tbl>
    <w:p>
      <w:pPr>
        <w:spacing w:after="80"/>
      </w:pPr>
    </w:p>
    <w:p>
      <w:r>
        <w:t>Los dos vicios están escritos en seis de los nueve (P1, P2, P4, P7, P8 y P9); en dos más hay uno solo (P3 y P5); la usura tiene su apartado. Un solo verso da a la vez dos polos de P7: «El que justifica al impío, y el que condena al justo, ambos á dos son abominación á Jehová»</w:t>
      </w:r>
      <w:r>
        <w:t xml:space="preserve"> (Pr 17:15)</w:t>
      </w:r>
      <w:r>
        <w:br/>
      </w:r>
      <w:r>
        <w:rPr>
          <w:b/>
        </w:rPr>
        <w:t>leída en su fuente · Pr 17:15</w:t>
      </w:r>
      <w:r>
        <w:br/>
      </w:r>
      <w:r>
        <w:rPr>
          <w:b/>
        </w:rPr>
        <w:t>Archivo leído:</w:t>
      </w:r>
      <w:r>
        <w:t xml:space="preserve"> spaRV1909_texto_corrido.txt (biblia_rv1909\spaRV1909_texto_corrido.txt) · contraste del archivo de pasajes: ✔</w:t>
      </w:r>
      <w:r>
        <w:br/>
      </w:r>
      <w:r>
        <w:rPr>
          <w:b/>
        </w:rPr>
        <w:t>Lugar:</w:t>
      </w:r>
      <w:r>
        <w:t xml:space="preserve"> Pr 17:15</w:t>
      </w:r>
      <w:r>
        <w:br/>
      </w:r>
      <w:r>
        <w:rPr>
          <w:b/>
        </w:rPr>
        <w:t>Tal como está en la fuente:</w:t>
      </w:r>
      <w:r>
        <w:t xml:space="preserve"> El que justifica al impío, y el que condena al justo, ambos á dos son abominación á Jehová</w:t>
      </w:r>
      <w:r>
        <w:t>. Y el de P8 lo dice el Eclesiastés: «Porque no se ejecuta luego sentencia sobre la mala obra, el corazón de los hijos de los hombres está en ellos lleno para hacer mal»</w:t>
      </w:r>
      <w:r>
        <w:t xml:space="preserve"> (Ecl 8:11)</w:t>
      </w:r>
      <w:r>
        <w:br/>
      </w:r>
      <w:r>
        <w:rPr>
          <w:b/>
        </w:rPr>
        <w:t>leída en su fuente · Ecl 8:11</w:t>
      </w:r>
      <w:r>
        <w:br/>
      </w:r>
      <w:r>
        <w:rPr>
          <w:b/>
        </w:rPr>
        <w:t>Archivo leído:</w:t>
      </w:r>
      <w:r>
        <w:t xml:space="preserve"> spaRV1909_texto_corrido.txt (biblia_rv1909\spaRV1909_texto_corrido.txt) · contraste del archivo de pasajes: ✔</w:t>
      </w:r>
      <w:r>
        <w:br/>
      </w:r>
      <w:r>
        <w:rPr>
          <w:b/>
        </w:rPr>
        <w:t>Lugar:</w:t>
      </w:r>
      <w:r>
        <w:t xml:space="preserve"> Ecl 8:11</w:t>
      </w:r>
      <w:r>
        <w:br/>
      </w:r>
      <w:r>
        <w:rPr>
          <w:b/>
        </w:rPr>
        <w:t>Tal como está en la fuente:</w:t>
      </w:r>
      <w:r>
        <w:t xml:space="preserve"> Porque no se ejecuta luego sentencia sobre la mala obra, el corazón de los hijos de los hombres está en ellos lleno para hacer mal</w:t>
      </w:r>
      <w:r>
        <w:t>. El defecto de P3 y el de P5 se buscaron en las fuentes ya leídas y no se rellenan: la pereza del perezoso</w:t>
      </w:r>
      <w:r>
        <w:t xml:space="preserve"> (Pr 6:9-11)</w:t>
      </w:r>
      <w:r>
        <w:t xml:space="preserve"> es de quien trabaja, no de quien manda, y el caso del arma que no se devuelve a quien ha perdido la razón</w:t>
      </w:r>
      <w:r>
        <w:t xml:space="preserve"> (Platón, República I, 331c)</w:t>
      </w:r>
      <w:r>
        <w:t xml:space="preserve"> es una excepción a la regla de devolver, no un vicio. </w:t>
      </w:r>
      <w:r>
        <w:t>[04h, 3.3; 04p, fila 31]</w:t>
      </w:r>
    </w:p>
    <w:p>
      <w:pPr>
        <w:pStyle w:val="Heading2"/>
      </w:pPr>
      <w:r>
        <w:t>J.4 La balanza y el dial</w:t>
      </w:r>
    </w:p>
    <w:p>
      <w:pPr>
        <w:pBdr>
          <w:left w:val="single" w:sz="24" w:space="6" w:color="E2DED6"/>
        </w:pBdr>
        <w:shd w:val="clear" w:color="auto" w:fill="F1EEE8"/>
        <w:spacing w:before="80" w:after="160"/>
        <w:ind w:left="142" w:right="142"/>
      </w:pPr>
      <w:r>
        <w:rPr>
          <w:b/>
        </w:rPr>
        <w:t>La idea: la balanza es para lo que se da y se recibe entre dos; el dial, para la conducta de uno. La balanza equilibrada es el centro del dial.</w:t>
      </w:r>
    </w:p>
    <w:p>
      <w:r>
        <w:t>El Arca ya tiene la balanza (</w:t>
      </w:r>
      <w:r>
        <w:t>3.2</w:t>
      </w:r>
      <w:r>
        <w:t xml:space="preserve">, P4): la pesa cabal, en Egipto, Israel, la India, el judaísmo, el islam y China. Mide la </w:t>
      </w:r>
      <w:r>
        <w:rPr>
          <w:b/>
        </w:rPr>
        <w:t>reciprocidad entre dos partes</w:t>
      </w:r>
      <w:r>
        <w:t xml:space="preserve">: lo que el ciudadano da y lo que recibe; lo que el Estado promete y lo que cumple. Los dos platillos. El dial, en cambio, mide </w:t>
      </w:r>
      <w:r>
        <w:rPr>
          <w:b/>
        </w:rPr>
        <w:t>la conducta de uno solo</w:t>
      </w:r>
      <w:r>
        <w:t xml:space="preserve">: dónde cae, entre dos vicios, lo que hace una norma o una institución. Las dos medidas se unen en el título de este anexo: </w:t>
      </w:r>
      <w:r>
        <w:rPr>
          <w:b/>
        </w:rPr>
        <w:t>la balanza equilibrada</w:t>
      </w:r>
      <w:r>
        <w:t xml:space="preserve">, la que tiene los platillos iguales, </w:t>
      </w:r>
      <w:r>
        <w:rPr>
          <w:b/>
        </w:rPr>
        <w:t>es el centro del dial.</w:t>
      </w:r>
      <w:r>
        <w:t xml:space="preserve"> Cuando el Estado sirve, lo que da y lo que recibe se equilibran; cuando se sirve, un platillo baja. Por eso la obra habla de </w:t>
      </w:r>
      <w:r>
        <w:rPr>
          <w:b/>
        </w:rPr>
        <w:t>«lo que habría sido de ajustarse a lo recibido»</w:t>
      </w:r>
      <w:r>
        <w:t xml:space="preserve">: no es una opinión sobre cómo debería ser el Estado, sino la medida de la distancia entre lo creado y el centro que ya estaba escrito. </w:t>
      </w:r>
      <w:r>
        <w:t>[04o, puntos 1 y 4; 3.2, P4; 04g, 5.1]</w:t>
      </w:r>
    </w:p>
    <w:p>
      <w:pPr>
        <w:pStyle w:val="Heading2"/>
      </w:pPr>
      <w:r>
        <w:t>J.5 Las tres capas y la ficha</w:t>
      </w:r>
    </w:p>
    <w:p>
      <w:pPr>
        <w:pBdr>
          <w:left w:val="single" w:sz="24" w:space="6" w:color="E2DED6"/>
        </w:pBdr>
        <w:shd w:val="clear" w:color="auto" w:fill="F1EEE8"/>
        <w:spacing w:before="80" w:after="160"/>
        <w:ind w:left="142" w:right="142"/>
      </w:pPr>
      <w:r>
        <w:rPr>
          <w:b/>
        </w:rPr>
        <w:t>La idea: primero se dibuja el equilibrio; encima, lo creado; y después se mide la distancia y hacia dónde va. Cada cosa evaluada lleva una ficha de tres medidas.</w:t>
      </w:r>
    </w:p>
    <w:p>
      <w:r>
        <w:rPr>
          <w:b/>
        </w:rPr>
        <w:t>Las tres capas</w:t>
      </w:r>
      <w:r>
        <w:t>, en este orden:</w:t>
      </w:r>
    </w:p>
    <w:p>
      <w:pPr>
        <w:spacing w:after="60"/>
        <w:ind w:left="510" w:hanging="397"/>
      </w:pPr>
      <w:r>
        <w:rPr>
          <w:b w:val="0"/>
        </w:rPr>
        <w:t xml:space="preserve">1. </w:t>
      </w:r>
      <w:r>
        <w:rPr>
          <w:b/>
        </w:rPr>
        <w:t>El equilibrio.</w:t>
      </w:r>
      <w:r>
        <w:t xml:space="preserve"> El árbol recto con el centro de cada dial, tal como sale de lo recibido. Se dibuja </w:t>
      </w:r>
      <w:r>
        <w:rPr>
          <w:b/>
        </w:rPr>
        <w:t>primero</w:t>
      </w:r>
      <w:r>
        <w:t>, para que el centro no se pueda mover después.</w:t>
      </w:r>
    </w:p>
    <w:p>
      <w:pPr>
        <w:spacing w:after="60"/>
        <w:ind w:left="510" w:hanging="397"/>
      </w:pPr>
      <w:r>
        <w:rPr>
          <w:b w:val="0"/>
        </w:rPr>
        <w:t xml:space="preserve">2. </w:t>
      </w:r>
      <w:r>
        <w:rPr>
          <w:b/>
        </w:rPr>
        <w:t>Lo creado.</w:t>
      </w:r>
      <w:r>
        <w:t xml:space="preserve"> Sobre esa misma plantilla, dónde cae hoy cada cosa: cada norma, cada institución, cada situación. Con su mejor defensa al lado, como en todo el libro (</w:t>
      </w:r>
      <w:r>
        <w:t>0.3</w:t>
      </w:r>
      <w:r>
        <w:t>).</w:t>
      </w:r>
    </w:p>
    <w:p>
      <w:pPr>
        <w:spacing w:after="60"/>
        <w:ind w:left="510" w:hanging="397"/>
      </w:pPr>
      <w:r>
        <w:rPr>
          <w:b w:val="0"/>
        </w:rPr>
        <w:t xml:space="preserve">3. </w:t>
      </w:r>
      <w:r>
        <w:rPr>
          <w:b/>
        </w:rPr>
        <w:t>La distancia.</w:t>
      </w:r>
      <w:r>
        <w:t xml:space="preserve"> Lo que habría sido de ajustarse a lo recibido frente a lo creado, y hacia dónde se mueve: si se acerca al centro o se aleja. Es la «dirección de los hechos» de </w:t>
      </w:r>
      <w:r>
        <w:t>0.3</w:t>
      </w:r>
      <w:r>
        <w:t>, hecha visible.</w:t>
      </w:r>
    </w:p>
    <w:p>
      <w:r>
        <w:t>[04g, 5.1; Kiko, 8-oct]</w:t>
      </w:r>
    </w:p>
    <w:p>
      <w:r>
        <w:rPr>
          <w:b/>
        </w:rPr>
        <w:t>La ficha.</w:t>
      </w:r>
      <w:r>
        <w:t xml:space="preserve"> Cada cosa que se evalúa lleva tres medidas:</w:t>
      </w:r>
    </w:p>
    <w:p>
      <w:pPr>
        <w:spacing w:after="60"/>
        <w:ind w:left="510" w:hanging="397"/>
      </w:pPr>
      <w:r>
        <w:rPr>
          <w:b w:val="0"/>
        </w:rPr>
        <w:t xml:space="preserve">1. </w:t>
      </w:r>
      <w:r>
        <w:rPr>
          <w:b/>
        </w:rPr>
        <w:t>Dónde caen sus diales:</w:t>
      </w:r>
      <w:r>
        <w:t xml:space="preserve"> por defecto o por exceso; con número solo en el piloto, con zona y flecha en lo demás.</w:t>
      </w:r>
    </w:p>
    <w:p>
      <w:pPr>
        <w:spacing w:after="60"/>
        <w:ind w:left="510" w:hanging="397"/>
      </w:pPr>
      <w:r>
        <w:rPr>
          <w:b w:val="0"/>
        </w:rPr>
        <w:t xml:space="preserve">2. </w:t>
      </w:r>
      <w:r>
        <w:rPr>
          <w:b/>
        </w:rPr>
        <w:t>Cuánta verdad comprobada hay detrás:</w:t>
      </w:r>
      <w:r>
        <w:t xml:space="preserve"> los niveles A, B y C de cada dato que la sostiene (</w:t>
      </w:r>
      <w:r>
        <w:t>0.3</w:t>
      </w:r>
      <w:r>
        <w:t>), y qué parte sigue siendo presunción (</w:t>
      </w:r>
      <w:r>
        <w:t>0.4</w:t>
      </w:r>
      <w:r>
        <w:t>).</w:t>
      </w:r>
    </w:p>
    <w:p>
      <w:pPr>
        <w:spacing w:after="60"/>
        <w:ind w:left="510" w:hanging="397"/>
      </w:pPr>
      <w:r>
        <w:rPr>
          <w:b w:val="0"/>
        </w:rPr>
        <w:t xml:space="preserve">3. </w:t>
      </w:r>
      <w:r>
        <w:rPr>
          <w:b/>
        </w:rPr>
        <w:t>Hacia dónde evoluciona:</w:t>
      </w:r>
      <w:r>
        <w:t xml:space="preserve"> si se acerca o se aleja del centro, con los hechos en orden de fechas.</w:t>
      </w:r>
    </w:p>
    <w:p>
      <w:r>
        <w:t>Ninguna de las tres dice la intención de nadie: un patrón no prueba una intención (</w:t>
      </w:r>
      <w:r>
        <w:t>0.3</w:t>
      </w:r>
      <w:r>
        <w:t xml:space="preserve">). </w:t>
      </w:r>
      <w:r>
        <w:t>[04c, apartado 4, «Tres medidas»; Kiko, 8-oct: «sí a las dos»]</w:t>
      </w:r>
    </w:p>
    <w:p>
      <w:r>
        <w:rPr>
          <w:b/>
        </w:rPr>
        <w:t>Lectura del autor, lo global y lo particular</w:t>
      </w:r>
      <w:r>
        <w:t xml:space="preserve"> (palabras del autor, 6-oct-2026; las imágenes son suyas, para explicar la idea, no datos): primero se mira lo global y después lo particular. Una misma fuente da de beber a animales distintos según su caudal: con poco caudal no vive un pez, y una vaca sí puede beber. Y un solo árbol tiene muchas ramas: la que nace al sur recibe más sol que la del norte y tendrá más hojas, y cuenta también el agua que reciben las raíces. Con la obra pasa lo mismo: la Constitución, bajada de una fuente oficial, es la verdad de su texto, pero cada artículo marca una dirección distinta y no se aplica el mismo a todos los casos. Por eso el centro de cada dial se escribe una vez, para todos (</w:t>
      </w:r>
      <w:r>
        <w:t>J.2</w:t>
      </w:r>
      <w:r>
        <w:t>), y cada cosa que se evalúa lleva su ficha, con sus variables (</w:t>
      </w:r>
      <w:r>
        <w:t>J.5</w:t>
      </w:r>
      <w:r>
        <w:t>). Mirar solo lo global tiene un riesgo: la respuesta de plantilla, que trata todos los casos como iguales aunque cada uno traiga su información. La propia ley pide lo contrario: motivar el acto, y una motivación de plantilla no cumple ese deber (</w:t>
      </w:r>
      <w:r>
        <w:t>10.4</w:t>
      </w:r>
      <w:r>
        <w:t>).</w:t>
      </w:r>
    </w:p>
    <w:p>
      <w:r>
        <w:t>[palabras de Kiko, 6-oct-2026 (libreta de flecos, sección 6: «Lo global y lo particular»); 03b, A7; Ley 39/2015, art. 35, ya en 10.4]</w:t>
      </w:r>
    </w:p>
    <w:p>
      <w:pPr>
        <w:pStyle w:val="Heading2"/>
      </w:pPr>
      <w:r>
        <w:t>J.6 El piloto</w:t>
      </w:r>
    </w:p>
    <w:p>
      <w:pPr>
        <w:pBdr>
          <w:left w:val="single" w:sz="24" w:space="6" w:color="E2DED6"/>
        </w:pBdr>
        <w:shd w:val="clear" w:color="auto" w:fill="F1EEE8"/>
        <w:spacing w:before="80" w:after="160"/>
        <w:ind w:left="142" w:right="142"/>
      </w:pPr>
      <w:r>
        <w:rPr>
          <w:b/>
        </w:rPr>
        <w:t>La idea: el dial se prueba primero en pequeño, con las palabras del artículo 1.1 de la Constitución y con la dignidad, y solo lleva números si cumple cuatro condiciones.</w:t>
      </w:r>
    </w:p>
    <w:p>
      <w:r>
        <w:rPr>
          <w:b/>
        </w:rPr>
        <w:t>Las cuatro condiciones</w:t>
      </w:r>
      <w:r>
        <w:t xml:space="preserve"> para que un dial lleve número, fijadas antes de medir:</w:t>
      </w:r>
    </w:p>
    <w:p>
      <w:pPr>
        <w:spacing w:after="60"/>
        <w:ind w:left="510" w:hanging="397"/>
      </w:pPr>
      <w:r>
        <w:rPr>
          <w:b w:val="0"/>
        </w:rPr>
        <w:t xml:space="preserve">1. </w:t>
      </w:r>
      <w:r>
        <w:rPr>
          <w:b/>
        </w:rPr>
        <w:t>Los polos son dos vicios</w:t>
      </w:r>
      <w:r>
        <w:t>, no el bien y el mal (anexo del 4.3). Si un dial pone «bien» a un lado y «mal» al otro, falla.</w:t>
      </w:r>
    </w:p>
    <w:p>
      <w:pPr>
        <w:spacing w:after="60"/>
        <w:ind w:left="510" w:hanging="397"/>
      </w:pPr>
      <w:r>
        <w:rPr>
          <w:b w:val="0"/>
        </w:rPr>
        <w:t xml:space="preserve">2. </w:t>
      </w:r>
      <w:r>
        <w:rPr>
          <w:b/>
        </w:rPr>
        <w:t>El centro se escribe antes de mirar los datos</w:t>
      </w:r>
      <w:r>
        <w:t>, con la definición del bien común (</w:t>
      </w:r>
      <w:r>
        <w:t>J.2</w:t>
      </w:r>
      <w:r>
        <w:t xml:space="preserve"> y 7.4).</w:t>
      </w:r>
    </w:p>
    <w:p>
      <w:pPr>
        <w:spacing w:after="60"/>
        <w:ind w:left="510" w:hanging="397"/>
      </w:pPr>
      <w:r>
        <w:rPr>
          <w:b w:val="0"/>
        </w:rPr>
        <w:t xml:space="preserve">3. </w:t>
      </w:r>
      <w:r>
        <w:rPr>
          <w:b/>
        </w:rPr>
        <w:t>Se miden frutos observables</w:t>
      </w:r>
      <w:r>
        <w:t>, no propósitos ni intenciones; y se miden diseños e instituciones, nunca personas.</w:t>
      </w:r>
    </w:p>
    <w:p>
      <w:pPr>
        <w:spacing w:after="60"/>
        <w:ind w:left="510" w:hanging="397"/>
      </w:pPr>
      <w:r>
        <w:rPr>
          <w:b w:val="0"/>
        </w:rPr>
        <w:t xml:space="preserve">4. </w:t>
      </w:r>
      <w:r>
        <w:rPr>
          <w:b/>
        </w:rPr>
        <w:t>Un perfil, no un porcentaje único:</w:t>
      </w:r>
      <w:r>
        <w:t xml:space="preserve"> una media global esconde lo que importa; se da cada dimensión a la vista, y un porcentaje por dimensión solo si tiene umbral escrito de antemano, dato de nivel A y cálculo que cualquiera pueda repetir.</w:t>
      </w:r>
    </w:p>
    <w:p>
      <w:r>
        <w:t>[libreta 78, apartado 3; 04g, 5.1; Kiko, 8-oct: «sí»]</w:t>
      </w:r>
    </w:p>
    <w:p>
      <w:r>
        <w:rPr>
          <w:b/>
        </w:rPr>
        <w:t>El diseño del piloto.</w:t>
      </w:r>
      <w:r>
        <w:t xml:space="preserve"> Las palabras que la Constitución promete en su artículo 1.1, «la libertad, la justicia, la igualdad y el pluralismo político»</w:t>
      </w:r>
      <w:r>
        <w:t xml:space="preserve"> (Constitución, art. 1.1)</w:t>
      </w:r>
      <w:r>
        <w:br/>
      </w:r>
      <w:r>
        <w:rPr>
          <w:b/>
        </w:rPr>
        <w:t>leída en su fuente · Constitución, art. 1.1</w:t>
      </w:r>
      <w:r>
        <w:br/>
      </w:r>
      <w:r>
        <w:rPr>
          <w:b/>
        </w:rPr>
        <w:t>Archivo leído:</w:t>
      </w:r>
      <w:r>
        <w:t xml:space="preserve"> ce.html (ant\c1\ce.html) · contraste del archivo de pasajes: ✔</w:t>
      </w:r>
      <w:r>
        <w:br/>
      </w:r>
      <w:r>
        <w:rPr>
          <w:b/>
        </w:rPr>
        <w:t>Lugar:</w:t>
      </w:r>
      <w:r>
        <w:t xml:space="preserve"> Constitución, art. 1.1</w:t>
      </w:r>
      <w:r>
        <w:br/>
      </w:r>
      <w:r>
        <w:rPr>
          <w:b/>
        </w:rPr>
        <w:t>Tal como está en la fuente:</w:t>
      </w:r>
      <w:r>
        <w:t xml:space="preserve"> propugna como valores superiores de su ordenamiento jurídico la libertad, la justicia, la igualdad y el pluralismo político</w:t>
      </w:r>
      <w:r>
        <w:t>, y la dignidad del artículo 10.1 (</w:t>
      </w:r>
      <w:r>
        <w:t>1.4</w:t>
      </w:r>
      <w:r>
        <w:t xml:space="preserve">). Para cada palabra, tres o cuatro dimensiones elegidas entre los datos de nivel A que la obra ya tiene, sin buscar ninguno nuevo; para cada dimensión, el defecto, el centro y el exceso, con el umbral escrito antes del dato; y el resultado en tres palabras: «cerca», «se aleja por defecto» o «se aleja por exceso». Las dimensiones candidatas, por comprobar una a una con el conjunto delante: para la justicia, los plazos y las condenas de los tribunales (7 y </w:t>
      </w:r>
      <w:r>
        <w:t>anexo A</w:t>
      </w:r>
      <w:r>
        <w:t xml:space="preserve">); para la igualdad, los aforamientos, la pobreza infantil y la diferencia entre lo público y lo privado; para la libertad, las sanciones administrativas y el silencio administrativo; para el pluralismo, el umbral de entrada y las subvenciones a quien ya tiene escaños. Antes de publicar un número, la regla se prueba con una muestra juzgada aparte. </w:t>
      </w:r>
      <w:r>
        <w:t>[libreta 78, apartado 4; Constitución leída en el BOE]</w:t>
      </w:r>
    </w:p>
    <w:p>
      <w:r>
        <w:rPr>
          <w:b/>
        </w:rPr>
        <w:t>Lo que el piloto es y lo que no.</w:t>
      </w:r>
      <w:r>
        <w:t xml:space="preserve"> Es la prueba de que el método se puede aplicar sin trampa; no es el veredicto sobre el Estado, que ya está dicho en el dictamen (</w:t>
      </w:r>
      <w:r>
        <w:t>9</w:t>
      </w:r>
      <w:r>
        <w:t xml:space="preserve">). Si una dimensión no cumple las cuatro condiciones, se queda sin número y va como lectura del autor. </w:t>
      </w:r>
      <w:r>
        <w:t>[libreta 78, apartados 3 y 7]</w:t>
      </w:r>
    </w:p>
    <w:p>
      <w:r>
        <w:rPr>
          <w:b/>
        </w:rPr>
        <w:t>El piloto, hecho sin números.</w:t>
      </w:r>
      <w:r>
        <w:t xml:space="preserve"> Un dial por palabra: el centro, escrito antes de mirar ningún dato; a la izquierda, el vicio de no cuidar, y a la derecha, el de servirse, como en el dial maestro (</w:t>
      </w:r>
      <w:r>
        <w:t>J.3</w:t>
      </w:r>
      <w:r>
        <w:t>); y en cada dimensión, la flecha en tres palabras, solo con lo que la obra ya tiene y su remisión. El centro es el bien: de lo que hizo, «vió Dios que era bueno»</w:t>
      </w:r>
      <w:r>
        <w:t xml:space="preserve"> (Gn 1:10)</w:t>
      </w:r>
      <w:r>
        <w:t>. Y el mal es errar ese blanco, como lo nombran el griego y el hebreo de la Biblia (</w:t>
      </w:r>
      <w:r>
        <w:t>3.2</w:t>
      </w:r>
      <w:r>
        <w:t>) y el sánscrito (</w:t>
      </w:r>
      <w:r>
        <w:t>F.8</w:t>
      </w:r>
      <w:r>
        <w:t>).</w:t>
      </w:r>
    </w:p>
    <w:p>
      <w:pPr>
        <w:pStyle w:val="ListBullet"/>
      </w:pPr>
      <w:r>
        <w:rPr>
          <w:b/>
        </w:rPr>
        <w:t>Libertad:</w:t>
      </w:r>
      <w:r>
        <w:t xml:space="preserve"> se aleja por exceso en la presunción en lo sancionador; está cerca en el silencio que da la razón a quien pide para sí; y se aleja por defecto en el silencio que no contesta a quien pregunta o pide información.</w:t>
      </w:r>
    </w:p>
    <w:p>
      <w:pPr>
        <w:pStyle w:val="ListBullet"/>
      </w:pPr>
      <w:r>
        <w:rPr>
          <w:b/>
        </w:rPr>
        <w:t>Justicia:</w:t>
      </w:r>
      <w:r>
        <w:t xml:space="preserve"> se aleja por defecto en los plazos, en la justicia gratuita, en la reparación del error judicial y en el órgano de gobierno de los jueces, que no se renovó a su tiempo.</w:t>
      </w:r>
    </w:p>
    <w:p>
      <w:pPr>
        <w:pStyle w:val="ListBullet"/>
      </w:pPr>
      <w:r>
        <w:rPr>
          <w:b/>
        </w:rPr>
        <w:t>Igualdad:</w:t>
      </w:r>
      <w:r>
        <w:t xml:space="preserve"> se aleja por exceso en los aforados y por defecto en la pobreza infantil; lo público frente a lo privado se queda sin flecha.</w:t>
      </w:r>
    </w:p>
    <w:p>
      <w:pPr>
        <w:pStyle w:val="ListBullet"/>
      </w:pPr>
      <w:r>
        <w:rPr>
          <w:b/>
        </w:rPr>
        <w:t>Pluralismo político:</w:t>
      </w:r>
      <w:r>
        <w:t xml:space="preserve"> se aleja por exceso en el umbral de entrada, en las firmas que se piden al partido nuevo y en el dinero.</w:t>
      </w:r>
    </w:p>
    <w:p>
      <w:pPr>
        <w:pStyle w:val="ListBullet"/>
      </w:pPr>
      <w:r>
        <w:rPr>
          <w:b/>
        </w:rPr>
        <w:t>Dignidad:</w:t>
      </w:r>
      <w:r>
        <w:t xml:space="preserve"> se aleja por defecto en la persona como trámite; la persona como medio se queda sin flecha.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Palabra</w:t>
            </w:r>
          </w:p>
        </w:tc>
        <w:tc>
          <w:tcPr>
            <w:tcW w:type="dxa" w:w="2296"/>
            <w:shd w:val="clear" w:color="auto" w:fill="F1EEE8"/>
          </w:tcPr>
          <w:p>
            <w:pPr>
              <w:spacing w:after="20" w:line="264" w:lineRule="auto"/>
            </w:pPr>
            <w:r>
              <w:rPr>
                <w:b/>
              </w:rPr>
            </w:r>
            <w:r>
              <w:rPr>
                <w:rFonts w:ascii="Segoe UI" w:hAnsi="Segoe UI" w:eastAsia="Segoe UI" w:cs="Segoe UI"/>
                <w:b/>
                <w:color w:val="1F1D1A"/>
                <w:sz w:val="18"/>
              </w:rPr>
              <w:t>Izquierda: no cuida</w:t>
            </w:r>
          </w:p>
        </w:tc>
        <w:tc>
          <w:tcPr>
            <w:tcW w:type="dxa" w:w="2296"/>
            <w:shd w:val="clear" w:color="auto" w:fill="F1EEE8"/>
          </w:tcPr>
          <w:p>
            <w:pPr>
              <w:spacing w:after="20" w:line="264" w:lineRule="auto"/>
            </w:pPr>
            <w:r>
              <w:rPr>
                <w:b/>
              </w:rPr>
            </w:r>
            <w:r>
              <w:rPr>
                <w:rFonts w:ascii="Segoe UI" w:hAnsi="Segoe UI" w:eastAsia="Segoe UI" w:cs="Segoe UI"/>
                <w:b/>
                <w:color w:val="1F1D1A"/>
                <w:sz w:val="18"/>
              </w:rPr>
              <w:t>Centro</w:t>
            </w:r>
          </w:p>
        </w:tc>
        <w:tc>
          <w:tcPr>
            <w:tcW w:type="dxa" w:w="2296"/>
            <w:shd w:val="clear" w:color="auto" w:fill="F1EEE8"/>
          </w:tcPr>
          <w:p>
            <w:pPr>
              <w:spacing w:after="20" w:line="264" w:lineRule="auto"/>
            </w:pPr>
            <w:r>
              <w:rPr>
                <w:b/>
              </w:rPr>
            </w:r>
            <w:r>
              <w:rPr>
                <w:rFonts w:ascii="Segoe UI" w:hAnsi="Segoe UI" w:eastAsia="Segoe UI" w:cs="Segoe UI"/>
                <w:b/>
                <w:color w:val="1F1D1A"/>
                <w:sz w:val="18"/>
              </w:rPr>
              <w:t>Derecha: se sirve</w:t>
            </w:r>
          </w:p>
        </w:tc>
      </w:tr>
      <w:tr>
        <w:tc>
          <w:tcPr>
            <w:tcW w:type="dxa" w:w="2296"/>
          </w:tcPr>
          <w:p>
            <w:pPr>
              <w:spacing w:after="20" w:line="264" w:lineRule="auto"/>
            </w:pPr>
            <w:r/>
            <w:r>
              <w:rPr>
                <w:rFonts w:ascii="Segoe UI" w:hAnsi="Segoe UI" w:eastAsia="Segoe UI" w:cs="Segoe UI"/>
                <w:color w:val="1F1D1A"/>
                <w:sz w:val="18"/>
              </w:rPr>
              <w:t>Libertad</w:t>
            </w:r>
          </w:p>
        </w:tc>
        <w:tc>
          <w:tcPr>
            <w:tcW w:type="dxa" w:w="2296"/>
          </w:tcPr>
          <w:p>
            <w:pPr>
              <w:spacing w:after="20" w:line="264" w:lineRule="auto"/>
            </w:pPr>
            <w:r/>
            <w:r>
              <w:rPr>
                <w:rFonts w:ascii="Segoe UI" w:hAnsi="Segoe UI" w:eastAsia="Segoe UI" w:cs="Segoe UI"/>
                <w:color w:val="1F1D1A"/>
                <w:sz w:val="18"/>
              </w:rPr>
              <w:t>El fuerte hace lo que quiere y el débil no tiene a quién acudir</w:t>
            </w:r>
          </w:p>
        </w:tc>
        <w:tc>
          <w:tcPr>
            <w:tcW w:type="dxa" w:w="2296"/>
          </w:tcPr>
          <w:p>
            <w:pPr>
              <w:spacing w:after="20" w:line="264" w:lineRule="auto"/>
            </w:pPr>
            <w:r/>
            <w:r>
              <w:rPr>
                <w:rFonts w:ascii="Segoe UI" w:hAnsi="Segoe UI" w:eastAsia="Segoe UI" w:cs="Segoe UI"/>
                <w:color w:val="1F1D1A"/>
                <w:sz w:val="18"/>
              </w:rPr>
              <w:t>El poder la garantiza y solo pone el límite que protege a los demás</w:t>
            </w:r>
          </w:p>
        </w:tc>
        <w:tc>
          <w:tcPr>
            <w:tcW w:type="dxa" w:w="2296"/>
          </w:tcPr>
          <w:p>
            <w:pPr>
              <w:spacing w:after="20" w:line="264" w:lineRule="auto"/>
            </w:pPr>
            <w:r/>
            <w:r>
              <w:rPr>
                <w:rFonts w:ascii="Segoe UI" w:hAnsi="Segoe UI" w:eastAsia="Segoe UI" w:cs="Segoe UI"/>
                <w:color w:val="1F1D1A"/>
                <w:sz w:val="18"/>
              </w:rPr>
              <w:t>La tutela, el poder decide por el ciudadano, pide permiso para todo y castiga sin juez</w:t>
            </w:r>
          </w:p>
        </w:tc>
      </w:tr>
      <w:tr>
        <w:tc>
          <w:tcPr>
            <w:tcW w:type="dxa" w:w="2296"/>
          </w:tcPr>
          <w:p>
            <w:pPr>
              <w:spacing w:after="20" w:line="264" w:lineRule="auto"/>
            </w:pPr>
            <w:r/>
            <w:r>
              <w:rPr>
                <w:rFonts w:ascii="Segoe UI" w:hAnsi="Segoe UI" w:eastAsia="Segoe UI" w:cs="Segoe UI"/>
                <w:color w:val="1F1D1A"/>
                <w:sz w:val="18"/>
              </w:rPr>
              <w:t>Justicia</w:t>
            </w:r>
          </w:p>
        </w:tc>
        <w:tc>
          <w:tcPr>
            <w:tcW w:type="dxa" w:w="2296"/>
          </w:tcPr>
          <w:p>
            <w:pPr>
              <w:spacing w:after="20" w:line="264" w:lineRule="auto"/>
            </w:pPr>
            <w:r/>
            <w:r>
              <w:rPr>
                <w:rFonts w:ascii="Segoe UI" w:hAnsi="Segoe UI" w:eastAsia="Segoe UI" w:cs="Segoe UI"/>
                <w:color w:val="1F1D1A"/>
                <w:sz w:val="18"/>
              </w:rPr>
              <w:t>La justicia que no llega, plazos que la vacían, condenas que no se cumplen, el poder que no se corrige</w:t>
            </w:r>
          </w:p>
        </w:tc>
        <w:tc>
          <w:tcPr>
            <w:tcW w:type="dxa" w:w="2296"/>
          </w:tcPr>
          <w:p>
            <w:pPr>
              <w:spacing w:after="20" w:line="264" w:lineRule="auto"/>
            </w:pPr>
            <w:r/>
            <w:r>
              <w:rPr>
                <w:rFonts w:ascii="Segoe UI" w:hAnsi="Segoe UI" w:eastAsia="Segoe UI" w:cs="Segoe UI"/>
                <w:color w:val="1F1D1A"/>
                <w:sz w:val="18"/>
              </w:rPr>
              <w:t>A cada uno lo suyo, a tiempo y con la misma ley</w:t>
            </w:r>
          </w:p>
        </w:tc>
        <w:tc>
          <w:tcPr>
            <w:tcW w:type="dxa" w:w="2296"/>
          </w:tcPr>
          <w:p>
            <w:pPr>
              <w:spacing w:after="20" w:line="264" w:lineRule="auto"/>
            </w:pPr>
            <w:r/>
            <w:r>
              <w:rPr>
                <w:rFonts w:ascii="Segoe UI" w:hAnsi="Segoe UI" w:eastAsia="Segoe UI" w:cs="Segoe UI"/>
                <w:color w:val="1F1D1A"/>
                <w:sz w:val="18"/>
              </w:rPr>
              <w:t>La justicia como instrumento, se persigue al incómodo y se perdona al propio</w:t>
            </w:r>
          </w:p>
        </w:tc>
      </w:tr>
      <w:tr>
        <w:tc>
          <w:tcPr>
            <w:tcW w:type="dxa" w:w="2296"/>
          </w:tcPr>
          <w:p>
            <w:pPr>
              <w:spacing w:after="20" w:line="264" w:lineRule="auto"/>
            </w:pPr>
            <w:r/>
            <w:r>
              <w:rPr>
                <w:rFonts w:ascii="Segoe UI" w:hAnsi="Segoe UI" w:eastAsia="Segoe UI" w:cs="Segoe UI"/>
                <w:color w:val="1F1D1A"/>
                <w:sz w:val="18"/>
              </w:rPr>
              <w:t>Igualdad</w:t>
            </w:r>
          </w:p>
        </w:tc>
        <w:tc>
          <w:tcPr>
            <w:tcW w:type="dxa" w:w="2296"/>
          </w:tcPr>
          <w:p>
            <w:pPr>
              <w:spacing w:after="20" w:line="264" w:lineRule="auto"/>
            </w:pPr>
            <w:r/>
            <w:r>
              <w:rPr>
                <w:rFonts w:ascii="Segoe UI" w:hAnsi="Segoe UI" w:eastAsia="Segoe UI" w:cs="Segoe UI"/>
                <w:color w:val="1F1D1A"/>
                <w:sz w:val="18"/>
              </w:rPr>
              <w:t>El abandono, el que menos tiene queda fuera</w:t>
            </w:r>
          </w:p>
        </w:tc>
        <w:tc>
          <w:tcPr>
            <w:tcW w:type="dxa" w:w="2296"/>
          </w:tcPr>
          <w:p>
            <w:pPr>
              <w:spacing w:after="20" w:line="264" w:lineRule="auto"/>
            </w:pPr>
            <w:r/>
            <w:r>
              <w:rPr>
                <w:rFonts w:ascii="Segoe UI" w:hAnsi="Segoe UI" w:eastAsia="Segoe UI" w:cs="Segoe UI"/>
                <w:color w:val="1F1D1A"/>
                <w:sz w:val="18"/>
              </w:rPr>
              <w:t>La misma ley para todos, sin privilegio y sin abandono</w:t>
            </w:r>
          </w:p>
        </w:tc>
        <w:tc>
          <w:tcPr>
            <w:tcW w:type="dxa" w:w="2296"/>
          </w:tcPr>
          <w:p>
            <w:pPr>
              <w:spacing w:after="20" w:line="264" w:lineRule="auto"/>
            </w:pPr>
            <w:r/>
            <w:r>
              <w:rPr>
                <w:rFonts w:ascii="Segoe UI" w:hAnsi="Segoe UI" w:eastAsia="Segoe UI" w:cs="Segoe UI"/>
                <w:color w:val="1F1D1A"/>
                <w:sz w:val="18"/>
              </w:rPr>
              <w:t>El privilegio, el poder se exime de la ley común y reparte según quién</w:t>
            </w:r>
          </w:p>
        </w:tc>
      </w:tr>
      <w:tr>
        <w:tc>
          <w:tcPr>
            <w:tcW w:type="dxa" w:w="2296"/>
          </w:tcPr>
          <w:p>
            <w:pPr>
              <w:spacing w:after="20" w:line="264" w:lineRule="auto"/>
            </w:pPr>
            <w:r/>
            <w:r>
              <w:rPr>
                <w:rFonts w:ascii="Segoe UI" w:hAnsi="Segoe UI" w:eastAsia="Segoe UI" w:cs="Segoe UI"/>
                <w:color w:val="1F1D1A"/>
                <w:sz w:val="18"/>
              </w:rPr>
              <w:t>Pluralismo político</w:t>
            </w:r>
          </w:p>
        </w:tc>
        <w:tc>
          <w:tcPr>
            <w:tcW w:type="dxa" w:w="2296"/>
          </w:tcPr>
          <w:p>
            <w:pPr>
              <w:spacing w:after="20" w:line="264" w:lineRule="auto"/>
            </w:pPr>
            <w:r/>
            <w:r>
              <w:rPr>
                <w:rFonts w:ascii="Segoe UI" w:hAnsi="Segoe UI" w:eastAsia="Segoe UI" w:cs="Segoe UI"/>
                <w:color w:val="1F1D1A"/>
                <w:sz w:val="18"/>
              </w:rPr>
              <w:t>La voz sin cauce, nadie recoge lo que el ciudadano dice</w:t>
            </w:r>
          </w:p>
        </w:tc>
        <w:tc>
          <w:tcPr>
            <w:tcW w:type="dxa" w:w="2296"/>
          </w:tcPr>
          <w:p>
            <w:pPr>
              <w:spacing w:after="20" w:line="264" w:lineRule="auto"/>
            </w:pPr>
            <w:r/>
            <w:r>
              <w:rPr>
                <w:rFonts w:ascii="Segoe UI" w:hAnsi="Segoe UI" w:eastAsia="Segoe UI" w:cs="Segoe UI"/>
                <w:color w:val="1F1D1A"/>
                <w:sz w:val="18"/>
              </w:rPr>
              <w:t>Todas las voces con las mismas reglas, y decide quien tiene el mandato</w:t>
            </w:r>
          </w:p>
        </w:tc>
        <w:tc>
          <w:tcPr>
            <w:tcW w:type="dxa" w:w="2296"/>
          </w:tcPr>
          <w:p>
            <w:pPr>
              <w:spacing w:after="20" w:line="264" w:lineRule="auto"/>
            </w:pPr>
            <w:r/>
            <w:r>
              <w:rPr>
                <w:rFonts w:ascii="Segoe UI" w:hAnsi="Segoe UI" w:eastAsia="Segoe UI" w:cs="Segoe UI"/>
                <w:color w:val="1F1D1A"/>
                <w:sz w:val="18"/>
              </w:rPr>
              <w:t>El cierre, las reglas protegen a quien ya está dentro</w:t>
            </w:r>
          </w:p>
        </w:tc>
      </w:tr>
      <w:tr>
        <w:tc>
          <w:tcPr>
            <w:tcW w:type="dxa" w:w="2296"/>
          </w:tcPr>
          <w:p>
            <w:pPr>
              <w:spacing w:after="20" w:line="264" w:lineRule="auto"/>
            </w:pPr>
            <w:r/>
            <w:r>
              <w:rPr>
                <w:rFonts w:ascii="Segoe UI" w:hAnsi="Segoe UI" w:eastAsia="Segoe UI" w:cs="Segoe UI"/>
                <w:color w:val="1F1D1A"/>
                <w:sz w:val="18"/>
              </w:rPr>
              <w:t>Dignidad</w:t>
            </w:r>
          </w:p>
        </w:tc>
        <w:tc>
          <w:tcPr>
            <w:tcW w:type="dxa" w:w="2296"/>
          </w:tcPr>
          <w:p>
            <w:pPr>
              <w:spacing w:after="20" w:line="264" w:lineRule="auto"/>
            </w:pPr>
            <w:r/>
            <w:r>
              <w:rPr>
                <w:rFonts w:ascii="Segoe UI" w:hAnsi="Segoe UI" w:eastAsia="Segoe UI" w:cs="Segoe UI"/>
                <w:color w:val="1F1D1A"/>
                <w:sz w:val="18"/>
              </w:rPr>
              <w:t>La persona como número o trámite</w:t>
            </w:r>
          </w:p>
        </w:tc>
        <w:tc>
          <w:tcPr>
            <w:tcW w:type="dxa" w:w="2296"/>
          </w:tcPr>
          <w:p>
            <w:pPr>
              <w:spacing w:after="20" w:line="264" w:lineRule="auto"/>
            </w:pPr>
            <w:r/>
            <w:r>
              <w:rPr>
                <w:rFonts w:ascii="Segoe UI" w:hAnsi="Segoe UI" w:eastAsia="Segoe UI" w:cs="Segoe UI"/>
                <w:color w:val="1F1D1A"/>
                <w:sz w:val="18"/>
              </w:rPr>
              <w:t>Cada persona vale por ser persona, antes del Estado, y se la trata como fin</w:t>
            </w:r>
          </w:p>
        </w:tc>
        <w:tc>
          <w:tcPr>
            <w:tcW w:type="dxa" w:w="2296"/>
          </w:tcPr>
          <w:p>
            <w:pPr>
              <w:spacing w:after="20" w:line="264" w:lineRule="auto"/>
            </w:pPr>
            <w:r/>
            <w:r>
              <w:rPr>
                <w:rFonts w:ascii="Segoe UI" w:hAnsi="Segoe UI" w:eastAsia="Segoe UI" w:cs="Segoe UI"/>
                <w:color w:val="1F1D1A"/>
                <w:sz w:val="18"/>
              </w:rPr>
              <w:t>La persona como medio del aparato</w:t>
            </w:r>
          </w:p>
        </w:tc>
      </w:tr>
    </w:tbl>
    <w:p>
      <w:pPr>
        <w:spacing w:after="80"/>
      </w:pPr>
    </w:p>
    <w:p>
      <w:r>
        <w:rPr>
          <w:b/>
        </w:rPr>
        <w:t>Lo que sostiene cada flecha</w:t>
      </w:r>
      <w:r>
        <w:t xml:space="preserve"> (solo lo que la obra ya tiene; cada dato, completo, en su apartado):</w:t>
      </w:r>
    </w:p>
    <w:p>
      <w:pPr>
        <w:pStyle w:val="ListBullet"/>
      </w:pPr>
      <w:r>
        <w:rPr>
          <w:b/>
        </w:rPr>
        <w:t>Libertad, la presunción en lo sancionador: se aleja por exceso.</w:t>
      </w:r>
      <w:r>
        <w:t xml:space="preserve"> La ley la reconoce, pero donde la práctica invierte la carga de la prueba hay que reclamarla caso por caso (</w:t>
      </w:r>
      <w:r>
        <w:t>7.5</w:t>
      </w:r>
      <w:r>
        <w:t>, caso 3); y la palabra de la autoridad hace prueba (</w:t>
      </w:r>
      <w:r>
        <w:t>D.13</w:t>
      </w:r>
      <w:r>
        <w:t>, n.º 3).</w:t>
      </w:r>
    </w:p>
    <w:p>
      <w:pPr>
        <w:pStyle w:val="ListBullet"/>
      </w:pPr>
      <w:r>
        <w:rPr>
          <w:b/>
        </w:rPr>
        <w:t>Libertad, el silencio cuando el ciudadano pide para sí: cerca.</w:t>
      </w:r>
      <w:r>
        <w:t xml:space="preserve"> Si vence el plazo sin resolución, la regla general es que el silencio le da la razón (</w:t>
      </w:r>
      <w:r>
        <w:t>D.13</w:t>
      </w:r>
      <w:r>
        <w:t>).</w:t>
      </w:r>
    </w:p>
    <w:p>
      <w:pPr>
        <w:pStyle w:val="ListBullet"/>
      </w:pPr>
      <w:r>
        <w:rPr>
          <w:b/>
        </w:rPr>
        <w:t>Libertad, el silencio cuando el ciudadano pregunta: se aleja por defecto.</w:t>
      </w:r>
      <w:r>
        <w:t xml:space="preserve"> En la petición y en el acceso a la información, el silencio dice no (</w:t>
      </w:r>
      <w:r>
        <w:t>10.4</w:t>
      </w:r>
      <w:r>
        <w:t xml:space="preserve">; </w:t>
      </w:r>
      <w:r>
        <w:t>D.13</w:t>
      </w:r>
      <w:r>
        <w:t>, n.º 7), y las reclamaciones de transparencia porque la Administración no contestó en plazo van a más cada año (</w:t>
      </w:r>
      <w:r>
        <w:t>A.5</w:t>
      </w:r>
      <w:r>
        <w:t>, art. 105.b).</w:t>
      </w:r>
    </w:p>
    <w:p>
      <w:pPr>
        <w:pStyle w:val="ListBullet"/>
      </w:pPr>
      <w:r>
        <w:rPr>
          <w:b/>
        </w:rPr>
        <w:t>Justicia, los plazos: se aleja por defecto.</w:t>
      </w:r>
      <w:r>
        <w:t xml:space="preserve"> Crecen los asuntos penales pendientes, el órgano de gobierno de los jueces no tiene datos de lo que dura de verdad un proceso, y el Tribunal Europeo de Derechos Humanos condenó a España por la lentitud del Constitucional (</w:t>
      </w:r>
      <w:r>
        <w:t>A.7</w:t>
      </w:r>
      <w:r>
        <w:t>, art. 120.3).</w:t>
      </w:r>
    </w:p>
    <w:p>
      <w:pPr>
        <w:pStyle w:val="ListBullet"/>
      </w:pPr>
      <w:r>
        <w:rPr>
          <w:b/>
        </w:rPr>
        <w:t>Justicia, la justicia gratuita: se aleja por defecto.</w:t>
      </w:r>
      <w:r>
        <w:t xml:space="preserve"> El turno de oficio está en huelga indefinida, sin resolver, y una comunidad tardó diecisiete años en actualizar lo que le paga (</w:t>
      </w:r>
      <w:r>
        <w:t>A.7</w:t>
      </w:r>
      <w:r>
        <w:t>, art. 119).</w:t>
      </w:r>
    </w:p>
    <w:p>
      <w:pPr>
        <w:pStyle w:val="ListBullet"/>
      </w:pPr>
      <w:r>
        <w:rPr>
          <w:b/>
        </w:rPr>
        <w:t>Justicia, la reparación del error judicial: se aleja por defecto.</w:t>
      </w:r>
      <w:r>
        <w:t xml:space="preserve"> Se pide un error evidente, en un plazo corto y con riesgo de pagar las costas, y no se publica cuántas veces se concede (</w:t>
      </w:r>
      <w:r>
        <w:t>A.7</w:t>
      </w:r>
      <w:r>
        <w:t>, art. 121).</w:t>
      </w:r>
    </w:p>
    <w:p>
      <w:pPr>
        <w:pStyle w:val="ListBullet"/>
      </w:pPr>
      <w:r>
        <w:rPr>
          <w:b/>
        </w:rPr>
        <w:t>Justicia, el gobierno de los jueces: se aleja por defecto.</w:t>
      </w:r>
      <w:r>
        <w:t xml:space="preserve"> Su órgano de gobierno estuvo cinco años y medio con el mandato caducado: el poder que no se corrige (</w:t>
      </w:r>
      <w:r>
        <w:t>A.7</w:t>
      </w:r>
      <w:r>
        <w:t xml:space="preserve">, art. 122; </w:t>
      </w:r>
      <w:r>
        <w:t>7.4</w:t>
      </w:r>
      <w:r>
        <w:t>).</w:t>
      </w:r>
    </w:p>
    <w:p>
      <w:pPr>
        <w:pStyle w:val="ListBullet"/>
      </w:pPr>
      <w:r>
        <w:rPr>
          <w:b/>
        </w:rPr>
        <w:t>Igualdad, los aforados: se aleja por exceso.</w:t>
      </w:r>
      <w:r>
        <w:t xml:space="preserve"> A los aforados, en su mayoría de las fuerzas de seguridad, los juzga un tribunal distinto del de los demás, y la única cifra oficial se dio de palabra en el Congreso (</w:t>
      </w:r>
      <w:r>
        <w:t>8.5</w:t>
      </w:r>
      <w:r>
        <w:t xml:space="preserve">, n.º 8; </w:t>
      </w:r>
      <w:r>
        <w:t>C.1</w:t>
      </w:r>
      <w:r>
        <w:t>).</w:t>
      </w:r>
    </w:p>
    <w:p>
      <w:pPr>
        <w:pStyle w:val="ListBullet"/>
      </w:pPr>
      <w:r>
        <w:rPr>
          <w:b/>
        </w:rPr>
        <w:t>Igualdad, la pobreza infantil: se aleja por defecto.</w:t>
      </w:r>
      <w:r>
        <w:t xml:space="preserve"> Los menores están más en riesgo de pobreza o exclusión que el conjunto, y España es el país de la Unión que menos la reduce con transferencias (</w:t>
      </w:r>
      <w:r>
        <w:t>7.5</w:t>
      </w:r>
      <w:r>
        <w:t xml:space="preserve">, caso 5; </w:t>
      </w:r>
      <w:r>
        <w:t>A.2</w:t>
      </w:r>
      <w:r>
        <w:t>, art. 39).</w:t>
      </w:r>
    </w:p>
    <w:p>
      <w:pPr>
        <w:pStyle w:val="ListBullet"/>
      </w:pPr>
      <w:r>
        <w:rPr>
          <w:b/>
        </w:rPr>
        <w:t>Igualdad, lo público frente a lo privado: sin flecha.</w:t>
      </w:r>
      <w:r>
        <w:t xml:space="preserve"> Las comparaciones de la obra son en bruto, sin ajustar por la cualificación ni la antigüedad (</w:t>
      </w:r>
      <w:r>
        <w:t>8.6</w:t>
      </w:r>
      <w:r>
        <w:t>), y no aíslan lo que se mide.</w:t>
      </w:r>
    </w:p>
    <w:p>
      <w:pPr>
        <w:pStyle w:val="ListBullet"/>
      </w:pPr>
      <w:r>
        <w:rPr>
          <w:b/>
        </w:rPr>
        <w:t>Pluralismo político, el umbral de entrada: se aleja por exceso.</w:t>
      </w:r>
      <w:r>
        <w:t xml:space="preserve"> El reparto y el umbral nacieron para corregir la fragmentación, y el Consejo de Estado escribió que la fórmula beneficia a los partidos grandes y perjudica a los pequeños (</w:t>
      </w:r>
      <w:r>
        <w:t>6.4</w:t>
      </w:r>
      <w:r>
        <w:t>). La otra cara: las barreras son legales, y las han avalado el Constitucional y el Tribunal Europeo de Derechos Humanos (</w:t>
      </w:r>
      <w:r>
        <w:t>capítulo 6</w:t>
      </w:r>
      <w:r>
        <w:t>, «Límite honesto de la prueba»).</w:t>
      </w:r>
    </w:p>
    <w:p>
      <w:pPr>
        <w:pStyle w:val="ListBullet"/>
      </w:pPr>
      <w:r>
        <w:rPr>
          <w:b/>
        </w:rPr>
        <w:t>Pluralismo político, las firmas: se aleja por exceso.</w:t>
      </w:r>
      <w:r>
        <w:t xml:space="preserve"> El partido que ya tuvo representación no presenta firmas, y el nuevo sí (</w:t>
      </w:r>
      <w:r>
        <w:t>6.4</w:t>
      </w:r>
      <w:r>
        <w:t>). La otra cara: el Tribunal Europeo de Derechos Humanos vio esa exigencia considerablemente por debajo del máximo que indica la Comisión de Venecia (</w:t>
      </w:r>
      <w:r>
        <w:t>6.4</w:t>
      </w:r>
      <w:r>
        <w:t>).</w:t>
      </w:r>
    </w:p>
    <w:p>
      <w:pPr>
        <w:pStyle w:val="ListBullet"/>
      </w:pPr>
      <w:r>
        <w:rPr>
          <w:b/>
        </w:rPr>
        <w:t>Pluralismo político, el dinero: se aleja por exceso.</w:t>
      </w:r>
      <w:r>
        <w:t xml:space="preserve"> Las subvenciones van a quien ya tiene escaños, y los adelantos, solo a quien ya las cobró: un partido nuevo parte de cero (</w:t>
      </w:r>
      <w:r>
        <w:t>6.4</w:t>
      </w:r>
      <w:r>
        <w:t>).</w:t>
      </w:r>
    </w:p>
    <w:p>
      <w:pPr>
        <w:pStyle w:val="ListBullet"/>
      </w:pPr>
      <w:r>
        <w:rPr>
          <w:b/>
        </w:rPr>
        <w:t>Dignidad, la persona como trámite: se aleja por defecto.</w:t>
      </w:r>
      <w:r>
        <w:t xml:space="preserve"> La ley deja elegir cómo tratar con la Administración, pero la cita previa obligatoria funciona como barrera, y el Defensor del Pueblo recomendó admitir escritos sin ella; y el tiempo de los trámites no entra en ninguna cifra oficial (</w:t>
      </w:r>
      <w:r>
        <w:t>8.4</w:t>
      </w:r>
      <w:r>
        <w:t>).</w:t>
      </w:r>
    </w:p>
    <w:p>
      <w:pPr>
        <w:pStyle w:val="ListBullet"/>
      </w:pPr>
      <w:r>
        <w:rPr>
          <w:b/>
        </w:rPr>
        <w:t>Dignidad, la persona como medio: sin flecha.</w:t>
      </w:r>
      <w:r>
        <w:t xml:space="preserve"> Lo que la obra mide es la carga (</w:t>
      </w:r>
      <w:r>
        <w:t>8.4</w:t>
      </w:r>
      <w:r>
        <w:t>); llamarla «medio» sería lectura, no dato.</w:t>
      </w:r>
    </w:p>
    <w:p>
      <w:r>
        <w:t>[fila 542 de 08/01: Kiko, 12-oct-2026, 13:4x, el piloto sin números; fila 619: los cinco centros aprobados, chat de 08.26, 17:2x; cada flecha, con lo que la obra ya tiene y su remisión]</w:t>
      </w:r>
    </w:p>
    <w:p>
      <w:r>
        <w:rPr>
          <w:b/>
        </w:rPr>
        <w:t>Conclusión, lo que arrojan los datos: los dos vicios a la vez.</w:t>
      </w:r>
      <w:r>
        <w:t xml:space="preserve"> Las flechas no van a un solo lado. Se alejan por defecto, el Estado no cuida, en lo que toca la vida diaria del ciudadano (</w:t>
      </w:r>
      <w:r>
        <w:t>7.4</w:t>
      </w:r>
      <w:r>
        <w:t>): la infancia, los plazos y la justicia gratuita, la reparación del error judicial, la respuesta a quien pregunta y los trámites; y también en el órgano de gobierno de los jueces, que no se renovó. Se alejan por exceso, el Estado se sirve, en lo que toca al acceso y al trato del propio poder: el tribunal de los aforados, la entrada de partidos nuevos y su dinero; y también en la presunción en lo sancionador. Una sola dimensión está cerca: el silencio que da la razón a quien pide para sí. Son los dos vicios del dial maestro, a los dos lados de servir (</w:t>
      </w:r>
      <w:r>
        <w:t>J.3</w:t>
      </w:r>
      <w:r>
        <w:t xml:space="preserve">). </w:t>
      </w:r>
      <w:r>
        <w:t>[filas 542 y 619 de 08/01, 12-oct-2026; las flechas, arriba, cada una con su remisión]</w:t>
      </w:r>
    </w:p>
    <w:p>
      <w:pPr>
        <w:pStyle w:val="Heading2"/>
      </w:pPr>
      <w:r>
        <w:t>J.7 Lo que el dial no mide</w:t>
      </w:r>
    </w:p>
    <w:p>
      <w:pPr>
        <w:pBdr>
          <w:left w:val="single" w:sz="24" w:space="6" w:color="E2DED6"/>
        </w:pBdr>
        <w:shd w:val="clear" w:color="auto" w:fill="F1EEE8"/>
        <w:spacing w:before="80" w:after="160"/>
        <w:ind w:left="142" w:right="142"/>
      </w:pPr>
      <w:r>
        <w:rPr>
          <w:b/>
        </w:rPr>
        <w:t>La idea: el dial no mide intenciones ni personas, no sustituye a la auditoría y no dice que el Estado sea ilegítimo.</w:t>
      </w:r>
    </w:p>
    <w:p>
      <w:pPr>
        <w:pStyle w:val="ListBullet"/>
      </w:pPr>
      <w:r>
        <w:rPr>
          <w:b/>
        </w:rPr>
        <w:t>No mide la intención.</w:t>
      </w:r>
      <w:r>
        <w:t xml:space="preserve"> Mide la posición y la dirección de lo que se hace; de dónde nace un acto queda como lectura del autor (</w:t>
      </w:r>
      <w:r>
        <w:t>0.5</w:t>
      </w:r>
      <w:r>
        <w:t>).</w:t>
      </w:r>
    </w:p>
    <w:p>
      <w:pPr>
        <w:pStyle w:val="ListBullet"/>
      </w:pPr>
      <w:r>
        <w:rPr>
          <w:b/>
        </w:rPr>
        <w:t>No mide a personas.</w:t>
      </w:r>
      <w:r>
        <w:t xml:space="preserve"> Mide normas, instituciones y situaciones (</w:t>
      </w:r>
      <w:r>
        <w:t>0.2</w:t>
      </w:r>
      <w:r>
        <w:t>). Cada persona puede aplicarse la vara a sí misma, y eso es cosa suya.</w:t>
      </w:r>
    </w:p>
    <w:p>
      <w:pPr>
        <w:pStyle w:val="ListBullet"/>
      </w:pPr>
      <w:r>
        <w:rPr>
          <w:b/>
        </w:rPr>
        <w:t>No sustituye al «cumple o incumple».</w:t>
      </w:r>
      <w:r>
        <w:t xml:space="preserve"> La auditoría y sus recuentos no cambian (</w:t>
      </w:r>
      <w:r>
        <w:t>7.1</w:t>
      </w:r>
      <w:r>
        <w:t xml:space="preserve">, </w:t>
      </w:r>
      <w:r>
        <w:t>anexo A</w:t>
      </w:r>
      <w:r>
        <w:t>): el dial los lee desde arriba.</w:t>
      </w:r>
    </w:p>
    <w:p>
      <w:pPr>
        <w:pStyle w:val="ListBullet"/>
      </w:pPr>
      <w:r>
        <w:rPr>
          <w:b/>
        </w:rPr>
        <w:t>No dice que el Estado sea ilegítimo</w:t>
      </w:r>
      <w:r>
        <w:t xml:space="preserve"> por haberse fundado a sí mismo (6, «Lo que este capítulo no hace»), ni que sea el árbol torcido entero (</w:t>
      </w:r>
      <w:r>
        <w:t>J.1</w:t>
      </w:r>
      <w:r>
        <w:t>).</w:t>
      </w:r>
    </w:p>
    <w:p>
      <w:pPr>
        <w:pStyle w:val="ListBullet"/>
      </w:pPr>
      <w:r>
        <w:rPr>
          <w:b/>
        </w:rPr>
        <w:t>No afirma que los diales «emanen siempre de la virtud»:</w:t>
      </w:r>
      <w:r>
        <w:t xml:space="preserve"> eso está leído en Aristóteles; en las demás tradiciones se leyó la figura de dos excesos y un medio (</w:t>
      </w:r>
      <w:r>
        <w:t>J.3</w:t>
      </w:r>
      <w:r>
        <w:t>), pero no que el medio nazca de la virtud: eso falta leerlo.</w:t>
      </w:r>
    </w:p>
    <w:p>
      <w:pPr>
        <w:pStyle w:val="ListBullet"/>
      </w:pPr>
      <w:r>
        <w:rPr>
          <w:b/>
        </w:rPr>
        <w:t>No convierte en principio del Arca</w:t>
      </w:r>
      <w:r>
        <w:t xml:space="preserve"> la prueba «¿es suyo lo que ofrece?» (</w:t>
      </w:r>
      <w:r>
        <w:t>1.9</w:t>
      </w:r>
      <w:r>
        <w:t>): le falta la pata coja que el método exige (</w:t>
      </w:r>
      <w:r>
        <w:t>0.5</w:t>
      </w:r>
      <w:r>
        <w:t>), y mientras tanto es una prueba, no un principio.</w:t>
      </w:r>
    </w:p>
    <w:p>
      <w:r>
        <w:t>[04p, apartado 4; 04h, 3.3; 04n Q9; 04c, apartado 5]</w:t>
      </w:r>
    </w:p>
    <w:p>
      <w:r>
        <w:rPr>
          <w:b/>
        </w:rPr>
        <w:t>Lectura del autor</w:t>
      </w:r>
      <w:r>
        <w:t xml:space="preserve"> (palabras del autor, 8-oct-2026; es lectura, no dato): cada palabra que promete la Constitución tiene varias caras, como una persona tiene varios papeles; cada cara es un dial entre dos extremos, y «su palabra tiene un centro»: la dirección es el bien común del pueblo. Lo que el autor ve en el conjunto es lo que este anexo mide: un Estado que, en lo que promete al ciudadano, se queda corto, y en lo que se toma de él, se pasa (</w:t>
      </w:r>
      <w:r>
        <w:t>7.4</w:t>
      </w:r>
      <w:r>
        <w:t xml:space="preserve"> y 8). Que esa doble polaridad sea también la línea de la virtud de cada uno, y que el centro de la persona y el del Estado sean el mismo, es su lectura, y no lleva números: la vara se aplica a los dos lados (</w:t>
      </w:r>
      <w:r>
        <w:t>0.5</w:t>
      </w:r>
      <w:r>
        <w:t>), y el autor se la aplica primero a sí mismo (</w:t>
      </w:r>
      <w:r>
        <w:t>anexo G</w:t>
      </w:r>
      <w:r>
        <w:t xml:space="preserve">). </w:t>
      </w:r>
      <w:r>
        <w:t>[libreta 78, apartado 1; anexo del 4.3; 04p, fila 23: dentro del J, como lectura del autor y sin números]</w:t>
      </w:r>
    </w:p>
    <w:p>
      <w:pPr>
        <w:pStyle w:val="Heading2"/>
      </w:pPr>
      <w:r>
        <w:t>J.8 La balanza, pesa a pesa</w:t>
      </w:r>
    </w:p>
    <w:p>
      <w:pPr>
        <w:pBdr>
          <w:left w:val="single" w:sz="24" w:space="6" w:color="E2DED6"/>
        </w:pBdr>
        <w:shd w:val="clear" w:color="auto" w:fill="F1EEE8"/>
        <w:spacing w:before="80" w:after="160"/>
        <w:ind w:left="142" w:right="142"/>
      </w:pPr>
      <w:r>
        <w:rPr>
          <w:b/>
        </w:rPr>
        <w:t>La idea: una sola pesa para todo, también para quien pesa: primero, ¿roca o arena?; después, por sus frutos, ¿sirve más allá de sí, se sirve, o no cuida ni cumple? Con ella se pesa aquí lo que expone el libro (lectura del autor).</w:t>
      </w:r>
    </w:p>
    <w:p>
      <w:r>
        <w:rPr>
          <w:b/>
        </w:rPr>
        <w:t>Lectura del autor: cómo se lee la tabla.</w:t>
      </w:r>
      <w:r>
        <w:t xml:space="preserve"> Es la ficha de </w:t>
      </w:r>
      <w:r>
        <w:t>J.5</w:t>
      </w:r>
      <w:r>
        <w:t xml:space="preserve"> aplicada a lo que expone el libro, sin instrumento nuevo. El primer paso de la pesa, roca o arena, ya está dado en cada apartado: cada dato de la tabla está allí con su fuente y su nivel, y la remisión lleva a él. Aquí va el segundo paso. La segunda columna dice hacia dónde se aparta la aguja del centro: por defecto (no cuida ni cumple), por exceso (se sirve) o cerca del centro; con la flecha solo donde la obra tiene los hechos en orden de fechas, y sin número, porque ninguna fila cumple todavía las cuatro condiciones del piloto (</w:t>
      </w:r>
      <w:r>
        <w:t>J.6</w:t>
      </w:r>
      <w:r>
        <w:t>). La tercera columna es el fruto que lo muestra. Y la cuarta es lo que pesa en el otro plato: lo que se cumple, la mejor defensa del Estado o el dato que no encaja, porque la vara se aplica a los dos lados (</w:t>
      </w:r>
      <w:r>
        <w:t>0.5</w:t>
      </w:r>
      <w:r>
        <w:t>). Se pesan cosas, nunca personas ni intenciones (</w:t>
      </w:r>
      <w:r>
        <w:t>J.7</w:t>
      </w:r>
      <w:r>
        <w:t xml:space="preserve">). Lo que la obra mide sin afirmar su causa (la vivienda y los hijos, la confianza, la salud y la familia: </w:t>
      </w:r>
      <w:r>
        <w:t>8.8</w:t>
      </w:r>
      <w:r>
        <w:t xml:space="preserve"> a 8.10) no está en la tabla: sin causa, no se puede decir de qué lado se aparta. </w:t>
      </w:r>
      <w:r>
        <w:t>[parlamento de la balanza (08/22), apartados 8, 10 y 11; J.5 a J.7]</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Lo que se expone</w:t>
            </w:r>
          </w:p>
        </w:tc>
        <w:tc>
          <w:tcPr>
            <w:tcW w:type="dxa" w:w="2296"/>
            <w:shd w:val="clear" w:color="auto" w:fill="F1EEE8"/>
          </w:tcPr>
          <w:p>
            <w:pPr>
              <w:spacing w:after="20" w:line="264" w:lineRule="auto"/>
            </w:pPr>
            <w:r>
              <w:rPr>
                <w:b/>
              </w:rPr>
            </w:r>
            <w:r>
              <w:rPr>
                <w:rFonts w:ascii="Segoe UI" w:hAnsi="Segoe UI" w:eastAsia="Segoe UI" w:cs="Segoe UI"/>
                <w:b/>
                <w:color w:val="1F1D1A"/>
                <w:sz w:val="18"/>
              </w:rPr>
              <w:t>Hacia dónde se aparta la aguja</w:t>
            </w:r>
          </w:p>
        </w:tc>
        <w:tc>
          <w:tcPr>
            <w:tcW w:type="dxa" w:w="2296"/>
            <w:shd w:val="clear" w:color="auto" w:fill="F1EEE8"/>
          </w:tcPr>
          <w:p>
            <w:pPr>
              <w:spacing w:after="20" w:line="264" w:lineRule="auto"/>
            </w:pPr>
            <w:r>
              <w:rPr>
                <w:b/>
              </w:rPr>
            </w:r>
            <w:r>
              <w:rPr>
                <w:rFonts w:ascii="Segoe UI" w:hAnsi="Segoe UI" w:eastAsia="Segoe UI" w:cs="Segoe UI"/>
                <w:b/>
                <w:color w:val="1F1D1A"/>
                <w:sz w:val="18"/>
              </w:rPr>
              <w:t>El fruto que lo muestra</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pesa en el otro plato</w:t>
            </w:r>
          </w:p>
        </w:tc>
      </w:tr>
      <w:tr>
        <w:tc>
          <w:tcPr>
            <w:tcW w:type="dxa" w:w="2296"/>
          </w:tcPr>
          <w:p>
            <w:pPr>
              <w:spacing w:after="20" w:line="264" w:lineRule="auto"/>
            </w:pPr>
            <w:r/>
            <w:r>
              <w:rPr>
                <w:rFonts w:ascii="Segoe UI" w:hAnsi="Segoe UI" w:eastAsia="Segoe UI" w:cs="Segoe UI"/>
                <w:color w:val="1F1D1A"/>
                <w:sz w:val="18"/>
              </w:rPr>
              <w:t>El orden de las leyes (</w:t>
            </w:r>
            <w:r>
              <w:rPr>
                <w:rFonts w:ascii="Segoe UI" w:hAnsi="Segoe UI" w:eastAsia="Segoe UI" w:cs="Segoe UI"/>
                <w:color w:val="1F1D1A"/>
                <w:sz w:val="18"/>
              </w:rPr>
              <w:t>1.1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ley que escriben los hombres, en el lugar de la ley de Dios</w:t>
            </w:r>
          </w:p>
        </w:tc>
        <w:tc>
          <w:tcPr>
            <w:tcW w:type="dxa" w:w="2296"/>
          </w:tcPr>
          <w:p>
            <w:pPr>
              <w:spacing w:after="20" w:line="264" w:lineRule="auto"/>
            </w:pPr>
            <w:r/>
            <w:r>
              <w:rPr>
                <w:rFonts w:ascii="Segoe UI" w:hAnsi="Segoe UI" w:eastAsia="Segoe UI" w:cs="Segoe UI"/>
                <w:color w:val="1F1D1A"/>
                <w:sz w:val="18"/>
              </w:rPr>
              <w:t>Quien invirtió el orden fue, en 7 de 8 casos, quien tenía el poder de legislar (</w:t>
            </w:r>
            <w:r>
              <w:rPr>
                <w:rFonts w:ascii="Segoe UI" w:hAnsi="Segoe UI" w:eastAsia="Segoe UI" w:cs="Segoe UI"/>
                <w:color w:val="1F1D1A"/>
                <w:sz w:val="18"/>
              </w:rPr>
              <w:t>1.7</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La ley escrita, común a todos, da la seguridad jurídica que la Constitución garantiza (la defensa del Estado, </w:t>
            </w:r>
            <w:r>
              <w:rPr>
                <w:rFonts w:ascii="Segoe UI" w:hAnsi="Segoe UI" w:eastAsia="Segoe UI" w:cs="Segoe UI"/>
                <w:color w:val="1F1D1A"/>
                <w:sz w:val="18"/>
              </w:rPr>
              <w:t>cargo 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Los derechos de la persona (</w:t>
            </w:r>
            <w:r>
              <w:rPr>
                <w:rFonts w:ascii="Segoe UI" w:hAnsi="Segoe UI" w:eastAsia="Segoe UI" w:cs="Segoe UI"/>
                <w:color w:val="1F1D1A"/>
                <w:sz w:val="18"/>
              </w:rPr>
              <w:t>2.2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Cerca del centro: la ley los reconoce, no los da</w:t>
            </w:r>
          </w:p>
        </w:tc>
        <w:tc>
          <w:tcPr>
            <w:tcW w:type="dxa" w:w="2296"/>
          </w:tcPr>
          <w:p>
            <w:pPr>
              <w:spacing w:after="20" w:line="264" w:lineRule="auto"/>
            </w:pPr>
            <w:r/>
            <w:r>
              <w:rPr>
                <w:rFonts w:ascii="Segoe UI" w:hAnsi="Segoe UI" w:eastAsia="Segoe UI" w:cs="Segoe UI"/>
                <w:color w:val="1F1D1A"/>
                <w:sz w:val="18"/>
              </w:rPr>
              <w:t>La Constitución los llama «inherentes» (</w:t>
            </w:r>
            <w:r>
              <w:rPr>
                <w:rFonts w:ascii="Segoe UI" w:hAnsi="Segoe UI" w:eastAsia="Segoe UI" w:cs="Segoe UI"/>
                <w:color w:val="1F1D1A"/>
                <w:sz w:val="18"/>
              </w:rPr>
              <w:t>2.2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derecho a la vivienda no se puede reclamar sin una ley que lo desarrolle (</w:t>
            </w:r>
            <w:r>
              <w:rPr>
                <w:rFonts w:ascii="Segoe UI" w:hAnsi="Segoe UI" w:eastAsia="Segoe UI" w:cs="Segoe UI"/>
                <w:color w:val="1F1D1A"/>
                <w:sz w:val="18"/>
              </w:rPr>
              <w:t>5.1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consentimiento (</w:t>
            </w:r>
            <w:r>
              <w:rPr>
                <w:rFonts w:ascii="Segoe UI" w:hAnsi="Segoe UI" w:eastAsia="Segoe UI" w:cs="Segoe UI"/>
                <w:color w:val="1F1D1A"/>
                <w:sz w:val="18"/>
              </w:rPr>
              <w:t>5.4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da por consentido lo que el pueblo no consintió</w:t>
            </w:r>
          </w:p>
        </w:tc>
        <w:tc>
          <w:tcPr>
            <w:tcW w:type="dxa" w:w="2296"/>
          </w:tcPr>
          <w:p>
            <w:pPr>
              <w:spacing w:after="20" w:line="264" w:lineRule="auto"/>
            </w:pPr>
            <w:r/>
            <w:r>
              <w:rPr>
                <w:rFonts w:ascii="Segoe UI" w:hAnsi="Segoe UI" w:eastAsia="Segoe UI" w:cs="Segoe UI"/>
                <w:color w:val="1F1D1A"/>
                <w:sz w:val="18"/>
              </w:rPr>
              <w:t>Un registro y un código en setenta y dos horas, cuando el interesado tiene cero días (</w:t>
            </w:r>
            <w:r>
              <w:rPr>
                <w:rFonts w:ascii="Segoe UI" w:hAnsi="Segoe UI" w:eastAsia="Segoe UI" w:cs="Segoe UI"/>
                <w:color w:val="1F1D1A"/>
                <w:sz w:val="18"/>
              </w:rPr>
              <w:t>5.4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Estado y el derecho son ficciones jurídicas, y no es un vicio mientras se declare (</w:t>
            </w:r>
            <w:r>
              <w:rPr>
                <w:rFonts w:ascii="Segoe UI" w:hAnsi="Segoe UI" w:eastAsia="Segoe UI" w:cs="Segoe UI"/>
                <w:color w:val="1F1D1A"/>
                <w:sz w:val="18"/>
              </w:rPr>
              <w:t>5.3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Las presunciones del Estado (</w:t>
            </w:r>
            <w:r>
              <w:rPr>
                <w:rFonts w:ascii="Segoe UI" w:hAnsi="Segoe UI" w:eastAsia="Segoe UI" w:cs="Segoe UI"/>
                <w:color w:val="1F1D1A"/>
                <w:sz w:val="18"/>
              </w:rPr>
              <w:t>5.2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carga de la prueba, en el ciudadano</w:t>
            </w:r>
          </w:p>
        </w:tc>
        <w:tc>
          <w:tcPr>
            <w:tcW w:type="dxa" w:w="2296"/>
          </w:tcPr>
          <w:p>
            <w:pPr>
              <w:spacing w:after="20" w:line="264" w:lineRule="auto"/>
            </w:pPr>
            <w:r/>
            <w:r>
              <w:rPr>
                <w:rFonts w:ascii="Segoe UI" w:hAnsi="Segoe UI" w:eastAsia="Segoe UI" w:cs="Segoe UI"/>
                <w:color w:val="1F1D1A"/>
                <w:sz w:val="18"/>
              </w:rPr>
              <w:t>Sus actos se presumen válidos, la palabra de su agente hace prueba y la ignorancia de las leyes no excusa (</w:t>
            </w:r>
            <w:r>
              <w:rPr>
                <w:rFonts w:ascii="Segoe UI" w:hAnsi="Segoe UI" w:eastAsia="Segoe UI" w:cs="Segoe UI"/>
                <w:color w:val="1F1D1A"/>
                <w:sz w:val="18"/>
              </w:rPr>
              <w:t>5.2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Sin la presunción de validez ninguna administración podría funcionar, y todo acto se puede recurrir (la defensa del Estado, </w:t>
            </w:r>
            <w:r>
              <w:rPr>
                <w:rFonts w:ascii="Segoe UI" w:hAnsi="Segoe UI" w:eastAsia="Segoe UI" w:cs="Segoe UI"/>
                <w:color w:val="1F1D1A"/>
                <w:sz w:val="18"/>
              </w:rPr>
              <w:t>cargo 20</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contrato social (</w:t>
            </w:r>
            <w:r>
              <w:rPr>
                <w:rFonts w:ascii="Segoe UI" w:hAnsi="Segoe UI" w:eastAsia="Segoe UI" w:cs="Segoe UI"/>
                <w:color w:val="1F1D1A"/>
                <w:sz w:val="18"/>
              </w:rPr>
              <w:t>6.1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se da por firmado</w:t>
            </w:r>
          </w:p>
        </w:tc>
        <w:tc>
          <w:tcPr>
            <w:tcW w:type="dxa" w:w="2296"/>
          </w:tcPr>
          <w:p>
            <w:pPr>
              <w:spacing w:after="20" w:line="264" w:lineRule="auto"/>
            </w:pPr>
            <w:r/>
            <w:r>
              <w:rPr>
                <w:rFonts w:ascii="Segoe UI" w:hAnsi="Segoe UI" w:eastAsia="Segoe UI" w:cs="Segoe UI"/>
                <w:color w:val="1F1D1A"/>
                <w:sz w:val="18"/>
              </w:rPr>
              <w:t>Es una idea, no un documento (</w:t>
            </w:r>
            <w:r>
              <w:rPr>
                <w:rFonts w:ascii="Segoe UI" w:hAnsi="Segoe UI" w:eastAsia="Segoe UI" w:cs="Segoe UI"/>
                <w:color w:val="1F1D1A"/>
                <w:sz w:val="18"/>
              </w:rPr>
              <w:t>6.1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 Estado existe sin que nadie se lo conceda (Montevideo, 1933), y todo orden nuevo se funda así (</w:t>
            </w:r>
            <w:r>
              <w:rPr>
                <w:rFonts w:ascii="Segoe UI" w:hAnsi="Segoe UI" w:eastAsia="Segoe UI" w:cs="Segoe UI"/>
                <w:color w:val="1F1D1A"/>
                <w:sz w:val="18"/>
              </w:rPr>
              <w:t>6.2</w:t>
            </w:r>
            <w:r>
              <w:rPr>
                <w:rFonts w:ascii="Segoe UI" w:hAnsi="Segoe UI" w:eastAsia="Segoe UI" w:cs="Segoe UI"/>
                <w:color w:val="1F1D1A"/>
                <w:sz w:val="18"/>
              </w:rPr>
              <w:t xml:space="preserve">; </w:t>
            </w:r>
            <w:r>
              <w:rPr>
                <w:rFonts w:ascii="Segoe UI" w:hAnsi="Segoe UI" w:eastAsia="Segoe UI" w:cs="Segoe UI"/>
                <w:color w:val="1F1D1A"/>
                <w:sz w:val="18"/>
              </w:rPr>
              <w:t>5.3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acceso al poder (</w:t>
            </w:r>
            <w:r>
              <w:rPr>
                <w:rFonts w:ascii="Segoe UI" w:hAnsi="Segoe UI" w:eastAsia="Segoe UI" w:cs="Segoe UI"/>
                <w:color w:val="1F1D1A"/>
                <w:sz w:val="18"/>
              </w:rPr>
              <w:t>6.4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los controlados eligen a sus controladores</w:t>
            </w:r>
          </w:p>
        </w:tc>
        <w:tc>
          <w:tcPr>
            <w:tcW w:type="dxa" w:w="2296"/>
          </w:tcPr>
          <w:p>
            <w:pPr>
              <w:spacing w:after="20" w:line="264" w:lineRule="auto"/>
            </w:pPr>
            <w:r/>
            <w:r>
              <w:rPr>
                <w:rFonts w:ascii="Segoe UI" w:hAnsi="Segoe UI" w:eastAsia="Segoe UI" w:cs="Segoe UI"/>
                <w:color w:val="1F1D1A"/>
                <w:sz w:val="18"/>
              </w:rPr>
              <w:t>Barreras de entrada, y la iniciativa popular no toca la ley electoral ni los impuestos (</w:t>
            </w:r>
            <w:r>
              <w:rPr>
                <w:rFonts w:ascii="Segoe UI" w:hAnsi="Segoe UI" w:eastAsia="Segoe UI" w:cs="Segoe UI"/>
                <w:color w:val="1F1D1A"/>
                <w:sz w:val="18"/>
              </w:rPr>
              <w:t>6.4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Hay sanciones, tribunales y partidos nuevos (</w:t>
            </w:r>
            <w:r>
              <w:rPr>
                <w:rFonts w:ascii="Segoe UI" w:hAnsi="Segoe UI" w:eastAsia="Segoe UI" w:cs="Segoe UI"/>
                <w:color w:val="1F1D1A"/>
                <w:sz w:val="18"/>
              </w:rPr>
              <w:t>6.4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Constitución, artículo por artículo (</w:t>
            </w:r>
            <w:r>
              <w:rPr>
                <w:rFonts w:ascii="Segoe UI" w:hAnsi="Segoe UI" w:eastAsia="Segoe UI" w:cs="Segoe UI"/>
                <w:color w:val="1F1D1A"/>
                <w:sz w:val="18"/>
              </w:rPr>
              <w:t>7.1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cumple lo que escribe</w:t>
            </w:r>
          </w:p>
        </w:tc>
        <w:tc>
          <w:tcPr>
            <w:tcW w:type="dxa" w:w="2296"/>
          </w:tcPr>
          <w:p>
            <w:pPr>
              <w:spacing w:after="20" w:line="264" w:lineRule="auto"/>
            </w:pPr>
            <w:r/>
            <w:r>
              <w:rPr>
                <w:rFonts w:ascii="Segoe UI" w:hAnsi="Segoe UI" w:eastAsia="Segoe UI" w:cs="Segoe UI"/>
                <w:color w:val="1F1D1A"/>
                <w:sz w:val="18"/>
              </w:rPr>
              <w:t>69 de los 169 artículos no se cumplen, y se incumple el doble en lo que promete al ciudadano que en lo que organiza al poder (</w:t>
            </w:r>
            <w:r>
              <w:rPr>
                <w:rFonts w:ascii="Segoe UI" w:hAnsi="Segoe UI" w:eastAsia="Segoe UI" w:cs="Segoe UI"/>
                <w:color w:val="1F1D1A"/>
                <w:sz w:val="18"/>
              </w:rPr>
              <w:t>7.1</w:t>
            </w:r>
            <w:r>
              <w:rPr>
                <w:rFonts w:ascii="Segoe UI" w:hAnsi="Segoe UI" w:eastAsia="Segoe UI" w:cs="Segoe UI"/>
                <w:color w:val="1F1D1A"/>
                <w:sz w:val="18"/>
              </w:rPr>
              <w:t xml:space="preserve">;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93 se cumplen (</w:t>
            </w:r>
            <w:r>
              <w:rPr>
                <w:rFonts w:ascii="Segoe UI" w:hAnsi="Segoe UI" w:eastAsia="Segoe UI" w:cs="Segoe UI"/>
                <w:color w:val="1F1D1A"/>
                <w:sz w:val="18"/>
              </w:rPr>
              <w:t>7.1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freno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frena más donde el poder se controla a sí mismo</w:t>
            </w:r>
          </w:p>
        </w:tc>
        <w:tc>
          <w:tcPr>
            <w:tcW w:type="dxa" w:w="2296"/>
          </w:tcPr>
          <w:p>
            <w:pPr>
              <w:spacing w:after="20" w:line="264" w:lineRule="auto"/>
            </w:pPr>
            <w:r/>
            <w:r>
              <w:rPr>
                <w:rFonts w:ascii="Segoe UI" w:hAnsi="Segoe UI" w:eastAsia="Segoe UI" w:cs="Segoe UI"/>
                <w:color w:val="1F1D1A"/>
                <w:sz w:val="18"/>
              </w:rPr>
              <w:t>Cinco veces más que donde protege al ciudadano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En 23 de los 69 artículos que no se cumplen ya hay una declaración formal externa (</w:t>
            </w:r>
            <w:r>
              <w:rPr>
                <w:rFonts w:ascii="Segoe UI" w:hAnsi="Segoe UI" w:eastAsia="Segoe UI" w:cs="Segoe UI"/>
                <w:color w:val="1F1D1A"/>
                <w:sz w:val="18"/>
              </w:rPr>
              <w:t>7.1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cobro y el deber (</w:t>
            </w:r>
            <w:r>
              <w:rPr>
                <w:rFonts w:ascii="Segoe UI" w:hAnsi="Segoe UI" w:eastAsia="Segoe UI" w:cs="Segoe UI"/>
                <w:color w:val="1F1D1A"/>
                <w:sz w:val="18"/>
              </w:rPr>
              <w:t>7.6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A los dos lados: por exceso al cobrar, por defecto al cumplir</w:t>
            </w:r>
          </w:p>
        </w:tc>
        <w:tc>
          <w:tcPr>
            <w:tcW w:type="dxa" w:w="2296"/>
          </w:tcPr>
          <w:p>
            <w:pPr>
              <w:spacing w:after="20" w:line="264" w:lineRule="auto"/>
            </w:pPr>
            <w:r/>
            <w:r>
              <w:rPr>
                <w:rFonts w:ascii="Segoe UI" w:hAnsi="Segoe UI" w:eastAsia="Segoe UI" w:cs="Segoe UI"/>
                <w:color w:val="1F1D1A"/>
                <w:sz w:val="18"/>
              </w:rPr>
              <w:t>El cobro se ejecuta sin juez; el deber del Estado necesita antes una ley que lo desarrolle (</w:t>
            </w:r>
            <w:r>
              <w:rPr>
                <w:rFonts w:ascii="Segoe UI" w:hAnsi="Segoe UI" w:eastAsia="Segoe UI" w:cs="Segoe UI"/>
                <w:color w:val="1F1D1A"/>
                <w:sz w:val="18"/>
              </w:rPr>
              <w:t>7.6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El cobro está sujeto a recurso y a control judicial, y puede suspenderse aportando garantía (la defensa del Estado, </w:t>
            </w:r>
            <w:r>
              <w:rPr>
                <w:rFonts w:ascii="Segoe UI" w:hAnsi="Segoe UI" w:eastAsia="Segoe UI" w:cs="Segoe UI"/>
                <w:color w:val="1F1D1A"/>
                <w:sz w:val="18"/>
              </w:rPr>
              <w:t>cargo 13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moneda (</w:t>
            </w:r>
            <w:r>
              <w:rPr>
                <w:rFonts w:ascii="Segoe UI" w:hAnsi="Segoe UI" w:eastAsia="Segoe UI" w:cs="Segoe UI"/>
                <w:color w:val="1F1D1A"/>
                <w:sz w:val="18"/>
              </w:rPr>
              <w:t>8.3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se lleva tiempo de vida sin que nadie lo vote ni dé su consentimiento; se aleja desde 1971</w:t>
            </w:r>
          </w:p>
        </w:tc>
        <w:tc>
          <w:tcPr>
            <w:tcW w:type="dxa" w:w="2296"/>
          </w:tcPr>
          <w:p>
            <w:pPr>
              <w:spacing w:after="20" w:line="264" w:lineRule="auto"/>
            </w:pPr>
            <w:r/>
            <w:r>
              <w:rPr>
                <w:rFonts w:ascii="Segoe UI" w:hAnsi="Segoe UI" w:eastAsia="Segoe UI" w:cs="Segoe UI"/>
                <w:color w:val="1F1D1A"/>
                <w:sz w:val="18"/>
              </w:rPr>
              <w:t>100 euros guardados el 1 de enero de 1971 compran hoy lo que entonces 3,90 (</w:t>
            </w:r>
            <w:r>
              <w:rPr>
                <w:rFonts w:ascii="Segoe UI" w:hAnsi="Segoe UI" w:eastAsia="Segoe UI" w:cs="Segoe UI"/>
                <w:color w:val="1F1D1A"/>
                <w:sz w:val="18"/>
              </w:rPr>
              <w:t>8.3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El dinero sin respaldo permite responder a las crisis, y lo gobierna un banco central independiente (la defensa del Estado, </w:t>
            </w:r>
            <w:r>
              <w:rPr>
                <w:rFonts w:ascii="Segoe UI" w:hAnsi="Segoe UI" w:eastAsia="Segoe UI" w:cs="Segoe UI"/>
                <w:color w:val="1F1D1A"/>
                <w:sz w:val="18"/>
              </w:rPr>
              <w:t>cargo 17</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carga sobre el trabajo (</w:t>
            </w:r>
            <w:r>
              <w:rPr>
                <w:rFonts w:ascii="Segoe UI" w:hAnsi="Segoe UI" w:eastAsia="Segoe UI" w:cs="Segoe UI"/>
                <w:color w:val="1F1D1A"/>
                <w:sz w:val="18"/>
              </w:rPr>
              <w:t>8.4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w:t>
            </w:r>
          </w:p>
        </w:tc>
        <w:tc>
          <w:tcPr>
            <w:tcW w:type="dxa" w:w="2296"/>
          </w:tcPr>
          <w:p>
            <w:pPr>
              <w:spacing w:after="20" w:line="264" w:lineRule="auto"/>
            </w:pPr>
            <w:r/>
            <w:r>
              <w:rPr>
                <w:rFonts w:ascii="Segoe UI" w:hAnsi="Segoe UI" w:eastAsia="Segoe UI" w:cs="Segoe UI"/>
                <w:color w:val="1F1D1A"/>
                <w:sz w:val="18"/>
              </w:rPr>
              <w:t>De cada 100 euros que cuesta el trabajo de un asalariado medio, al menos 41 van a cotizaciones e IRPF (</w:t>
            </w:r>
            <w:r>
              <w:rPr>
                <w:rFonts w:ascii="Segoe UI" w:hAnsi="Segoe UI" w:eastAsia="Segoe UI" w:cs="Segoe UI"/>
                <w:color w:val="1F1D1A"/>
                <w:sz w:val="18"/>
              </w:rPr>
              <w:t>8.4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Nueve de cada diez euros de la protección social son prestaciones (</w:t>
            </w:r>
            <w:r>
              <w:rPr>
                <w:rFonts w:ascii="Segoe UI" w:hAnsi="Segoe UI" w:eastAsia="Segoe UI" w:cs="Segoe UI"/>
                <w:color w:val="1F1D1A"/>
                <w:sz w:val="18"/>
              </w:rPr>
              <w:t>5.1</w:t>
            </w:r>
            <w:r>
              <w:rPr>
                <w:rFonts w:ascii="Segoe UI" w:hAnsi="Segoe UI" w:eastAsia="Segoe UI" w:cs="Segoe UI"/>
                <w:color w:val="1F1D1A"/>
                <w:sz w:val="18"/>
              </w:rPr>
              <w:t>, n.º 23)</w:t>
            </w:r>
          </w:p>
        </w:tc>
      </w:tr>
      <w:tr>
        <w:tc>
          <w:tcPr>
            <w:tcW w:type="dxa" w:w="2296"/>
          </w:tcPr>
          <w:p>
            <w:pPr>
              <w:spacing w:after="20" w:line="264" w:lineRule="auto"/>
            </w:pPr>
            <w:r/>
            <w:r>
              <w:rPr>
                <w:rFonts w:ascii="Segoe UI" w:hAnsi="Segoe UI" w:eastAsia="Segoe UI" w:cs="Segoe UI"/>
                <w:color w:val="1F1D1A"/>
                <w:sz w:val="18"/>
              </w:rPr>
              <w:t>El silencio (</w:t>
            </w:r>
            <w:r>
              <w:rPr>
                <w:rFonts w:ascii="Segoe UI" w:hAnsi="Segoe UI" w:eastAsia="Segoe UI" w:cs="Segoe UI"/>
                <w:color w:val="1F1D1A"/>
                <w:sz w:val="18"/>
              </w:rPr>
              <w:t>8.5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A los dos lados: por exceso con el ciudadano, por defecto consigo</w:t>
            </w:r>
          </w:p>
        </w:tc>
        <w:tc>
          <w:tcPr>
            <w:tcW w:type="dxa" w:w="2296"/>
          </w:tcPr>
          <w:p>
            <w:pPr>
              <w:spacing w:after="20" w:line="264" w:lineRule="auto"/>
            </w:pPr>
            <w:r/>
            <w:r>
              <w:rPr>
                <w:rFonts w:ascii="Segoe UI" w:hAnsi="Segoe UI" w:eastAsia="Segoe UI" w:cs="Segoe UI"/>
                <w:color w:val="1F1D1A"/>
                <w:sz w:val="18"/>
              </w:rPr>
              <w:t>El silencio del ciudadano se castiga solo; el del sistema hay que perseguirlo durante años (</w:t>
            </w:r>
            <w:r>
              <w:rPr>
                <w:rFonts w:ascii="Segoe UI" w:hAnsi="Segoe UI" w:eastAsia="Segoe UI" w:cs="Segoe UI"/>
                <w:color w:val="1F1D1A"/>
                <w:sz w:val="18"/>
              </w:rPr>
              <w:t>8.5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ley obliga a motivar los actos que limitan derechos, y la pregunta por escrito deja constancia (</w:t>
            </w:r>
            <w:r>
              <w:rPr>
                <w:rFonts w:ascii="Segoe UI" w:hAnsi="Segoe UI" w:eastAsia="Segoe UI" w:cs="Segoe UI"/>
                <w:color w:val="1F1D1A"/>
                <w:sz w:val="18"/>
              </w:rPr>
              <w:t>10.4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hucha de las pensiones (</w:t>
            </w:r>
            <w:r>
              <w:rPr>
                <w:rFonts w:ascii="Segoe UI" w:hAnsi="Segoe UI" w:eastAsia="Segoe UI" w:cs="Segoe UI"/>
                <w:color w:val="1F1D1A"/>
                <w:sz w:val="18"/>
              </w:rPr>
              <w:t>8.6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guarda ni da la suma</w:t>
            </w:r>
          </w:p>
        </w:tc>
        <w:tc>
          <w:tcPr>
            <w:tcW w:type="dxa" w:w="2296"/>
          </w:tcPr>
          <w:p>
            <w:pPr>
              <w:spacing w:after="20" w:line="264" w:lineRule="auto"/>
            </w:pPr>
            <w:r/>
            <w:r>
              <w:rPr>
                <w:rFonts w:ascii="Segoe UI" w:hAnsi="Segoe UI" w:eastAsia="Segoe UI" w:cs="Segoe UI"/>
                <w:color w:val="1F1D1A"/>
                <w:sz w:val="18"/>
              </w:rPr>
              <w:t>Se vació y está invertida, por ley, en deuda del propio Estado; se publica cada dato, nunca la suma (</w:t>
            </w:r>
            <w:r>
              <w:rPr>
                <w:rFonts w:ascii="Segoe UI" w:hAnsi="Segoe UI" w:eastAsia="Segoe UI" w:cs="Segoe UI"/>
                <w:color w:val="1F1D1A"/>
                <w:sz w:val="18"/>
              </w:rPr>
              <w:t>8.6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Estado sigue pagando y obteniendo préstamos (</w:t>
            </w:r>
            <w:r>
              <w:rPr>
                <w:rFonts w:ascii="Segoe UI" w:hAnsi="Segoe UI" w:eastAsia="Segoe UI" w:cs="Segoe UI"/>
                <w:color w:val="1F1D1A"/>
                <w:sz w:val="18"/>
              </w:rPr>
              <w:t>9</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cuenta del sistema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regla que aplica a cualquier empresa no se la aplica a sí</w:t>
            </w:r>
          </w:p>
        </w:tc>
        <w:tc>
          <w:tcPr>
            <w:tcW w:type="dxa" w:w="2296"/>
          </w:tcPr>
          <w:p>
            <w:pPr>
              <w:spacing w:after="20" w:line="264" w:lineRule="auto"/>
            </w:pPr>
            <w:r/>
            <w:r>
              <w:rPr>
                <w:rFonts w:ascii="Segoe UI" w:hAnsi="Segoe UI" w:eastAsia="Segoe UI" w:cs="Segoe UI"/>
                <w:color w:val="1F1D1A"/>
                <w:sz w:val="18"/>
              </w:rPr>
              <w:t>La Seguridad Social tiene patrimonio neto negativo desde 2017, y las administraciones gastaron más de lo que ingresaban en 28 de los 31 años de 1995 a 2025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 Estado no es una empresa: tiene poder tributario y no desaparece como ella (</w:t>
            </w:r>
            <w:r>
              <w:rPr>
                <w:rFonts w:ascii="Segoe UI" w:hAnsi="Segoe UI" w:eastAsia="Segoe UI" w:cs="Segoe UI"/>
                <w:color w:val="1F1D1A"/>
                <w:sz w:val="18"/>
              </w:rPr>
              <w:t>9</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Lo que cuesta obtener lo mismo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hace crecer; se aleja con cada generación</w:t>
            </w:r>
          </w:p>
        </w:tc>
        <w:tc>
          <w:tcPr>
            <w:tcW w:type="dxa" w:w="2296"/>
          </w:tcPr>
          <w:p>
            <w:pPr>
              <w:spacing w:after="20" w:line="264" w:lineRule="auto"/>
            </w:pPr>
            <w:r/>
            <w:r>
              <w:rPr>
                <w:rFonts w:ascii="Segoe UI" w:hAnsi="Segoe UI" w:eastAsia="Segoe UI" w:cs="Segoe UI"/>
                <w:color w:val="1F1D1A"/>
                <w:sz w:val="18"/>
              </w:rPr>
              <w:t>Cada generación necesita más años de vida, más normas y más trámites para obtener lo mismo, y el hueco se cubre con deuda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Hay logros reales, y la obra concede lo que es cierto (</w:t>
            </w:r>
            <w:r>
              <w:rPr>
                <w:rFonts w:ascii="Segoe UI" w:hAnsi="Segoe UI" w:eastAsia="Segoe UI" w:cs="Segoe UI"/>
                <w:color w:val="1F1D1A"/>
                <w:sz w:val="18"/>
              </w:rPr>
              <w:t>11.4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compensación del daño (</w:t>
            </w:r>
            <w:r>
              <w:rPr>
                <w:rFonts w:ascii="Segoe UI" w:hAnsi="Segoe UI" w:eastAsia="Segoe UI" w:cs="Segoe UI"/>
                <w:color w:val="1F1D1A"/>
                <w:sz w:val="18"/>
              </w:rPr>
              <w:t>10.6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Cerca del centro: la propia ley ya obliga a compensar el daño injusto</w:t>
            </w:r>
          </w:p>
        </w:tc>
        <w:tc>
          <w:tcPr>
            <w:tcW w:type="dxa" w:w="2296"/>
          </w:tcPr>
          <w:p>
            <w:pPr>
              <w:spacing w:after="20" w:line="264" w:lineRule="auto"/>
            </w:pPr>
            <w:r/>
            <w:r>
              <w:rPr>
                <w:rFonts w:ascii="Segoe UI" w:hAnsi="Segoe UI" w:eastAsia="Segoe UI" w:cs="Segoe UI"/>
                <w:color w:val="1F1D1A"/>
                <w:sz w:val="18"/>
              </w:rPr>
              <w:t>Por el daño de un servicio público, el particular reclama a la Administración, no al empleado (</w:t>
            </w:r>
            <w:r>
              <w:rPr>
                <w:rFonts w:ascii="Segoe UI" w:hAnsi="Segoe UI" w:eastAsia="Segoe UI" w:cs="Segoe UI"/>
                <w:color w:val="1F1D1A"/>
                <w:sz w:val="18"/>
              </w:rPr>
              <w:t>10.4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Cuanto más arriba, más estrecho el camino (</w:t>
            </w:r>
            <w:r>
              <w:rPr>
                <w:rFonts w:ascii="Segoe UI" w:hAnsi="Segoe UI" w:eastAsia="Segoe UI" w:cs="Segoe UI"/>
                <w:color w:val="1F1D1A"/>
                <w:sz w:val="18"/>
              </w:rPr>
              <w:t>10.6</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Esta obra (</w:t>
            </w:r>
            <w:r>
              <w:rPr>
                <w:rFonts w:ascii="Segoe UI" w:hAnsi="Segoe UI" w:eastAsia="Segoe UI" w:cs="Segoe UI"/>
                <w:color w:val="1F1D1A"/>
                <w:sz w:val="18"/>
              </w:rPr>
              <w:t>2.5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Se pesa con la misma pesa: si dice más de lo que prueba, se aparta</w:t>
            </w:r>
          </w:p>
        </w:tc>
        <w:tc>
          <w:tcPr>
            <w:tcW w:type="dxa" w:w="2296"/>
          </w:tcPr>
          <w:p>
            <w:pPr>
              <w:spacing w:after="20" w:line="264" w:lineRule="auto"/>
            </w:pPr>
            <w:r/>
            <w:r>
              <w:rPr>
                <w:rFonts w:ascii="Segoe UI" w:hAnsi="Segoe UI" w:eastAsia="Segoe UI" w:cs="Segoe UI"/>
                <w:color w:val="1F1D1A"/>
                <w:sz w:val="18"/>
              </w:rPr>
              <w:t>Cada capítulo dice su límite honesto, y el dictamen no tiene valor oficial (</w:t>
            </w:r>
            <w:r>
              <w:rPr>
                <w:rFonts w:ascii="Segoe UI" w:hAnsi="Segoe UI" w:eastAsia="Segoe UI" w:cs="Segoe UI"/>
                <w:color w:val="1F1D1A"/>
                <w:sz w:val="18"/>
              </w:rPr>
              <w:t>9</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mejor defensa del Estado contra la obra se oye entera en el juicio (</w:t>
            </w:r>
            <w:r>
              <w:rPr>
                <w:rFonts w:ascii="Segoe UI" w:hAnsi="Segoe UI" w:eastAsia="Segoe UI" w:cs="Segoe UI"/>
                <w:color w:val="1F1D1A"/>
                <w:sz w:val="18"/>
              </w:rPr>
              <w:t>11.2</w:t>
            </w:r>
            <w:r>
              <w:rPr>
                <w:rFonts w:ascii="Segoe UI" w:hAnsi="Segoe UI" w:eastAsia="Segoe UI" w:cs="Segoe UI"/>
                <w:color w:val="1F1D1A"/>
                <w:sz w:val="18"/>
              </w:rPr>
              <w:t>)</w:t>
            </w:r>
          </w:p>
        </w:tc>
      </w:tr>
    </w:tbl>
    <w:p>
      <w:pPr>
        <w:spacing w:after="80"/>
      </w:pPr>
    </w:p>
    <w:p>
      <w:r>
        <w:rPr>
          <w:b/>
        </w:rPr>
        <w:t>El camino de vuelta.</w:t>
      </w:r>
      <w:r>
        <w:t xml:space="preserve"> De cada rama seca que pesa esta tabla, el camino de vuelta a lo recibido, gesto a gesto, está en J.1.</w:t>
      </w:r>
    </w:p>
    <w:p>
      <w:pPr>
        <w:pStyle w:val="Heading2"/>
      </w:pPr>
      <w:r>
        <w:t>Límite honesto de la prueba</w:t>
      </w:r>
    </w:p>
    <w:p>
      <w:pPr>
        <w:pStyle w:val="ListBullet"/>
      </w:pPr>
      <w:r>
        <w:rPr>
          <w:b/>
        </w:rPr>
        <w:t>La capa del equilibrio tiene hoy pocos datos.</w:t>
      </w:r>
      <w:r>
        <w:t xml:space="preserve"> La obra tiene mucho sobre el árbol torcido (capítulos 5 a 9) y poco sobre cómo sería, rama a rama, una ley alineada con el Arca. Es un hueco, y se dice. </w:t>
      </w:r>
      <w:r>
        <w:t>[04h, 3.1]</w:t>
      </w:r>
    </w:p>
    <w:p>
      <w:pPr>
        <w:pStyle w:val="ListBullet"/>
      </w:pPr>
      <w:r>
        <w:rPr>
          <w:b/>
        </w:rPr>
        <w:t>Faltan polos.</w:t>
      </w:r>
      <w:r>
        <w:t xml:space="preserve"> En dos de los nueve principios (P3 y P5), el Arca no tiene texto para uno de los dos vicios; se buscaron en lo ya leído y no se rellenan. </w:t>
      </w:r>
      <w:r>
        <w:t>[04h, 3.3; 04p, fila 31]</w:t>
      </w:r>
    </w:p>
    <w:p>
      <w:pPr>
        <w:pStyle w:val="ListBullet"/>
      </w:pPr>
      <w:r>
        <w:rPr>
          <w:b/>
        </w:rPr>
        <w:t>Las fechas que ordenan los textos son de nivel B</w:t>
      </w:r>
      <w:r>
        <w:t xml:space="preserve"> (enciclopedia), salvo las que la obra ya tenía en su fuente; el orden es el de cómo se formularon los criterios en la historia, no el de este libro. </w:t>
      </w:r>
      <w:r>
        <w:t>[04k; 04p, condición 6]</w:t>
      </w:r>
    </w:p>
    <w:p>
      <w:pPr>
        <w:pStyle w:val="ListBullet"/>
      </w:pPr>
      <w:r>
        <w:rPr>
          <w:b/>
        </w:rPr>
        <w:t>Los números van solo en el piloto,</w:t>
      </w:r>
      <w:r>
        <w:t xml:space="preserve"> y el piloto va aquí como diseño: sus umbrales se escriben con el autor antes de mirar los datos, y hasta entonces no hay cifra. </w:t>
      </w:r>
      <w:r>
        <w:t>[libreta 78; J.6]</w:t>
      </w:r>
    </w:p>
    <w:p>
      <w:pPr>
        <w:pStyle w:val="ListBullet"/>
      </w:pPr>
      <w:r>
        <w:rPr>
          <w:b/>
        </w:rPr>
        <w:t>Llevar la virtud de Aristóteles, que es de una persona, a las leyes y a las instituciones es una extensión del autor</w:t>
      </w:r>
      <w:r>
        <w:t xml:space="preserve"> (anexo del 4.3). Este anexo la convierte en método y lo dice; no la presenta como dato. </w:t>
      </w:r>
      <w:r>
        <w:t>[anexo del 4.3]</w:t>
      </w:r>
    </w:p>
    <w:p>
      <w:pPr>
        <w:pStyle w:val="ListBullet"/>
      </w:pPr>
      <w:r>
        <w:rPr>
          <w:b/>
        </w:rPr>
        <w:t>La doble polaridad se leyó en 30 pasajes de 11 tradiciones, y la independencia entre ellas no está comprobada.</w:t>
      </w:r>
      <w:r>
        <w:t xml:space="preserve"> Maimónides y Horacio dependen de Aristóteles; de China, el budismo, la India, el Israel bíblico y el Corán no se ha comprobado ni contacto ni independencia respecto de Grecia. Por eso se dice «coinciden», no «convergen». El Corán 25:67, Mencio 7A26, las Analectas XIII,21 y el Yasna 30 vienen de transcripciones no cotejadas con edición impresa (nivel B).</w:t>
      </w:r>
    </w:p>
    <w:p>
      <w:pPr>
        <w:pStyle w:val="Heading2"/>
      </w:pPr>
      <w:r>
        <w:t>Dónde se oye la defensa del Estado</w:t>
      </w:r>
    </w:p>
    <w:p>
      <w:r>
        <w:t xml:space="preserve">La defensa del Estado frente a este anexo («la obra no es neutral: la vara la pone el autor»; «un dial es una opinión con forma de cifra»), y lo que la obra le responde (el centro lo pone lo que converge, se escribe antes de medir y se aplica a los dos lados), se oyen en el juicio: </w:t>
      </w:r>
      <w:r>
        <w:t>11.2</w:t>
      </w:r>
      <w:r>
        <w:t xml:space="preserve">, las cuestiones previas. </w:t>
      </w:r>
      <w:r>
        <w:t>[glosario 8.13; 0.5]</w:t>
      </w:r>
    </w:p>
    <w:p>
      <w:pPr>
        <w:pStyle w:val="Heading2"/>
      </w:pPr>
      <w:r>
        <w:t>Para recordar</w:t>
      </w:r>
    </w:p>
    <w:p>
      <w:pPr>
        <w:pStyle w:val="ListBullet"/>
      </w:pPr>
      <w:r>
        <w:t>El dial no es un método nuevo: es el segundo paso de la vara, los frutos, con la posición y la dirección a la vista.</w:t>
      </w:r>
    </w:p>
    <w:p>
      <w:pPr>
        <w:pStyle w:val="ListBullet"/>
      </w:pPr>
      <w:r>
        <w:t>Dos semillas: la que se recibe y la que se siembra. El árbol se tuerce cuando lo sembrado se corta de lo recibido o se pone por encima.</w:t>
      </w:r>
    </w:p>
    <w:p>
      <w:pPr>
        <w:pStyle w:val="ListBullet"/>
      </w:pPr>
      <w:r>
        <w:t>El centro lo ponen la ley de Dios y la ley natural, por convergencia, y se escribe antes de mirar los datos.</w:t>
      </w:r>
    </w:p>
    <w:p>
      <w:pPr>
        <w:pStyle w:val="ListBullet"/>
      </w:pPr>
      <w:r>
        <w:t>El dial maestro es «servir»: a la izquierda, no cuida ni cumple; a la derecha, se sirve. La balanza equilibrada es su centro.</w:t>
      </w:r>
    </w:p>
    <w:p>
      <w:pPr>
        <w:pStyle w:val="ListBullet"/>
      </w:pPr>
      <w:r>
        <w:t>Se miden cosas, nunca personas; con número solo donde se cumplen cuatro condiciones, y con la mejor defensa al lado.</w:t>
      </w:r>
    </w:p>
    <w:p>
      <w:pPr>
        <w:pStyle w:val="ListBullet"/>
      </w:pPr>
      <w:r>
        <w:t xml:space="preserve">Una sola pesa para todo, también para quien pesa: ¿roca o arena? Y, por sus frutos, ¿sirve más allá de sí, se sirve, o no cuida ni cumple? Con ella se pesa en </w:t>
      </w:r>
      <w:r>
        <w:t>J.8</w:t>
      </w:r>
      <w:r>
        <w:t xml:space="preserve"> lo que expone el libro, con lo que pesa en el otro plato al lado (lectura del autor).</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la obra entera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Apocalipsis del Sistema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