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8 Los frutos</w:t>
      </w:r>
    </w:p>
    <w:p>
      <w:pPr>
        <w:spacing w:after="200"/>
      </w:pPr>
      <w:r>
        <w:rPr>
          <w:rFonts w:ascii="Segoe UI" w:hAnsi="Segoe UI" w:eastAsia="Segoe UI" w:cs="Segoe UI"/>
          <w:color w:val="6B665E"/>
          <w:sz w:val="17"/>
        </w:rPr>
        <w:t>Primera versión: 6 de octubre de 2026 · Última revisión: 12 de octubre de 2026 · Cambios anotados en el capítulo: 12 · Citas leídas en su fuente: 74</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después del cierre de la edición (fdc8549) (Kiko, chat de 08.31, 23:1x, fila 749 de 08/01, tal cual: «</w:t>
      </w:r>
      <w:r>
        <w:t>Apocalipsis del Sistema</w:t>
      </w:r>
      <w:r>
        <w:t>. La disolución del velo del Estado y el retorno a la fuente», y «si» a darlo por decidido): en «El velo y el muro de opacidad», como el velo vuelve al subtítulo, la frase vuelve a la de antes, «Es lo que el título de la obra promete disolver» (07/herramientas/aplicar_subtitulo_velo_y_fuente.py). Ninguna otra palabra cambia. Cambio del 12-oct-2026, después del cierre de la edición (fdc8549) (Kiko, chat de 08.31, 22:4x, fila 742 de 08/01, tal cual: «</w:t>
      </w:r>
      <w:r>
        <w:t>Apocalipsis del Sistema</w:t>
      </w:r>
      <w:r>
        <w:t>. Revelaciones de los frutos del Estado: la auditoría»; la frase del velo, de 08.31, fila 744): en «El velo y el muro de opacidad», «Es lo que el título de la obra promete disolver» (lo decía el subtítulo viejo) pasa a «Lo que esconde es lo que el nombre de la obra promete descubrir: «Apocalipsis» quiere decir «revelación» (0.2).» (07/herramientas/aplicar_subtitulo_nuevo.py). Ninguna otra palabra cambia. Cambio del 12-oct-2026, el cierre, dentro del paso 3 (alcance de la cifra; orden de 08.30, fila 724 de 08/01): en la conclusión de 8.9, «mayor que hace una década» pasa a «mayor que hace doce años», como dice ya el párrafo de datos de 8.9 (4,74 en 2014; 5,58 en 2026) (07/herramientas/aplicar_doce_anios_8_9.py). Ninguna otra palabra cambia. Cambio del 12-oct-2026, el cierre, dentro del paso 3 (B13: Kiko, chat de 08.18, 06:3x, «si» a la forma «sin contacto documentado entre sí»; orden de 08.29, filas 709 y 710 de 08/01, tras la auditoría de 10.36): la frase en este capítulo con la forma de antes pasa a decir «sin contacto documentado» (07/herramientas/aplicar_contacto_documentado.py).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9 (borrador B16). Ninguna otra palabra cambia. Cambio del 10-oct-2026 (Kiko, chat de 08.7, 23:4x, pasado por 08.7 tal cual, en mayúsculas: «SIN QUE NADIE LO VOTE NI DE SU CONSENTIMIENTO», al leer 8.3 en la web): «La idea» de 8.3 termina en «sin que nadie lo vote ni dé su consentimiento». Solo «La idea» de 8.3; nada más cambia. Cambio del 10-oct-2026, P5 (Kiko, chat de 08.4, pasado por 08.4 tal cual: «Sí a la P5, que entre la media frase»; P5 del estudio 08/10, apartado 6, que viene de la precisión d del 8.11; borrador de 07/borradores/marca_comercio): en la «Lectura del autor» de 8.11, la otra mitad de la imagen del nativo: lo que de verdad ha hecho es pulsar un interruptor en una pared, pero no tiene la palabra «pared» ni «interruptor». Sigue siendo imagen del autor, no un hecho. Nada más cambia. Cambio del 10-oct-2026 (Kiko, chat de 07.1, hacia las 13:45: «Sí, pero anota cómo yo mismo he caído en la presunción de primero decir pared […]»; borrador «El efectivo y la señal» de 07/borradores/marca_comercio; sin fila en 04p, nace de lo que Kiko pidió el 10-oct en el chat de 07): apartado nuevo 8.11 «El efectivo y la señal», con los límites al pago en efectivo (Ley 7/2012 y Reglamento (UE) 2024/1624), el billete de 500, el euro digital y el uso del efectivo por países (BCE, Comisión y Parlamento Europeo), Ap 13:16-17 entero en la Reina-Valera 1909 con Hipólito y Victorino, lo que no se halló en las otras tradiciones (nivel completo) y la Lectura del autor sobre la función y el salto de vocabulario (la imagen del nativo que toca la roca, y la propia presunción del autor al decir «pared»); una línea en 8.0, dos viñetas de «Límite honesto de la prueba» y una de «Para recordar». Un agente de fuentes leyó los documentos (169 de 169 literales comprobados); los traductores de Hipólito (MacMahon) y Victorino (Wallis) se comprobaron en los archivos. Sin nombrar ningún producto ni medio de pago. Cambio del 10-oct-2026 (Kiko, chat de 07, 9 y 10-oct, y permiso de trabajar en automático; fila A8 de 03b): en 8.3, tras el cuadro de los 100 euros guardados desde 1971, un bloque nuevo: lo que compran 100 euros guardados medido en barras de pan (1987, 1999 a 2025, solo ahorros) y la definición de «inflación» (Webster 1913 y la Academia de hoy) al lado; con su cuadro año por año en el nivel completo. Sin sueldos ni pensiones. «La idea» de 8.3 no cambia. Cambio del 9-oct-2026, después (Kiko: «Sí, pero sin mi frase… el contexto es la insatisfacción», medible por los suicidios y los antidepresivos): la «Lectura del autor» de 8.10 se reescribe: lo que las series miden es la insatisfacción; los suicidios y los antidepresivos son dos termómetros que no dicen lo mismo; y se lee de dos maneras, como indicador de que el malestar aumenta y como camuflaje, con la cautela de que puede deberse a más diagnóstico, menos estigma o más acceso. Cambio del 9-oct-2026 (Kiko: «sí al B10 con las dos recomendaciones, aplícalo»; fila 41 de 04p, parte b; borrador B10 de la carpeta 07): apartado nuevo 8.10 «La salud y la familia», con lo que muestran las series oficiales (antidepresivos, suicidios con la población española aparte, divorcios, depresión y ansiedad declaradas; INE, AEMPS, Ministerio de Sanidad, OCDE y Eurostat), la lectura del autor sobre el camuflaje y dos viñetas de «Límite honesto de la prueba»; una línea en 8.0 y una viñeta en «Para recordar». Dos agentes de fuentes leyeron las series (306 de 306 y 243 de 245 literales comprobados). Cambio del 8-oct-2026 (lectura de la dirección de la obra, aviso PASO 4.8): se cierra con su marca de fin el bloque de nivel completo de la tabla de 8.3, que había quedado sin cerrar y escondía, en los niveles 1 y 2, desde 8.4 hasta el final del capítulo (Límite honesto y Para recordar incluidos); y las referencias del texto de lectura a «la 20.00», «la 24.00», «la 21.00», «la pieza», «el termómetro de la pieza» y «el Pórtico» pasan a hablar de la obra. Sin cambiar ningún dato. ESTADO: APROBADO por Kiko el 6-oct-2026 («SI A TODO»: el capítulo y sus novedades, la corrección de la Biblioteca, también el título de la 29.00, y lo no leído a la libreta de flecos). Su material está marcado en el inventario (04 CAPITULOS/marcas/marcas del capitulo 8.txt). Cualquier cambio posterior, con su aprobación. Escrito en tres niveles y con remisiones enlazables. Marcas: {fuente: …} niveles 2 y 3; {original: …} nivel 3; [trazabilidad] nivel 3; {completo} solo nivel 3; {breve} solo niveles 1 y 2. Trazabilidad: al final de cada párrafo o bloque, entre corchetes (se ve en el nivel completo). Reparto (Kiko, 5-oct): cinco agentes localizaron y descargaron las fuentes (c8a: el dinero, la deuda y las advertencias; c8b: la carga, el gasto y el personal; c8c: la extracción; c8d: la industria, la vivienda y la confianza; c8f: Mariana, el Banco de España, los afiliados y cuatro leyes); Claude leyó cada original y extrajo las citas. Leído hoy en su original: - BOE: Constitución (arts. 40.1, 50, 67.2, 149.1.11.ª y 167); Diarios de Sesiones del Congreso (2-9-2011) y del Senado (7-9-2011); Ley General de la Seguridad Social (arts. 58 y 308.1.a, regla 4.ª; los arts. 110.1, 122 y 123.2.d, ya leídos para el capítulo 5); Orden PJC/297/2026 (arts. 2, 3, 4, 16, 18, 33 y 37); Real Decreto 241/2026 (arts. 3.1 y 21.1); Ley 46/1998 (art. 3); Reglamento (CE) 2866/98; Ley 35/2006 (arts. 57 y 63); Decretos 720/1970 y 547/1975; Reales Decretos 1462/2018 y 87/2025; Real Decreto-ley 28/2012 (art. 1); Pacto Internacional de Derechos Civiles y Políticos (art. 11); Ley Orgánica 4/1981 (arts. 1.3, 11.b y 12); Real Decreto 463/2020 (art. 8); Ley Orgánica del Poder Judicial (art. 57.1.2.º); Código Penal (art. 11); Ley 39/2015 (arts. 14, 24 y 133); Ley 19/2013 (art. 12); LOREG (arts. 46.3, 162.1, 163.1.e, 164.1, 166.1 y 196); Constitución (arts. 99 y 140); leyes del IVA de 1985 a 2012 (Ley 30/1985, Ley 31/1991, Real Decreto-ley 5/1992, Ley 37/1992, Ley 41/1994, Ley 26/2009 y Real Decreto-ley 20/2012); Decretos 3530/1972 y 2926/1974, Reales Decretos 1467/1981 y 13/1992 (cinturón y casco); Real Decreto 900/2015 y Real Decreto-ley 15/2018; Reales Decretos-leyes 9/1981 y 8/1983; Estatuto de Roma (art. 7); resoluciones de zonas tensionadas (BOE de 15-3-2024 y 9-10-2024); Estatuto de los Trabajadores (arts. 53.1.b y 56.1); Estatuto Básico del Empleado Público (arts. 14.a, 20, 63 y 96.1.a); Reglamento del Congreso (art. 22, en la redacción de 2025). - Tribunales y Unión Europea: STC 148/2021 (FJ 11); Tribunal de Justicia de la UE, Gauweiler (C-62/14), C-278/20 y C-743/22; STS 872/2026; STS 1119/2025 (BOSCO); STSJ de Madrid 405/2024 y ATS 3674/2026; STS de 12-11-2015 (foto-rojo) y STS 184/2018; demanda C-504/26 (DOUE) y comunicado de la Comisión de 11-3-2026; Tratado de Funcionamiento de la UE (arts. 123 y 127.1); Decreto ley 3/2026 de Canarias (BOC). - Organismos: Banco de Inglaterra (2014); Banco Central Europeo (balances, APP, PEPP y estrategia); Reserva Federal (balance y «Who owns the Federal Reserve?»); Federal Reserve History; Bernanke (2004); Banco Mundial (Global Waves of Debt, 2021; PIB en dólares); FMI (Perspectivas de la economía mundial, abril de 2026; Beneš y Kumhof, 2012); IIF (resumen público de 6-5-2026) y Reuters; Oficina de Estadísticas Laborales de EE. UU. (precios); Eurostat (cuentas, gasto por funciones de 2024, deuda e intereses, presión fiscal, esperanza de vida); INE (precios desde 1961, Encuesta Anual de Estructura Salarial, Movimiento Natural de la Población, fecundidad de 1975 a 2024, cuentas de los sectores, Presupuestos Familiares, EPA); Banco de España (SI 1.5; Documento Ocasional 2422); AIReF (presupuestos iniciales de 2026; variabilidad de los ingresos tributarios, 2025); Fondo de Reserva (informes a las Cortes de 2020 y 2025); Seguridad Social (pensiones de mayo y septiembre de 2026; Clases Pasivas; afiliados de diciembre de 2025); Agencia Tributaria (mercado de trabajo 2024); Estadística del Personal de las Administraciones Públicas (enero de 2026); Hacienda (cuantías retributivas de 2026); Congreso y Senado (régimen económico); Portal de la Transparencia; OCDE (Taxing Wages y Pensions at a Glance, datos oficiales); Banco Mundial (Doing Business 2020); Ministerio de Sanidad (listas de espera y Barómetro Sanitario); INEE (PISA 2022); Defensor del Pueblo (23-8-2023); Observatorio Estatal de la Dependencia (XXVI Dictamen y nota de 10-4-2026); Diario de Sesiones del Congreso (Comisión de Justicia, 15-3-2017); La Moncloa (publicidad institucional de 2019, 2024 y 2025); CIDH (principio 13); Tribunal de Cuentas (privatizaciones de 1996 a 2002); EFSA y AESAN (plaguicidas, 2023); Generalitat de Catalunya (memorias de zonas tensionadas de 2024 y 2026; fianzas del Incasòl); CIS (escala de confianza, 2013 a 2026). - Autores: Oresme, De moneta XV (latín); Copérnico, Monete cudende ratio (latín); Azpilcueta, Comentario resolutorio de cambios (ediciones de 1556 y 1568); Mariana, Tratado y discurso sobre la moneda de vellón (Biblioteca de Autores Españoles, t. 31, 1854, páginas escaneadas); Locke (1695, portada y dedicatoria); Greenspan (1966, en el Congressional Record de 1974); Weidmann (2012); Keynes (1919, cap. VI); White y Schuler (2009, resumen); Werner (2014); Rousseau, Del contrato social III, 15 (francés); Digesto 50.17.20 y 48.7.7 (latín); Diccionario panhispánico del español jurídico; Marín Arce (2006); Bel y Costas (2001); Mastroianni y Gilbert (Nature, 2023); Transparent Replications (2024); EsadeEcPol (2022); Acton (carta de 5-4-1887, edición de 1907). - Fuente secundaria (se marca en el texto): Instituto Juan de Mariana (Impuestómetro 2026, con datos de Molinari y EY); ATA (10-8-2026); Fundación Civismo (2021); UGT (2025, ejemplo de hostelería); Ecologistas en Acción (2025, con datos de la AESAN); prensa sobre las multas de la Zona de Bajas Emisiones (2026); Procurador del Común (sobre la STS de 2017 del foto-rojo); Smith, Smith y Stocks (2023, leído solo en transcripción). Hallado al escribir (aprobado y corregido en la Biblioteca el 6-oct, libreta 72, punto 144; lo no leído queda en la Biblioteca como estaba y pasa a la libreta de flecos): - 20.00, «La creación del dinero de la nada» (§3): el APP no acumuló «2,95 billones hasta 2021», sino 3,12 billones en tenencias a fin de 2021 (máximo de 3,27 en junio de 2022); el «63 % del PIB de toda la eurozona», los «18 billones de dólares, el 22 % del PIB mundial» y las dos frases de la «literatura financiera» no tienen fuente leída; el «23,6 % en diez años» del IPC no casa con la serie del INE (28,0 % de 2015 a 2025); lo de Benidorm sale de portales privados, sin leer. - 20.00, §4: el salario real de la OCDE (1993-2023) se leyó el 7-oct en la serie vigente (año base 2025) y entra en 8.3: España +4,04 %; Francia +28,15 %; Alemania +21,03 %; Italia −3,33 %; Países Bajos +1,49 %. Las cifras de la pieza (29.588 → 30.654 €; Francia 36 %; Alemania 34 %) no salen de esa serie, ni tampoco el «solo superó a Italia». - 20.00, §6: el Diccionario panhispánico define «nemo iudex sine actore» como «Nadie sea juez sin actor», no «no hay juez sin acusador»; su entrada de «permissum id esse intellegitur…» no cita la STS de 9-6-1987; y lo de que «in dubio pro administrado» es una «regla mnemotécnica moderna» no está en la entrada. Son seis fórmulas del diccionario y una del Digesto, no siete del diccionario. - 20.00, «El vaciado de la hucha» (§10): «retiraron 61.000 millones»: lo dispuesto fue 77.437 millones entre 2012 y 2018 (80.337 hasta 2019); 61.772 es lo que bajó el saldo (66.815 → 5.043). Nombres de presidentes del Gobierno: proponer «los Gobiernos de 2012 a 2018». Los 12.690 millones «desviados» antes de 2012: solo prensa. - 20.00, §11: las cifras de marzo de 2026 (271.556; 118.716; 152.840) no son del XXVI Dictamen, sino de la nota de la Asociación de Directoras y Gerentes de Servicios Sociales de 10-4-2026, con datos del Ministerio. - 20.00, §13: el «salario mediano de 24.497 €» y las normas de los expresidentes se leyeron el 7-oct (INE, 24.497,17 euros en 2024; RD 405/1992, en 7.6); los 628,80 € al mes son 8.803,20 / 14 (cálculo). - 20.00, §14 (Casa del Rey): leída el 7-oct en su fuente (relación de puestos del Ministerio de la Presidencia, Tribunal de Cuentas, REMCO); pasa al anexo C. - 20.00, «El patrón del incrementalismo» (§16): el cinturón fue obligatorio de instalar en 1972 (Decreto 3530/1972) y de usar en vías interurbanas desde el 11-11-1974 (Decreto 2926/1974); no hay normas de 1975 ni de 1976. El casco se exigió desde 1982 a las motos de más de 125 cc en todas las vías, y a las de 125 o menos solo en interurbanas (Real Decreto 1467/1981). Y «Nunca al revés» no se sostiene: el tipo incrementado del IVA bajó del 33 % al 28 % en 1992 y se suprimió en 1993, y el cargo al autoconsumo se derogó en 2018. - 20.00, «El estado de alarma» (§17): la STC 148/2021 sí permite revisar las sanciones (FJ 11.b, art. 40.1 LOTC); el «deber jurídico de soportar» (FJ 11.c) se refiere a las medidas y a la responsabilidad patrimonial, y «los perjuicios» no es literal. Lo que no se revisa son los actos firmes (FJ 11.a). Las propuestas de reforma de 2021 y 2023, sin leer. - 20.00, §15 (listas): la cita del art. 46.3 de la LOREG («la expresión del orden de colocación de todos ellos») no es la redacción vigente: hoy dice «con la expresión del orden de colocación tanto de los candidatos como de los suplentes». El estudio de 2012 sobre las primarias y los estatutos de los partidos, sin leer en esta ronda (no entran). - 20.00, §18 (aforamientos): los nombres de dos condenados, fuera (no se nombra a personas); sin leer. - 20.00, «Las Zonas de Bajas Emisiones» (§19): las cifras de 3,3 a 3,5 millones de multas y 650 a 700 millones son de una asociación de automovilistas (parte interesada), citada por la prensa, e incluyen multas que la sentencia no toca; la nulidad alcanza al régimen transitorio de toda la zona y a la regulación de Distrito Centro y Plaza Elíptica. La Ordenanza 2/2026 entró en vigor el 7 de abril (al día siguiente de su publicación), no el 6. - 20.00, §20 (foto-rojo): no se han localizado ni «pesan, cuentan ni miden» ni el pasaje del porcentaje de la empresa instaladora; la STS de 2017 no se ha podido leer entera. - 20.00, §25 (franquicia del IVA): los 32.430 € diarios son el importe con el que se calcula la suma a tanto alzado (mínimo de 7.540.000 €); la multa coercitiva que se pide es de 135.811,20 € al día, desde la sentencia (asunto C-504/26). Canarias no creó la franquicia: subió la que ya tenía el IGIC de 30.000 a 50.000 €, en un decreto ley de medidas por la crisis de Oriente Medio. - 20.00, §28, y 21.00, §7: los 226 horas, 3.390 € y 11.000 millones de ATA son de su nota de 10-8-2026, no de diciembre de 2025 (entonces daba 200 horas, 3.000 € y 10.000 millones); y la propia nota dice 758 y 780 millones de horas. - 20.00, §29 (publicidad institucional): «172 millones», «990,8 millones acumulados» y «la cifra más alta en casi dos décadas», sin fuente leída; las negativas de los ministerios, solo prensa. Y el principio 13 de la CIDH exige el objetivo de presionar, castigar, premiar o privilegiar: «exista o no intención probada» no está en él (el informe de 2011 no se ha leído). - 20.00, §30: las cuatro sentencias del Supremo de 2026 sobre el silencio positivo, sin leer. - 21.00: el 38,3 % «previsto por la Comisión Europea» no está en ningún documento oficial (es una suma del Instituto Juan de Mariana con series de la Comisión, que dan el 38,13 % o el 38,49 %); la frase del Impuestómetro «considerando las principales figuras tributarias…» no existe; Civismo da 332 horas, no 322 (las 322 son de Argentina); dos frases atribuidas al Defensor del Pueblo no son literales; la OCDE da 16,3 y 18,7 veces el salario (valor bruto), no «15 y 17». Los datos de salario y depósitos de 2025 y 2026 (§5) y los de gastos del hogar (§10), sin leer en esta ronda: leídos después, el 7-oct, y recogidos en el anexo B. - 24.00: el Banco Mundial dice «más grande, más rápida y más generalizada» de la deuda de las economías emergentes y en desarrollo, no de la mundial, y no «que las tres anteriores juntas»; «ampliamente estable desde 2023» es redacción de Reuters, no del informe del IIF. - 25.00: la frase de Mariana «es ilícito y malo; si con él…» no está en el prólogo, sino al cierre del tratado (cap. XIII, p. 593). Copérnico leyó la versión alemana ante la Dieta de la Prusia Real en Grudziądz el 21-3-1522; «a petición de Segismundo» para la de 1526 no consta, y «la moneda mala expulsa a la buena» no es literal. Que Locke aconsejara a Newton, sin leer. La entrevista de Lenin se publicó en «periódicos de Londres y de Nueva York» (White y Schuler); los nombres de los diarios no se han comprobado. Greenspan escribió «"hidden" confiscation», con comillas. - 26.00: las 132.793 muestras y el 98 % de cumplimiento son del conjunto de la UE (EFSA), no de España (2.492 muestras); las «60.000 viviendas de alquiler perdidas» no tienen fuente (la serie oficial de fianzas del Incasòl da otra cosa); los «302 municipios» y los «6,1 millones» no son cifras oficiales (en trámite: 118 prorrogables con 5.919.365 habitantes y 53 nuevos con 255.220); la resolución salió en el BOE del 9-10-2024, no del 8; los 140 municipios los declaró la TER/2940/2023 y la TER/800/2024 la modificó; las privatizaciones de 1997 y 1998 sumaron 25.564 millones, no «más de 12.000». La «octava potencia industrial» de los años setenta, sin leer. - 27.00: «72,3 %» → 72,47 % (junio de 1990); el índice de fecundidad de 1975, que la pieza daba como «aproximadamente 2,9» sin verificar, es 2,77 (INE). - 29.00 (su título pasa a «La confianza entre personas es mayor que hace una década», también en la cita de la 28.00): el CIS no pregunta «desde 2006» (la serie empieza en 2013) y el 5,4 de 2020 no fue «la más alta de toda la serie» después: 2021, 2022 y 2023 la superan (5,7; 5,75 y 5,73); el 32 % de 2009 y el 45,8 % de 2016 no se han encontrado (2016 da 38,6 y 42,0); el «84 % de las encuestas» es el 84,18 % de las preguntas de Estados Unidos (1949-2019); y la confianza no está «en máximos» (título y conclusión de la pieza): el máximo fue 5,75 en 2022, y en 2026 es 5,58, mayor que hace una década (4,74 en 2014). La réplica de Smith, Smith y Stocks sostiene que el argumento central es lógicamente inválido, no lo que dice la pieza. - 34.00, nota 4: los salarios medios son un cálculo propio con la tabla de la Agencia Tributaria, no una cifra que esta publique. El 100,2 % del PIB (mayo de 2026) se leyó el 7-oct en el Banco de España (anexo C), y la media de los altos cargos es de 92.294 € (C.1), no 92.189. - De la edición, no de la Biblioteca: el capítulo 5 (conclusión de 5.1) seguía diciendo «73 incumplimientos»; con el art. 21 reclasificado son 72. Corregido el 6-oct, como parte de la cascada ya aprobada el 5-oct. Nuevo, aprobado por Kiko el 6-oct: Oresme en latín (cap. XV); Copérnico en latín (los «cuatro azotes» y la moneda que «expulsó» a la antigua); Azpilcueta en la edición castellana de 1556, en vez de la italiana de 1569; Weidmann sobre la tentación; la frase de Werner como afirmación del propio autor; el control de la EFSA por origen (3,4 % frente a 1,0 %); la serie de fianzas del Incasòl; los 850.000 empleos industriales perdidos entre 1977 y 1985 (Marín Arce); la serie del CIS de 2014 a 2026; el índice de fecundidad de 1975 (2,77); la Ley Orgánica 4/1981, art. 1.3. No entra: el «63 % del PIB» de la zona euro y los «18 billones» (sin fuente); Benidorm (portales privados); la cita atribuida a Friedman (sin fuente primaria, 8.2); Nozick, y Murphy y Nagel (20.00, §34: Nozick solo por fuentes secundarias, y Murphy y Nagel sin leer); las cifras de coste de la reconversión (fuente concentrada); la ocupación de la 26.00 (la propia pieza la descartó); los nombres de personas condenadas; las sentencias de 2026 sobre el silencio positivo. Remisiones: Mill y el límite del daño (2.3); las barreras electorales y el informe del Consejo de Estado de 2009 (6.4); Trasímaco (1.4); Mencio y las Leyes de Manu sobre el tiempo, la pesa justa y devolver lo confiado (3.2, P3, P4 y P5); la usura (3.3); lo que se da por supuesto sobre el dinero, la hucha y el IRPF (5.1, n.º 1, 2, 3, 5, 6, 8, 9, 10, 11 y 12); las listas cerradas (6.4); la asignación y el art. 135.3 (7.2, n.º 1 y 4); el confinamiento (7.2, n.º 9); la franquicia del IVA, la Zona de Bajas Emisiones, el Fondo de Reserva y la infancia (7.5, casos 1, 2, 4 y 5); el cobro sin juez y los 43.300 millones de intereses (7.6); el diseño que enfrenta a la gente (7.7); la quiebra camuflada y los 6,13 billones de pensiones prometidas (9.1); los cuadros completos (anexos B y C). Conceptos que ancla: el dinero sin respaldo material, en su desarrollo (8.1); el tiempo de vida cristalizado (8.3); la carga (8.4); el velo y el muro de opacidad (8.6). Corregido el 7-oct-2026 (capítulo 11, parte 6): Mt 11:15 en 8.6, con las palabras de la Reina-Valera Antigua, «para oir» (c9g); decía «para oír», de la de 1960.</w:t>
      </w:r>
    </w:p>
    <w:p>
      <w:pPr>
        <w:pBdr>
          <w:left w:val="single" w:sz="24" w:space="6" w:color="E2DED6"/>
        </w:pBdr>
        <w:shd w:val="clear" w:color="auto" w:fill="F1EEE8"/>
        <w:spacing w:before="80" w:after="160"/>
        <w:ind w:left="142" w:right="142"/>
      </w:pPr>
      <w:r>
        <w:rPr>
          <w:b/>
        </w:rPr>
        <w:t>En pocas palabras:</w:t>
      </w:r>
    </w:p>
    <w:p>
      <w:pPr>
        <w:pStyle w:val="ListBullet"/>
      </w:pPr>
      <w:r>
        <w:t>Desde 1971 ninguna moneda se puede cambiar por oro: el dinero vale lo que la ley declara y la confianza que se le tiene. Y la mayor parte la crean los bancos al prestar: nace como deuda.</w:t>
      </w:r>
    </w:p>
    <w:p>
      <w:pPr>
        <w:pStyle w:val="ListBullet"/>
      </w:pPr>
      <w:r>
        <w:t>Durante siete siglos se ha advertido, a menudo desde dentro del poder, que alterar el valor de la moneda es quitar al pueblo sin pedirle permiso.</w:t>
      </w:r>
    </w:p>
    <w:p>
      <w:pPr>
        <w:pStyle w:val="ListBullet"/>
      </w:pPr>
      <w:r>
        <w:t>100 euros guardados el 1 de enero de 1971 compran hoy lo que entonces 3,90. El salario medio compra lo mismo que en 2008. Y entre 2021 y 2025 la subida de los precios rebajó la deuda del Estado más de lo que este pagó en intereses.</w:t>
      </w:r>
    </w:p>
    <w:p>
      <w:pPr>
        <w:pStyle w:val="ListBullet"/>
      </w:pPr>
      <w:r>
        <w:t>De cada 100 euros que paga una empresa por un asalariado medio, al menos 41 van a cotizaciones e IRPF, y hasta 53,6 con todas las capas. El autónomo, entre el 42 % y el 53 %, según la base que elija.</w:t>
      </w:r>
    </w:p>
    <w:p>
      <w:pPr>
        <w:pStyle w:val="ListBullet"/>
      </w:pPr>
      <w:r>
        <w:t>Cuando el ciudadano omite, el sistema lo cobra solo; cuando omite el sistema, el ciudadano tiene que litigar años: la gasolina, la franquicia del IVA, el algoritmo del bono social.</w:t>
      </w:r>
    </w:p>
    <w:p>
      <w:pPr>
        <w:pStyle w:val="ListBullet"/>
      </w:pPr>
      <w:r>
        <w:t>De la hucha de las pensiones se dispusieron 80.337 millones entre 2012 y 2019, y la ley obliga a invertirla en títulos públicos: hoy, solo deuda española. El total del gasto se publica; la suma de quién cobra qué, no.</w:t>
      </w:r>
    </w:p>
    <w:p>
      <w:pPr>
        <w:pStyle w:val="ListBullet"/>
      </w:pPr>
      <w:r>
        <w:t>La vivienda cuesta 8,4 años de la renta bruta de un hogar mediano, y la fecundidad está en su mínimo, 1,10 hijos por mujer. Por qué, queda abierto.</w:t>
      </w:r>
    </w:p>
    <w:p>
      <w:pPr>
        <w:pStyle w:val="ListBullet"/>
      </w:pPr>
      <w:r>
        <w:t>La confianza entre las personas no ha caído. La que está baja es la confianza en las instituciones.</w:t>
      </w:r>
    </w:p>
    <w:p>
      <w:pPr>
        <w:pStyle w:val="Heading2"/>
      </w:pPr>
      <w:r>
        <w:t>8.0 Propósito</w:t>
      </w:r>
    </w:p>
    <w:p>
      <w:r>
        <w:t xml:space="preserve">El </w:t>
      </w:r>
      <w:r>
        <w:t>capítulo 7</w:t>
      </w:r>
      <w:r>
        <w:t xml:space="preserve"> midió la Constitución artículo por artículo. Este mide lo que llega a la vida diaria: el dinero, lo que se lleva cada año de lo que cuesta el trabajo de una persona, a dónde va, y lo que se ve en la vivienda, en los hijos y en la confianza. Es la otra mitad de la vara: después de la verdad de los hechos, los frutos (</w:t>
      </w:r>
      <w:r>
        <w:t>0.5</w:t>
      </w:r>
      <w:r>
        <w:t>).</w:t>
      </w:r>
    </w:p>
    <w:p>
      <w:r>
        <w:rPr>
          <w:b/>
        </w:rPr>
        <w:t>Cómo se lee.</w:t>
      </w:r>
      <w:r>
        <w:t xml:space="preserve"> Cada dato va con su fuente y su fecha; los cálculos de la obra se dicen como tales; las cifras de estudios privados o de partes interesadas, marcadas. Los cuadros completos están en los anexos B y C.</w:t>
      </w:r>
    </w:p>
    <w:p>
      <w:r>
        <w:rPr>
          <w:b/>
        </w:rPr>
        <w:t>Lo que este capítulo no hace.</w:t>
      </w:r>
      <w:r>
        <w:t xml:space="preserve"> No prueba ninguna intención: mide efectos. Donde la causa no está demostrada, lo dice (</w:t>
      </w:r>
      <w:r>
        <w:t>8.8</w:t>
      </w:r>
      <w:r>
        <w:t>). Y no da consejo financiero ni de inversión.</w:t>
      </w:r>
    </w:p>
    <w:p>
      <w:r>
        <w:t>Este capítulo dice:</w:t>
      </w:r>
    </w:p>
    <w:p>
      <w:pPr>
        <w:pStyle w:val="ListBullet"/>
      </w:pPr>
      <w:r>
        <w:rPr>
          <w:b/>
        </w:rPr>
        <w:t>8.1</w:t>
      </w:r>
      <w:r>
        <w:t xml:space="preserve"> el dinero sin respaldo y la deuda;</w:t>
      </w:r>
    </w:p>
    <w:p>
      <w:pPr>
        <w:pStyle w:val="ListBullet"/>
      </w:pPr>
      <w:r>
        <w:rPr>
          <w:b/>
        </w:rPr>
        <w:t>8.2</w:t>
      </w:r>
      <w:r>
        <w:t xml:space="preserve"> siete siglos de advertencias;</w:t>
      </w:r>
    </w:p>
    <w:p>
      <w:pPr>
        <w:pStyle w:val="ListBullet"/>
      </w:pPr>
      <w:r>
        <w:rPr>
          <w:b/>
        </w:rPr>
        <w:t>8.3</w:t>
      </w:r>
      <w:r>
        <w:t xml:space="preserve"> el tiempo de vida que se lleva la moneda;</w:t>
      </w:r>
    </w:p>
    <w:p>
      <w:pPr>
        <w:pStyle w:val="ListBullet"/>
      </w:pPr>
      <w:r>
        <w:rPr>
          <w:b/>
        </w:rPr>
        <w:t>8.4</w:t>
      </w:r>
      <w:r>
        <w:t xml:space="preserve"> la carga sobre cada persona;</w:t>
      </w:r>
    </w:p>
    <w:p>
      <w:pPr>
        <w:pStyle w:val="ListBullet"/>
      </w:pPr>
      <w:r>
        <w:rPr>
          <w:b/>
        </w:rPr>
        <w:t>8.5</w:t>
      </w:r>
      <w:r>
        <w:t xml:space="preserve"> la extracción, por acción y por omisión;</w:t>
      </w:r>
    </w:p>
    <w:p>
      <w:pPr>
        <w:pStyle w:val="ListBullet"/>
      </w:pPr>
      <w:r>
        <w:rPr>
          <w:b/>
        </w:rPr>
        <w:t>8.6</w:t>
      </w:r>
      <w:r>
        <w:t xml:space="preserve"> a dónde va cada euro, y quién sostiene a quién;</w:t>
      </w:r>
    </w:p>
    <w:p>
      <w:pPr>
        <w:pStyle w:val="ListBullet"/>
      </w:pPr>
      <w:r>
        <w:rPr>
          <w:b/>
        </w:rPr>
        <w:t>8.7</w:t>
      </w:r>
      <w:r>
        <w:t xml:space="preserve"> la industria, el campo y la vivienda;</w:t>
      </w:r>
    </w:p>
    <w:p>
      <w:pPr>
        <w:pStyle w:val="ListBullet"/>
      </w:pPr>
      <w:r>
        <w:rPr>
          <w:b/>
        </w:rPr>
        <w:t>8.8</w:t>
      </w:r>
      <w:r>
        <w:t xml:space="preserve"> vivienda y fecundidad;</w:t>
      </w:r>
    </w:p>
    <w:p>
      <w:pPr>
        <w:pStyle w:val="ListBullet"/>
      </w:pPr>
      <w:r>
        <w:rPr>
          <w:b/>
        </w:rPr>
        <w:t>8.9</w:t>
      </w:r>
      <w:r>
        <w:t xml:space="preserve"> la confianza;</w:t>
      </w:r>
    </w:p>
    <w:p>
      <w:pPr>
        <w:pStyle w:val="ListBullet"/>
      </w:pPr>
      <w:r>
        <w:rPr>
          <w:b/>
        </w:rPr>
        <w:t>8.10</w:t>
      </w:r>
      <w:r>
        <w:t xml:space="preserve"> la salud y la familia;</w:t>
      </w:r>
    </w:p>
    <w:p>
      <w:pPr>
        <w:pStyle w:val="ListBullet"/>
      </w:pPr>
      <w:r>
        <w:rPr>
          <w:b/>
        </w:rPr>
        <w:t>8.11</w:t>
      </w:r>
      <w:r>
        <w:t xml:space="preserve"> y el efectivo y la señal.</w:t>
      </w:r>
    </w:p>
    <w:p>
      <w:pPr>
        <w:pStyle w:val="Heading2"/>
      </w:pPr>
      <w:r>
        <w:t>8.1 El dinero sin respaldo y la deuda</w:t>
      </w:r>
    </w:p>
    <w:p>
      <w:pPr>
        <w:pBdr>
          <w:left w:val="single" w:sz="24" w:space="6" w:color="E2DED6"/>
        </w:pBdr>
        <w:shd w:val="clear" w:color="auto" w:fill="F1EEE8"/>
        <w:spacing w:before="80" w:after="160"/>
        <w:ind w:left="142" w:right="142"/>
      </w:pPr>
      <w:r>
        <w:rPr>
          <w:b/>
        </w:rPr>
        <w:t>La idea: el sistema monetario actual nació de una decisión política fechada; la mayor parte del dinero la crea la banca al prestar; la deuda mundial está en máximos; y España ha escrito en su Constitución que la deuda se paga antes que nada.</w:t>
      </w:r>
    </w:p>
    <w:p>
      <w:r>
        <w:rPr>
          <w:b/>
        </w:rPr>
        <w:t>El nombre.</w:t>
      </w:r>
      <w:r>
        <w:t xml:space="preserve"> Ya se anticipó en 5.1: la edición llama </w:t>
      </w:r>
      <w:r>
        <w:rPr>
          <w:b/>
        </w:rPr>
        <w:t>dinero sin respaldo material</w:t>
      </w:r>
      <w:r>
        <w:t xml:space="preserve"> al que no se puede cambiar por oro ni por ningún bien, y vale por lo que la ley declara, su «curso legal», y por la confianza que la gente tiene en él. Circulan otros dos nombres para lo mismo, que aquí se explican una vez y no se vuelven a usar: «dinero fiduciario», el «que depende del crédito y confianza que merezca»</w:t>
      </w:r>
      <w:r>
        <w:t xml:space="preserve"> (Diccionario de la lengua española)</w:t>
      </w:r>
      <w:r>
        <w:br/>
      </w:r>
      <w:r>
        <w:rPr>
          <w:b/>
        </w:rPr>
        <w:t>leída en su fuente · Diccionario de la lengua española</w:t>
      </w:r>
      <w:r>
        <w:br/>
      </w:r>
      <w:r>
        <w:rPr>
          <w:b/>
        </w:rPr>
        <w:t>Archivo leído:</w:t>
      </w:r>
      <w:r>
        <w:t xml:space="preserve"> diccionariodelal0000unse_q9u2.txt (c5_grandes\diccionariodelal0000unse_q9u2.txt) · contraste del archivo de pasajes: ✔</w:t>
      </w:r>
      <w:r>
        <w:br/>
      </w:r>
      <w:r>
        <w:rPr>
          <w:b/>
        </w:rPr>
        <w:t>Lugar:</w:t>
      </w:r>
      <w:r>
        <w:t xml:space="preserve"> Diccionario de la lengua española</w:t>
      </w:r>
      <w:r>
        <w:br/>
      </w:r>
      <w:r>
        <w:rPr>
          <w:b/>
        </w:rPr>
        <w:t>Tal como está en la fuente:</w:t>
      </w:r>
      <w:r>
        <w:t xml:space="preserve"> que depende del crédito y confianza que merezca</w:t>
      </w:r>
      <w:r>
        <w:t xml:space="preserve">, y «moneda fiat», del latín </w:t>
      </w:r>
      <w:r>
        <w:rPr>
          <w:i/>
        </w:rPr>
        <w:t>fiat</w:t>
      </w:r>
      <w:r>
        <w:t xml:space="preserve">, «hágase». </w:t>
      </w:r>
      <w:r>
        <w:t>[glosario 6.1]</w:t>
      </w:r>
    </w:p>
    <w:p>
      <w:r>
        <w:rPr>
          <w:b/>
        </w:rPr>
        <w:t>1971.</w:t>
      </w:r>
      <w:r>
        <w:t xml:space="preserve"> El 15 de agosto de 1971, el presidente de Estados Unidos anunció por televisión: «He ordenado al secretario Connally que suspenda temporalmente la convertibilidad del dólar en oro u otros activos de reserva»</w:t>
      </w:r>
      <w:r>
        <w:t xml:space="preserve"> [original: «I have directed Secretary Connally to suspend temporarily the convertibility of the dollar into gold or other reserve assets»]</w:t>
      </w:r>
      <w:r>
        <w:t xml:space="preserve"> (Nixon, discurso a la nación, 15-8-1971, American Presidency Project)</w:t>
      </w:r>
      <w:r>
        <w:br/>
      </w:r>
      <w:r>
        <w:rPr>
          <w:b/>
        </w:rPr>
        <w:t>leída en su fuente · Nixon, discurso a la nación, 15-8-1971, American Presidency Project</w:t>
      </w:r>
      <w:r>
        <w:br/>
      </w:r>
      <w:r>
        <w:rPr>
          <w:b/>
        </w:rPr>
        <w:t>Archivo leído:</w:t>
      </w:r>
      <w:r>
        <w:t xml:space="preserve"> 8.1_01_Nixon_1971-08-15_APP.html (c8a\8.1_01_Nixon_1971-08-15_APP.html) · contraste del archivo de pasajes: ✔</w:t>
      </w:r>
      <w:r>
        <w:br/>
      </w:r>
      <w:r>
        <w:rPr>
          <w:b/>
        </w:rPr>
        <w:t>Lugar:</w:t>
      </w:r>
      <w:r>
        <w:t xml:space="preserve"> Nixon, discurso a la nación, 15-8-1971, American Presidency Project</w:t>
      </w:r>
      <w:r>
        <w:br/>
      </w:r>
      <w:r>
        <w:rPr>
          <w:b/>
        </w:rPr>
        <w:t>Tal como está en la fuente:</w:t>
      </w:r>
      <w:r>
        <w:t xml:space="preserve"> I have directed Secretary Connally to suspend temporarily the convertibility of the dollar into gold or other reserve assets</w:t>
      </w:r>
      <w:r>
        <w:t>. Lo temporal no se revirtió. La historia oficial de la Reserva Federal lo resume así: «en la práctica, el sistema monetario internacional pasó a ser fiduciario»</w:t>
      </w:r>
      <w:r>
        <w:t xml:space="preserve"> [original: «in effect, the international monetary system turned into a fiat one»]</w:t>
      </w:r>
      <w:r>
        <w:t xml:space="preserve"> (Federal Reserve History, «Nixon Ends Convertibility of U.S. Dollars to Gold»)</w:t>
      </w:r>
      <w:r>
        <w:br/>
      </w:r>
      <w:r>
        <w:rPr>
          <w:b/>
        </w:rPr>
        <w:t>leída en su fuente · Federal Reserve History, «Nixon Ends Convertibility of U.S. Dollars to Gold»</w:t>
      </w:r>
      <w:r>
        <w:br/>
      </w:r>
      <w:r>
        <w:rPr>
          <w:b/>
        </w:rPr>
        <w:t>Archivo leído:</w:t>
      </w:r>
      <w:r>
        <w:t xml:space="preserve"> 8.1_02_FedHistory_Nixon_ends_convertibility.html (c8a\8.1_02_FedHistory_Nixon_ends_convertibility.html) · contraste del archivo de pasajes: ✔</w:t>
      </w:r>
      <w:r>
        <w:br/>
      </w:r>
      <w:r>
        <w:rPr>
          <w:b/>
        </w:rPr>
        <w:t>Lugar:</w:t>
      </w:r>
      <w:r>
        <w:t xml:space="preserve"> Federal Reserve History, «Nixon Ends Convertibility of U.S. Dollars to Gold»</w:t>
      </w:r>
      <w:r>
        <w:br/>
      </w:r>
      <w:r>
        <w:rPr>
          <w:b/>
        </w:rPr>
        <w:t>Tal como está en la fuente:</w:t>
      </w:r>
      <w:r>
        <w:t xml:space="preserve"> in effect, the international monetary system turned into a fiat one</w:t>
      </w:r>
      <w:r>
        <w:t xml:space="preserve">. </w:t>
      </w:r>
      <w:r>
        <w:t>[24.00-1.1 y 1.2]</w:t>
      </w:r>
    </w:p>
    <w:p>
      <w:r>
        <w:rPr>
          <w:b/>
        </w:rPr>
        <w:t>Quién crea el dinero.</w:t>
      </w:r>
      <w:r>
        <w:t xml:space="preserve"> Lo dice el propio Banco de Inglaterra (</w:t>
      </w:r>
      <w:r>
        <w:t>5.1</w:t>
      </w:r>
      <w:r>
        <w:t>, n.º 10). Y explica cómo: «cada vez que un banco concede un préstamo, crea a la vez un depósito equivalente en la cuenta del prestatario, y con ello crea dinero nuevo»</w:t>
      </w:r>
      <w:r>
        <w:t xml:space="preserve"> [original: «Whenever a bank makes a loan, it simultaneously creates a matching deposit in the borrower's bank account, thereby creating new money.»]</w:t>
      </w:r>
      <w:r>
        <w:t>; «en vez de prestar los depósitos que reciben, el acto de prestar crea los depósitos: al revés de la secuencia que suelen describir los manuales»</w:t>
      </w:r>
      <w:r>
        <w:t xml:space="preserve"> [original: «rather than banks lending out deposits that are placed with them, the act of lending creates deposits — the reverse of the sequence typically described in textbooks»]</w:t>
      </w:r>
      <w:r>
        <w:t>; y la teoría del multiplicador «no es una descripción exacta de cómo se crea el dinero en la realidad»</w:t>
      </w:r>
      <w:r>
        <w:t xml:space="preserve"> [original: «it is not an accurate description of how money is created in reality»]</w:t>
      </w:r>
      <w:r>
        <w:t xml:space="preserve"> (Banco de Inglaterra, «Money creation in the modern economy» (La creación del dinero en la economía moderna), Quarterly Bulletin, 2014)</w:t>
      </w:r>
      <w:r>
        <w:br/>
      </w:r>
      <w:r>
        <w:rPr>
          <w:b/>
        </w:rPr>
        <w:t>leída en su fuente · Banco de Inglaterra, «Money creation in the modern economy» (La creación del dinero en la</w:t>
      </w:r>
      <w:r>
        <w:br/>
      </w:r>
      <w:r>
        <w:rPr>
          <w:b/>
        </w:rPr>
        <w:t>Archivo leído:</w:t>
      </w:r>
      <w:r>
        <w:t xml:space="preserve"> banco_inglaterra_2014_money_creation_modern_economy.pdf (c5\banco_inglaterra_2014_money_creation_modern_economy.pdf) · contraste del archivo de pasajes: ✔</w:t>
      </w:r>
      <w:r>
        <w:br/>
      </w:r>
      <w:r>
        <w:rPr>
          <w:b/>
        </w:rPr>
        <w:t>Lugar:</w:t>
      </w:r>
      <w:r>
        <w:t xml:space="preserve"> Banco de Inglaterra, «Money creation in the modern economy» (La creación del dinero en la economía moderna), Quarterly Bulletin, 2014</w:t>
      </w:r>
      <w:r>
        <w:br/>
      </w:r>
      <w:r>
        <w:rPr>
          <w:b/>
        </w:rPr>
        <w:t>Tal como está en la fuente:</w:t>
      </w:r>
      <w:r>
        <w:t xml:space="preserve"> it is not an accurate description of how money is created in reality</w:t>
      </w:r>
      <w:r>
        <w:t>. El mismo año, un economista pidió un préstamo a un banco que colaboró en el estudio y vigiló sus registros internos; su conclusión, en sus palabras: el estudio «establece por primera vez de forma empírica que los bancos, uno a uno, crean dinero de la nada»</w:t>
      </w:r>
      <w:r>
        <w:t xml:space="preserve"> [original: «This study establishes for the first time empirically that banks individually create money out of nothing.»]</w:t>
      </w:r>
      <w:r>
        <w:t xml:space="preserve"> (Werner, International Review of Financial Analysis 36, 2014)</w:t>
      </w:r>
      <w:r>
        <w:br/>
      </w:r>
      <w:r>
        <w:rPr>
          <w:b/>
        </w:rPr>
        <w:t>pasaje guardado · Werner, International Review of Financial Analysis 36, 2014</w:t>
      </w:r>
      <w:r>
        <w:br/>
      </w:r>
      <w:r>
        <w:rPr>
          <w:b/>
        </w:rPr>
        <w:t>Archivo leído:</w:t>
      </w:r>
      <w:r>
        <w:t xml:space="preserve"> 8.1_03_Werner_2014_IRFA36_copia_unesp.pdf (c8a\8.1_03_Werner_2014_IRFA36_copia_unesp.pdf) · contraste del archivo de pasajes: parcial</w:t>
      </w:r>
      <w:r>
        <w:br/>
      </w:r>
      <w:r>
        <w:rPr>
          <w:b/>
        </w:rPr>
        <w:t>Lugar:</w:t>
      </w:r>
      <w:r>
        <w:t xml:space="preserve"> Werner, International Review of Financial Analysis 36, 2014</w:t>
      </w:r>
      <w:r>
        <w:br/>
      </w:r>
      <w:r>
        <w:rPr>
          <w:b/>
        </w:rPr>
        <w:t>Tal como está en la fuente:</w:t>
      </w:r>
      <w:r>
        <w:t xml:space="preserve"> This study establishes for the first time empirically that banks individually create money out of nothing.</w:t>
      </w:r>
      <w:r>
        <w:t xml:space="preserve">. Lo de «por primera vez» es afirmación del propio autor. </w:t>
      </w:r>
      <w:r>
        <w:t>[24.00-2.1 y 2.2; 20.00-3.1]</w:t>
      </w:r>
    </w:p>
    <w:p>
      <w:r>
        <w:rPr>
          <w:b/>
        </w:rPr>
        <w:t>La pregunta, dentro de la casa.</w:t>
      </w:r>
      <w:r>
        <w:t xml:space="preserve"> En 2012, dos economistas del Fondo Monetario Internacional retomaron el Plan de Chicago de los años treinta, que proponía separar la creación del dinero del crédito exigiendo a los bancos reservas del 100 % para los depósitos</w:t>
      </w:r>
      <w:r>
        <w:t xml:space="preserve"> (Beneš y Kumhof, «The Chicago Plan Revisited» (El Plan de Chicago revisado), documento de trabajo del FMI 12/202)</w:t>
      </w:r>
      <w:r>
        <w:t xml:space="preserve">. El propio FMI advierte que sus opiniones son las de los autores y no necesariamente las del Fondo. No es una política adoptada: es la prueba de que la pregunta se hace en el centro del sistema. </w:t>
      </w:r>
      <w:r>
        <w:t>[24.00-3.1 y 3.2]</w:t>
      </w:r>
    </w:p>
    <w:p>
      <w:r>
        <w:rPr>
          <w:b/>
        </w:rPr>
        <w:t>La otra escala: el banco central.</w:t>
      </w:r>
      <w:r>
        <w:t xml:space="preserve"> El balance del Eurosistema pasó de 2,78 billones de euros a final de 2015 a 8,84 billones el 24 de junio de 2022, el máximo de su serie</w:t>
      </w:r>
      <w:r>
        <w:t xml:space="preserve"> (Banco Central Europeo, estado financiero consolidado y serie del activo total)</w:t>
      </w:r>
      <w:r>
        <w:t>. Solo el programa de compra de activos tenía 3,12 billones en títulos a final de 2021, y el de emergencia por la pandemia sumó compras netas de 1,72 billones hasta marzo de 2022</w:t>
      </w:r>
      <w:r>
        <w:t xml:space="preserve"> (BCE, historial del APP y del PEPP)</w:t>
      </w:r>
      <w:r>
        <w:t>. La Reserva Federal pasó de unos 0,9 billones de dólares en 2007 a 8,97 billones el 13 de abril de 2022</w:t>
      </w:r>
      <w:r>
        <w:t xml:space="preserve"> (Reserva Federal, activo total, serie WALCL)</w:t>
      </w:r>
      <w:r>
        <w:t>. El Tratado prohíbe al banco central «la adquisición directa» de deuda a los Estados</w:t>
      </w:r>
      <w:r>
        <w:t xml:space="preserve"> (Tratado de Funcionamiento de la UE, art. 123.1)</w:t>
      </w:r>
      <w:r>
        <w:t>; el Tribunal de Justicia declaró que sí le autoriza a comprarla «en los mercados secundarios»</w:t>
      </w:r>
      <w:r>
        <w:t xml:space="preserve"> (sentencia Gauweiler, C-62/14, 16-6-2015)</w:t>
      </w:r>
      <w:r>
        <w:br/>
      </w:r>
      <w:r>
        <w:rPr>
          <w:b/>
        </w:rPr>
        <w:t>pasaje guardado</w:t>
      </w:r>
      <w:r>
        <w:br/>
      </w:r>
      <w:r>
        <w:rPr>
          <w:b/>
        </w:rPr>
        <w:t>Archivo leído:</w:t>
      </w:r>
      <w:r>
        <w:t xml:space="preserve"> airef_informe_presupuestos_iniciales_2025.pdf (c5b\airef_informe_presupuestos_iniciales_2025.pdf) · contraste del archivo de pasajes: ✔</w:t>
      </w:r>
      <w:r>
        <w:br/>
      </w:r>
      <w:r>
        <w:rPr>
          <w:b/>
        </w:rPr>
        <w:t>Lugar:</w:t>
      </w:r>
      <w:r>
        <w:t xml:space="preserve"> sentencia Gauweiler, C-62/14, 16-6-2015</w:t>
      </w:r>
      <w:r>
        <w:br/>
      </w:r>
      <w:r>
        <w:rPr>
          <w:b/>
        </w:rPr>
        <w:t>Tal como está en la fuente:</w:t>
      </w:r>
      <w:r>
        <w:t xml:space="preserve"> en los mercados secundarios</w:t>
      </w:r>
      <w:r>
        <w:t xml:space="preserve">. </w:t>
      </w:r>
      <w:r>
        <w:t>[20.00-3.1 y 3.4; cifras corregidas con las series del BCE]</w:t>
      </w:r>
    </w:p>
    <w:p>
      <w:r>
        <w:rPr>
          <w:b/>
        </w:rPr>
        <w:t>La deuda mundial.</w:t>
      </w:r>
      <w:r>
        <w:t xml:space="preserve"> A 31 de marzo de 2026, la deuda mundial marcó un récord de casi 353 billones de dólares, y la proporción sobre el PIB mundial «se mantuvo estable en el 305 %»</w:t>
      </w:r>
      <w:r>
        <w:t xml:space="preserve"> [original: «global debt/GDP ratio remained stable at 305%»]</w:t>
      </w:r>
      <w:r>
        <w:t xml:space="preserve"> (Institute of International Finance, Global Debt Monitor, resumen público de 6-5-2026)</w:t>
      </w:r>
      <w:r>
        <w:br/>
      </w:r>
      <w:r>
        <w:rPr>
          <w:b/>
        </w:rPr>
        <w:t>leída en su fuente · Institute of International Finance, Global Debt Monitor, resumen público de 6-5-2026</w:t>
      </w:r>
      <w:r>
        <w:br/>
      </w:r>
      <w:r>
        <w:rPr>
          <w:b/>
        </w:rPr>
        <w:t>Archivo leído:</w:t>
      </w:r>
      <w:r>
        <w:t xml:space="preserve"> 8.1_08_IIF_listado_publicaciones_Debt.html (c8a\8.1_08_IIF_listado_publicaciones_Debt.html) · contraste del archivo de pasajes: ✔</w:t>
      </w:r>
      <w:r>
        <w:br/>
      </w:r>
      <w:r>
        <w:rPr>
          <w:b/>
        </w:rPr>
        <w:t>Lugar:</w:t>
      </w:r>
      <w:r>
        <w:t xml:space="preserve"> Institute of International Finance, Global Debt Monitor, resumen público de 6-5-2026</w:t>
      </w:r>
      <w:r>
        <w:br/>
      </w:r>
      <w:r>
        <w:rPr>
          <w:b/>
        </w:rPr>
        <w:t>Tal como está en la fuente:</w:t>
      </w:r>
      <w:r>
        <w:t xml:space="preserve"> global debt/GDP ratio remained stable at 305%</w:t>
      </w:r>
      <w:r>
        <w:t>. El Banco Mundial describe cuatro olas de deuda desde 1970; en su gráfico, «la deuda mundial tiende a subir desde 1970 y alcanzó cerca del 230 % del PIB en 2018»</w:t>
      </w:r>
      <w:r>
        <w:t xml:space="preserve"> [original: «Global debt has trended up since 1970, reaching about 230 percent of GDP in 2018.»]</w:t>
      </w:r>
      <w:r>
        <w:t xml:space="preserve"> (Banco Mundial, Global Waves of Debt, 2021, cap. 1)</w:t>
      </w:r>
      <w:r>
        <w:br/>
      </w:r>
      <w:r>
        <w:rPr>
          <w:b/>
        </w:rPr>
        <w:t>leída en su fuente · Banco Mundial, Global Waves of Debt, 2021, cap. 1</w:t>
      </w:r>
      <w:r>
        <w:br/>
      </w:r>
      <w:r>
        <w:rPr>
          <w:b/>
        </w:rPr>
        <w:t>Archivo leído:</w:t>
      </w:r>
      <w:r>
        <w:t xml:space="preserve"> 8.1_07_WorldBank_Global_Waves_of_Debt_libro.pdf (c8a\8.1_07_WorldBank_Global_Waves_of_Debt_libro.pdf) · contraste del archivo de pasajes: ✔</w:t>
      </w:r>
      <w:r>
        <w:br/>
      </w:r>
      <w:r>
        <w:rPr>
          <w:b/>
        </w:rPr>
        <w:t>Lugar:</w:t>
      </w:r>
      <w:r>
        <w:t xml:space="preserve"> Banco Mundial, Global Waves of Debt, 2021, cap. 1</w:t>
      </w:r>
      <w:r>
        <w:br/>
      </w:r>
      <w:r>
        <w:rPr>
          <w:b/>
        </w:rPr>
        <w:t>Tal como está en la fuente:</w:t>
      </w:r>
      <w:r>
        <w:t xml:space="preserve"> Global debt has trended up since 1970, reaching about 230 percent of GDP in 2018.</w:t>
      </w:r>
      <w:r>
        <w:t xml:space="preserve">. </w:t>
      </w:r>
      <w:r>
        <w:t>[24.00-4.1 y 4.2]</w:t>
      </w:r>
    </w:p>
    <w:p>
      <w:r>
        <w:rPr>
          <w:b/>
        </w:rPr>
        <w:t>El dólar.</w:t>
      </w:r>
      <w:r>
        <w:t xml:space="preserve"> Con los precios de agosto de 2026, un dólar compra algo más del 12 % de lo que compraba de media en 1971 (cálculo de la obra con el índice de precios de la Oficina de Estadísticas Laborales de Estados Unidos). </w:t>
      </w:r>
      <w:r>
        <w:t>[24.00-4.1]</w:t>
      </w:r>
    </w:p>
    <w:p>
      <w:r>
        <w:rPr>
          <w:b/>
        </w:rPr>
        <w:t>El otro lado.</w:t>
      </w:r>
      <w:r>
        <w:t xml:space="preserve"> La mejor evidencia histórica no culpa a la moneda sin respaldo de la Gran Depresión, sino a la rigidez del oro. Un gobernador de la Reserva Federal lo resumió en 2004: la conclusión de que «el momento en que un país abandonó el patrón oro es el factor determinante de la gravedad de su depresión y del momento de su recuperación se ha comprobado en literalmente docenas de países»</w:t>
      </w:r>
      <w:r>
        <w:t xml:space="preserve"> [original: «the time at which a country left the gold standard is the key determinant of the severity of its depression and the timing of its recovery has been shown to hold for literally dozens of countries»]</w:t>
      </w:r>
      <w:r>
        <w:t xml:space="preserve"> (Bernanke, «Money, Gold, and the Great Depression» (Dinero, oro y la Gran Depresión), 2-3-2004)</w:t>
      </w:r>
      <w:r>
        <w:br/>
      </w:r>
      <w:r>
        <w:rPr>
          <w:b/>
        </w:rPr>
        <w:t>leída en su fuente · Bernanke, «Money, Gold, and the Great Depression» (Dinero, oro y la Gran Depresión), 2-3-2</w:t>
      </w:r>
      <w:r>
        <w:br/>
      </w:r>
      <w:r>
        <w:rPr>
          <w:b/>
        </w:rPr>
        <w:t>Archivo leído:</w:t>
      </w:r>
      <w:r>
        <w:t xml:space="preserve"> 8.1_05_Bernanke_2004-03-02_Money_Gold_Great_Depression.html (c8a\8.1_05_Bernanke_2004-03-02_Money_Gold_Great_Depression.html) · contraste del archivo de pasajes: ✔</w:t>
      </w:r>
      <w:r>
        <w:br/>
      </w:r>
      <w:r>
        <w:rPr>
          <w:b/>
        </w:rPr>
        <w:t>Lugar:</w:t>
      </w:r>
      <w:r>
        <w:t xml:space="preserve"> Bernanke, «Money, Gold, and the Great Depression» (Dinero, oro y la Gran Depresión), 2-3-2004</w:t>
      </w:r>
      <w:r>
        <w:br/>
      </w:r>
      <w:r>
        <w:rPr>
          <w:b/>
        </w:rPr>
        <w:t>Tal como está en la fuente:</w:t>
      </w:r>
      <w:r>
        <w:t xml:space="preserve"> the time at which a country left the gold standard is the key determinant of the severity of its depression and the timing of its recovery has been shown to hold for literally dozens of countries</w:t>
      </w:r>
      <w:r>
        <w:t>. Y la versión simple, «un banco privado controla la moneda», no resiste la fuente: «El Sistema de la Reserva Federal no es "propiedad" de nadie»</w:t>
      </w:r>
      <w:r>
        <w:t xml:space="preserve"> [original: «The Federal Reserve System is not "owned" by anyone.»]</w:t>
      </w:r>
      <w:r>
        <w:t>; los bancos miembros tienen por ley acciones de su Banco de Reserva, pero los Bancos de Reserva no buscan beneficio y deben transferir sus ganancias netas al Tesoro</w:t>
      </w:r>
      <w:r>
        <w:t xml:space="preserve"> (Reserva Federal, «Who owns the Federal Reserve?»)</w:t>
      </w:r>
      <w:r>
        <w:t xml:space="preserve">. Es una estructura mixta, no una propiedad privada sin más. </w:t>
      </w:r>
      <w:r>
        <w:t>[24.00-5.1 a 6.2]</w:t>
      </w:r>
    </w:p>
    <w:p>
      <w:r>
        <w:rPr>
          <w:b/>
        </w:rPr>
        <w:t>España: la deuda, primero.</w:t>
      </w:r>
      <w:r>
        <w:t xml:space="preserve"> El pago de la deuda «gozará de prioridad absoluta» (</w:t>
      </w:r>
      <w:r>
        <w:t>5.1</w:t>
      </w:r>
      <w:r>
        <w:t xml:space="preserve">, n.º 8; </w:t>
      </w:r>
      <w:r>
        <w:t>7.2</w:t>
      </w:r>
      <w:r>
        <w:t>, n.º 4). La reforma se aprobó en el Congreso, por lectura única, el 2 de septiembre de 2011, con 321 votos emitidos, 316 a favor y 5 en contra</w:t>
      </w:r>
      <w:r>
        <w:t xml:space="preserve"> (Diario de Sesiones del Congreso, Pleno, n.º 270)</w:t>
      </w:r>
      <w:r>
        <w:t>; en el Senado, el 7 de septiembre, con 236 emitidos, 233 a favor y 3 en contra</w:t>
      </w:r>
      <w:r>
        <w:t xml:space="preserve"> (Diario de Sesiones del Senado, Pleno, n.º 130)</w:t>
      </w:r>
      <w:r>
        <w:t>. No hubo referéndum: la Constitución solo lo exige si lo piden, en quince días, «una décima parte de los miembros de cualquiera de las Cámaras»</w:t>
      </w:r>
      <w:r>
        <w:t xml:space="preserve"> (Constitución, art. 167.3)</w:t>
      </w:r>
      <w:r>
        <w:br/>
      </w:r>
      <w:r>
        <w:rPr>
          <w:b/>
        </w:rPr>
        <w:t>leída en su fuente · Constitución, art. 167.3</w:t>
      </w:r>
      <w:r>
        <w:br/>
      </w:r>
      <w:r>
        <w:rPr>
          <w:b/>
        </w:rPr>
        <w:t>Archivo leído:</w:t>
      </w:r>
      <w:r>
        <w:t xml:space="preserve"> c6 (ant\c1\ce.html) · contraste del archivo de pasajes: ✔</w:t>
      </w:r>
      <w:r>
        <w:br/>
      </w:r>
      <w:r>
        <w:rPr>
          <w:b/>
        </w:rPr>
        <w:t>Lugar:</w:t>
      </w:r>
      <w:r>
        <w:t xml:space="preserve"> Art. 167.3: referéndum</w:t>
      </w:r>
      <w:r>
        <w:br/>
      </w:r>
      <w:r>
        <w:rPr>
          <w:b/>
        </w:rPr>
        <w:t>Tal como está en la fuente:</w:t>
      </w:r>
      <w:r>
        <w:t xml:space="preserve"> cuando así lo soliciten, dentro de los quince días siguientes a su aprobación, una décima parte de los miembros de cualquiera de las Cámaras</w:t>
      </w:r>
      <w:r>
        <w:t xml:space="preserve">, y no se pidió. </w:t>
      </w:r>
      <w:r>
        <w:t>[24.00-7.1 y 7.2]</w:t>
      </w:r>
    </w:p>
    <w:p>
      <w:r>
        <w:rPr>
          <w:b/>
        </w:rPr>
        <w:t>El límite de las palabras.</w:t>
      </w:r>
      <w:r>
        <w:t xml:space="preserve"> La obra se niega a llamar a esto crimen de lesa humanidad, y con razón: el Estatuto de Roma lo reserva para actos como el asesinato, el exterminio o la deportación, «cuando se cometa como parte de un ataque generalizado o sistemático contra una población civil»</w:t>
      </w:r>
      <w:r>
        <w:t xml:space="preserve"> (Estatuto de Roma, art. 7.1, BOE de 27-5-2002)</w:t>
      </w:r>
      <w:r>
        <w:br/>
      </w:r>
      <w:r>
        <w:rPr>
          <w:b/>
        </w:rPr>
        <w:t>leída en su fuente · Estatuto de Roma, art. 7.1, BOE de 27-5-2002</w:t>
      </w:r>
      <w:r>
        <w:br/>
      </w:r>
      <w:r>
        <w:rPr>
          <w:b/>
        </w:rPr>
        <w:t>Archivo leído:</w:t>
      </w:r>
      <w:r>
        <w:t xml:space="preserve"> 8.1_13_Estatuto_de_Roma_BOE-A-2002-10139.html (c8a\8.1_13_Estatuto_de_Roma_BOE-A-2002-10139.html) · contraste del archivo de pasajes: ✔</w:t>
      </w:r>
      <w:r>
        <w:br/>
      </w:r>
      <w:r>
        <w:rPr>
          <w:b/>
        </w:rPr>
        <w:t>Lugar:</w:t>
      </w:r>
      <w:r>
        <w:t xml:space="preserve"> Estatuto de Roma, art. 7.1, BOE de 27-5-2002</w:t>
      </w:r>
      <w:r>
        <w:br/>
      </w:r>
      <w:r>
        <w:rPr>
          <w:b/>
        </w:rPr>
        <w:t>Tal como está en la fuente:</w:t>
      </w:r>
      <w:r>
        <w:t xml:space="preserve"> cuando se cometa como parte de un ataque generalizado o sistemático contra una población civil</w:t>
      </w:r>
      <w:r>
        <w:t xml:space="preserve">. Prefiere llamarlo extracción estructural regresiva. </w:t>
      </w:r>
      <w:r>
        <w:t>[20.00-3.1]</w:t>
      </w:r>
    </w:p>
    <w:p>
      <w:r>
        <w:rPr>
          <w:b/>
        </w:rPr>
        <w:t>Conclusión, lo que arrojan los datos:</w:t>
      </w:r>
      <w:r>
        <w:t xml:space="preserve"> el sistema monetario actual nació de una decisión fechada en 1971; el dinero se crea sobre todo como deuda, lo reconocen el regulador y la investigación independiente; la deuda mundial está en máximos; y España ha dado al pago de su deuda prioridad constitucional. Lo que no demuestra ninguna fuente citada: que exista una estrategia mundial coordinada para mantener a la población endeudada. La obra lo califica como «patrón documentado, sin intención probada», y esa calificación solo subiría con una fuente que muestre declaración o coordinación. </w:t>
      </w:r>
      <w:r>
        <w:t>[24.00-8.1 y 10.1 a 11.6]</w:t>
      </w:r>
    </w:p>
    <w:p>
      <w:r>
        <w:rPr>
          <w:b/>
        </w:rPr>
        <w:t>Lectura del autor:</w:t>
      </w:r>
      <w:r>
        <w:t xml:space="preserve"> la hipótesis de la que parte este apartado es que el dinero sin respaldo es la pieza central de una estrategia para mantener a la población en una deuda sin final. La obra la deja donde la ponen los datos: abierta. Pero no hace falta probar una intención para ver el efecto: quién crea el dinero, quién gana cuando pierde valor y qué pago va por delante de todos los demás están escritos. </w:t>
      </w:r>
      <w:r>
        <w:t>[24.00-0.1 y 9.11]</w:t>
      </w:r>
    </w:p>
    <w:p>
      <w:pPr>
        <w:pStyle w:val="Heading2"/>
      </w:pPr>
      <w:r>
        <w:t>8.2 Setecientos años de advertencias</w:t>
      </w:r>
    </w:p>
    <w:p>
      <w:pPr>
        <w:pBdr>
          <w:left w:val="single" w:sz="24" w:space="6" w:color="E2DED6"/>
        </w:pBdr>
        <w:shd w:val="clear" w:color="auto" w:fill="F1EEE8"/>
        <w:spacing w:before="80" w:after="160"/>
        <w:ind w:left="142" w:right="142"/>
      </w:pPr>
      <w:r>
        <w:rPr>
          <w:b/>
        </w:rPr>
        <w:t>La idea: desde la Edad Media, autores sin contacto documentado entre sí, varios de ellos dentro del propio poder, advirtieron lo mismo: alterar el valor de la moneda es una forma de quitar al pueblo sin pedirle permiso.</w:t>
      </w:r>
    </w:p>
    <w:p>
      <w:pPr>
        <w:spacing w:after="60"/>
        <w:ind w:left="510" w:hanging="397"/>
      </w:pPr>
      <w:r>
        <w:rPr>
          <w:b w:val="0"/>
        </w:rPr>
        <w:t xml:space="preserve">1. </w:t>
      </w:r>
      <w:r>
        <w:rPr>
          <w:b/>
        </w:rPr>
        <w:t>Oresme, hacia 1355.</w:t>
      </w:r>
      <w:r>
        <w:t xml:space="preserve"> Maestro del Colegio de Navarra de París y, antes de 1370, capellán del rey Carlos V de Francia, escribió contra las alteraciones de la moneda de los reyes de su tiempo: «cuanto lucro saca de ello el príncipe, otro tanto daño ha de sufrir necesariamente la comunidad»</w:t>
      </w:r>
      <w:r>
        <w:t xml:space="preserve"> [original: «quantum ibi princeps capit de lucro, tantum necesse est ipsam communitatem habere de dampno»]</w:t>
      </w:r>
      <w:r>
        <w:t>. Y si el príncipe dijera que destina ese lucro al bien público, «no se le ha de creer, porque con la misma razón podría quitarme la túnica y decir que la necesita para el bien común»</w:t>
      </w:r>
      <w:r>
        <w:t xml:space="preserve"> [original: «non est credendum sibi, quia pari racione posset michi tunicam amouere et dicere quod ipse indiget ea pro communi commodo»]</w:t>
      </w:r>
      <w:r>
        <w:t xml:space="preserve"> (Oresme, De moneta, cap. XV, edición de Johnson, 1956)</w:t>
      </w:r>
      <w:r>
        <w:br/>
      </w:r>
      <w:r>
        <w:rPr>
          <w:b/>
        </w:rPr>
        <w:t>leída en su fuente · Oresme, De moneta, cap. XV, edición de Johnson, 1956</w:t>
      </w:r>
      <w:r>
        <w:br/>
      </w:r>
      <w:r>
        <w:rPr>
          <w:b/>
        </w:rPr>
        <w:t>Archivo leído:</w:t>
      </w:r>
      <w:r>
        <w:t xml:space="preserve"> 8.2_15_Oresme_De_moneta_latin-ingles_Johnson_1956_Mises.pdf (c8a\8.2_15_Oresme_De_moneta_latin-ingles_Johnson_1956_Mises.pdf) · contraste del archivo de pasajes: ✔</w:t>
      </w:r>
      <w:r>
        <w:br/>
      </w:r>
      <w:r>
        <w:rPr>
          <w:b/>
        </w:rPr>
        <w:t>Lugar:</w:t>
      </w:r>
      <w:r>
        <w:t xml:space="preserve"> Oresme, De moneta, cap. XV, edición de Johnson, 1956</w:t>
      </w:r>
      <w:r>
        <w:br/>
      </w:r>
      <w:r>
        <w:rPr>
          <w:b/>
        </w:rPr>
        <w:t>Tal como está en la fuente:</w:t>
      </w:r>
      <w:r>
        <w:t xml:space="preserve"> non est credendum sibi, quia pari racione posset michi tunicam amouere et dicere quod ipse indiget ea pro communi commodo</w:t>
      </w:r>
      <w:r>
        <w:t xml:space="preserve">. </w:t>
      </w:r>
      <w:r>
        <w:t>[25.00-1.1 a 1.3; Oresme leído en latín]</w:t>
      </w:r>
    </w:p>
    <w:p>
      <w:pPr>
        <w:spacing w:after="60"/>
        <w:ind w:left="510" w:hanging="397"/>
      </w:pPr>
      <w:r>
        <w:rPr>
          <w:b w:val="0"/>
        </w:rPr>
        <w:t xml:space="preserve">2. </w:t>
      </w:r>
      <w:r>
        <w:rPr>
          <w:b/>
        </w:rPr>
        <w:t>Copérnico, 1517-1526.</w:t>
      </w:r>
      <w:r>
        <w:t xml:space="preserve"> Entre las plagas que debilitan los reinos, cuatro son las principales: «la discordia, la mortandad, la esterilidad de la tierra y la depreciación de la moneda»</w:t>
      </w:r>
      <w:r>
        <w:t xml:space="preserve"> [original: «discordia, mortalitas, terre sterilitas et [m]onete vilitas»]</w:t>
      </w:r>
      <w:r>
        <w:t>. Y de la moneda nueva y peor dijo que «no solo contaminó a la antigua, sino que, por así decir, la expulsó»</w:t>
      </w:r>
      <w:r>
        <w:t xml:space="preserve"> [original: «que non solum infecit antiquam, sed, vt ita dicam, expugnauit»]</w:t>
      </w:r>
      <w:r>
        <w:t xml:space="preserve"> (Copérnico, Monete cudende ratio, antes de abril de 1526, transcripción de la Universidad de Toruń)</w:t>
      </w:r>
      <w:r>
        <w:br/>
      </w:r>
      <w:r>
        <w:rPr>
          <w:b/>
        </w:rPr>
        <w:t>leída en su fuente · Copérnico, Monete cudende ratio, antes de abril de 1526, transcripción de la Universidad d</w:t>
      </w:r>
      <w:r>
        <w:br/>
      </w:r>
      <w:r>
        <w:rPr>
          <w:b/>
        </w:rPr>
        <w:t>Archivo leído:</w:t>
      </w:r>
      <w:r>
        <w:t xml:space="preserve"> 8.2_16_Copernico_Monete_cudende_ratio_NCT_Torun_ficha.html (c8a\8.2_16_Copernico_Monete_cudende_ratio_NCT_Torun_ficha.html) · contraste del archivo de pasajes: ✔</w:t>
      </w:r>
      <w:r>
        <w:br/>
      </w:r>
      <w:r>
        <w:rPr>
          <w:b/>
        </w:rPr>
        <w:t>Lugar:</w:t>
      </w:r>
      <w:r>
        <w:t xml:space="preserve"> Copérnico, Monete cudende ratio, antes de abril de 1526, transcripción de la Universidad de Toruń</w:t>
      </w:r>
      <w:r>
        <w:br/>
      </w:r>
      <w:r>
        <w:rPr>
          <w:b/>
        </w:rPr>
        <w:t>Tal como está en la fuente:</w:t>
      </w:r>
      <w:r>
        <w:t xml:space="preserve"> que non solum infecit antiquam, sed, vt ita dicam, expugnauit</w:t>
      </w:r>
      <w:r>
        <w:t xml:space="preserve">. Leyó una versión alemana del tratado ante la Dieta de la Prusia Real, en Grudziądz, el 21 de marzo de 1522. Es la idea que después se llamó ley de Gresham. </w:t>
      </w:r>
      <w:r>
        <w:t>[25.00-2.1 a 2.3; Copérnico leído en latín]</w:t>
      </w:r>
    </w:p>
    <w:p>
      <w:pPr>
        <w:spacing w:after="60"/>
        <w:ind w:left="510" w:hanging="397"/>
      </w:pPr>
      <w:r>
        <w:rPr>
          <w:b w:val="0"/>
        </w:rPr>
        <w:t xml:space="preserve">3. </w:t>
      </w:r>
      <w:r>
        <w:rPr>
          <w:b/>
        </w:rPr>
        <w:t>Azpilcueta, 1556.</w:t>
      </w:r>
      <w:r>
        <w:t xml:space="preserve"> En Salamanca explicó que «en las tierras do ay gran falta de dinero, todas las otras cosas vendibles, y aun las manos y trabajos de los hombres se dan por menos dinero, que do ay abundancia del», y que en España, desde «que las Indias descubiertas la cubrieron de oro y plata», todo se vendía más caro, porque «el dinero vale mas donde, y quando ay falta del, que donde, y quando ay abundancia»</w:t>
      </w:r>
      <w:r>
        <w:t xml:space="preserve"> (Azpilcueta, Comentario resolutorio de cambios, 1556; también en la edición de 1568)</w:t>
      </w:r>
      <w:r>
        <w:br/>
      </w:r>
      <w:r>
        <w:rPr>
          <w:b/>
        </w:rPr>
        <w:t>pasaje guardado · Azpilcueta, Comentario resolutorio de cambios, 1556; también en la edición de 1568</w:t>
      </w:r>
      <w:r>
        <w:br/>
      </w:r>
      <w:r>
        <w:rPr>
          <w:b/>
        </w:rPr>
        <w:t>Archivo leído:</w:t>
      </w:r>
      <w:r>
        <w:t xml:space="preserve"> 07.00-15.1_Azpilcueta_Comentario_resolutorio_usuras_1568.pdf.txt (flecos\txt\07.00-15.1_Azpilcueta_Comentario_resolutorio_usuras_1568.pdf.txt) · contraste del archivo de pasajes: parcial</w:t>
      </w:r>
      <w:r>
        <w:br/>
      </w:r>
      <w:r>
        <w:rPr>
          <w:b/>
        </w:rPr>
        <w:t>Lugar:</w:t>
      </w:r>
      <w:r>
        <w:t xml:space="preserve"> Azpilcueta, Comentario resolutorio de cambios, 1556; también en la edición de 1568</w:t>
      </w:r>
      <w:r>
        <w:br/>
      </w:r>
      <w:r>
        <w:rPr>
          <w:b/>
        </w:rPr>
        <w:t>Tal como está en la fuente:</w:t>
      </w:r>
      <w:r>
        <w:t xml:space="preserve"> el dinero vale mas donde, y quando ay falta del, que donde, y quando ay abundancia</w:t>
      </w:r>
      <w:r>
        <w:t xml:space="preserve">. Es una de las primeras formulaciones de la relación entre la cantidad de dinero y los precios. </w:t>
      </w:r>
      <w:r>
        <w:t>[25.00-3.1 a 3.3; leído en la edición castellana]</w:t>
      </w:r>
    </w:p>
    <w:p>
      <w:pPr>
        <w:spacing w:after="60"/>
        <w:ind w:left="510" w:hanging="397"/>
      </w:pPr>
      <w:r>
        <w:rPr>
          <w:b w:val="0"/>
        </w:rPr>
        <w:t xml:space="preserve">4. </w:t>
      </w:r>
      <w:r>
        <w:rPr>
          <w:b/>
        </w:rPr>
        <w:t>Mariana, 1609.</w:t>
      </w:r>
      <w:r>
        <w:t xml:space="preserve"> Escribió contra la Corona, que rebajaba la moneda de vellón para aumentar sus ingresos. Su capítulo III lleva por título: «El rey no puede bajar la moneda de peso ó de ley sin la voluntad del pueblo». Y en él llama a esas prácticas «maneras disfrazadas de ponerles gravezas y tributos y desangrarlos y aprovecharse de sus haciendas». Al cerrar el tratado, resume su juicio sobre «este arbitrio nuevo de la moneda de vellon»: que si se hace sin acuerdo del reino «es ilícito y malo», y si con él, «lo tengo por errado y en muchas maneras perjudicial»</w:t>
      </w:r>
      <w:r>
        <w:t xml:space="preserve"> (Mariana, Tratado y discurso sobre la moneda de vellón, 1609, caps. III y XIII, en Biblioteca de Autores Españoles, t. 31, 1854, pp. 579, 580 y 593)</w:t>
      </w:r>
      <w:r>
        <w:br/>
      </w:r>
      <w:r>
        <w:rPr>
          <w:b/>
        </w:rPr>
        <w:t>leída en su fuente · Mariana, Tratado y discurso sobre la moneda de vellón, 1609, caps. III y XIII, en Bibliote</w:t>
      </w:r>
      <w:r>
        <w:br/>
      </w:r>
      <w:r>
        <w:rPr>
          <w:b/>
        </w:rPr>
        <w:t>Archivo leído:</w:t>
      </w:r>
      <w:r>
        <w:t xml:space="preserve"> Mariana_Moneda_de_vellon_BAE31_pp577-593_OCR_IA.txt (c8f\mariana\Mariana_Moneda_de_vellon_BAE31_pp577-593_OCR_IA.txt) · contraste del archivo de pasajes: ✔</w:t>
      </w:r>
      <w:r>
        <w:br/>
      </w:r>
      <w:r>
        <w:rPr>
          <w:b/>
        </w:rPr>
        <w:t>Lugar:</w:t>
      </w:r>
      <w:r>
        <w:t xml:space="preserve"> Mariana, Tratado y discurso sobre la moneda de vellón, 1609, caps. III y XIII, en Biblioteca de Autores Españoles, t. 31, 1854, pp. 579, 580 y 593</w:t>
      </w:r>
      <w:r>
        <w:br/>
      </w:r>
      <w:r>
        <w:rPr>
          <w:b/>
        </w:rPr>
        <w:t>Tal como está en la fuente:</w:t>
      </w:r>
      <w:r>
        <w:t xml:space="preserve"> lo tengo por errado y en muchas maneras perjudicial</w:t>
      </w:r>
      <w:r>
        <w:t xml:space="preserve">. </w:t>
      </w:r>
      <w:r>
        <w:t>[25.00-4.1 a 4.3; leído en las páginas escaneadas]</w:t>
      </w:r>
    </w:p>
    <w:p>
      <w:pPr>
        <w:spacing w:after="60"/>
        <w:ind w:left="510" w:hanging="397"/>
      </w:pPr>
      <w:r>
        <w:rPr>
          <w:b w:val="0"/>
        </w:rPr>
        <w:t xml:space="preserve">5. </w:t>
      </w:r>
      <w:r>
        <w:rPr>
          <w:b/>
        </w:rPr>
        <w:t>Locke, 1695.</w:t>
      </w:r>
      <w:r>
        <w:t xml:space="preserve"> Escribió contra los argumentos de un informe reciente que defendía subir el valor de la moneda: «Hace mucho tiempo que preveo el daño y la ruina que nos venían encima por la moneda recortada, si no se detenía a tiempo»</w:t>
      </w:r>
      <w:r>
        <w:t xml:space="preserve"> [original: «I have a long time foreseen the Mischief and Ruine coming upon us by clipp'd Money, if it were not timely stopp'd»]</w:t>
      </w:r>
      <w:r>
        <w:t xml:space="preserve"> (Locke, Further Considerations Concerning Raising the Value of Money (Nuevas consideraciones sobre la subida del valor de la moneda), 1695, dedicatoria; transcripción de la Universidad de Oxford)</w:t>
      </w:r>
      <w:r>
        <w:br/>
      </w:r>
      <w:r>
        <w:rPr>
          <w:b/>
        </w:rPr>
        <w:t>leída en su fuente · Locke, Further Considerations Concerning Raising the Value of Money (Nuevas consideracione</w:t>
      </w:r>
      <w:r>
        <w:br/>
      </w:r>
      <w:r>
        <w:rPr>
          <w:b/>
        </w:rPr>
        <w:t>Archivo leído:</w:t>
      </w:r>
      <w:r>
        <w:t xml:space="preserve"> 8.2_17_Locke_1695_Further_Considerations_Avalon_Yale.html (c8a\8.2_17_Locke_1695_Further_Considerations_Avalon_Yale.html) · contraste del archivo de pasajes: ✔</w:t>
      </w:r>
      <w:r>
        <w:br/>
      </w:r>
      <w:r>
        <w:rPr>
          <w:b/>
        </w:rPr>
        <w:t>Lugar:</w:t>
      </w:r>
      <w:r>
        <w:t xml:space="preserve"> Locke, Further Considerations Concerning Raising the Value of Money (Nuevas consideraciones sobre la subida del valor de la moneda), 1695, dedicatoria; transcripción de la Universidad de Oxford</w:t>
      </w:r>
      <w:r>
        <w:br/>
      </w:r>
      <w:r>
        <w:rPr>
          <w:b/>
        </w:rPr>
        <w:t>Tal como está en la fuente:</w:t>
      </w:r>
      <w:r>
        <w:t xml:space="preserve"> I have a long time foreseen the Mischief and Ruine coming upon us by clipp'd Money, if it were not timely stopp'd</w:t>
      </w:r>
      <w:r>
        <w:t xml:space="preserve">. </w:t>
      </w:r>
      <w:r>
        <w:t>[25.00-5.1 a 5.3]</w:t>
      </w:r>
    </w:p>
    <w:p>
      <w:pPr>
        <w:spacing w:after="60"/>
        <w:ind w:left="510" w:hanging="397"/>
      </w:pPr>
      <w:r>
        <w:rPr>
          <w:b w:val="0"/>
        </w:rPr>
        <w:t xml:space="preserve">6. </w:t>
      </w:r>
      <w:r>
        <w:rPr>
          <w:b/>
        </w:rPr>
        <w:t>Keynes, 1919.</w:t>
      </w:r>
      <w:r>
        <w:t xml:space="preserve"> «Con un proceso continuo de inflación, los Gobiernos pueden confiscar, en secreto y sin que nadie lo note, una parte importante de la riqueza de sus ciudadanos»</w:t>
      </w:r>
      <w:r>
        <w:t xml:space="preserve"> [original: «By a continuing process of inflation, governments can confiscate, secretly and unobserved, an important part of the wealth of their citizens.»]</w:t>
      </w:r>
      <w:r>
        <w:t>. Y: «No hay medio más sutil ni más seguro de trastocar las bases de la sociedad que envilecer la moneda»</w:t>
      </w:r>
      <w:r>
        <w:t xml:space="preserve"> [original: «There is no subtler, no surer means of overturning the existing basis of society than to debauch the currency.»]</w:t>
      </w:r>
      <w:r>
        <w:t xml:space="preserve"> (Keynes, The Economic Consequences of the Peace (Las consecuencias económicas de la paz), 1919, cap. VI)</w:t>
      </w:r>
      <w:r>
        <w:br/>
      </w:r>
      <w:r>
        <w:rPr>
          <w:b/>
        </w:rPr>
        <w:t>leída en su fuente · Keynes, The Economic Consequences of the Peace (Las consecuencias económicas de la paz), 1</w:t>
      </w:r>
      <w:r>
        <w:br/>
      </w:r>
      <w:r>
        <w:rPr>
          <w:b/>
        </w:rPr>
        <w:t>Archivo leído:</w:t>
      </w:r>
      <w:r>
        <w:t xml:space="preserve"> 8.2_20_Keynes_1919_Economic_Consequences_of_the_Peace_Gutenberg15776.txt (c8a\8.2_20_Keynes_1919_Economic_Consequences_of_the_Peace_Gutenberg15776.txt) · contraste del archivo de pasajes: ✔</w:t>
      </w:r>
      <w:r>
        <w:br/>
      </w:r>
      <w:r>
        <w:rPr>
          <w:b/>
        </w:rPr>
        <w:t>Lugar:</w:t>
      </w:r>
      <w:r>
        <w:t xml:space="preserve"> Keynes, The Economic Consequences of the Peace (Las consecuencias económicas de la paz), 1919, cap. VI</w:t>
      </w:r>
      <w:r>
        <w:br/>
      </w:r>
      <w:r>
        <w:rPr>
          <w:b/>
        </w:rPr>
        <w:t>Tal como está en la fuente:</w:t>
      </w:r>
      <w:r>
        <w:t xml:space="preserve"> There is no subtler, no surer means of overturning the existing basis of society than to debauch the currency.</w:t>
      </w:r>
      <w:r>
        <w:t>. Keynes atribuía la idea a Lenin con un «se dice que»; un estudio de 2009 rastreó su origen en una entrevista publicada por periódicos de Londres y de Nueva York en abril de 1919</w:t>
      </w:r>
      <w:r>
        <w:t xml:space="preserve"> (White y Schuler, Journal of Economic Perspectives, 2009, resumen)</w:t>
      </w:r>
      <w:r>
        <w:t xml:space="preserve">. </w:t>
      </w:r>
      <w:r>
        <w:t>[25.00-9.1 a 9.3]</w:t>
      </w:r>
    </w:p>
    <w:p>
      <w:pPr>
        <w:spacing w:after="60"/>
        <w:ind w:left="510" w:hanging="397"/>
      </w:pPr>
      <w:r>
        <w:rPr>
          <w:b w:val="0"/>
        </w:rPr>
        <w:t xml:space="preserve">7. </w:t>
      </w:r>
      <w:r>
        <w:rPr>
          <w:b/>
        </w:rPr>
        <w:t>Greenspan, 1966.</w:t>
      </w:r>
      <w:r>
        <w:t xml:space="preserve"> «El gasto con déficit es simplemente un plan para la confiscación "oculta" de la riqueza»</w:t>
      </w:r>
      <w:r>
        <w:t xml:space="preserve"> [original: «Deficit spending is simply a scheme for the "hidden" confiscation of wealth.»]</w:t>
      </w:r>
      <w:r>
        <w:t>; «En ausencia del patrón oro, no hay forma de proteger el ahorro de la confiscación por la inflación. No hay un depósito de valor seguro»</w:t>
      </w:r>
      <w:r>
        <w:t xml:space="preserve"> [original: «In the absence of the gold standard, there is no way to protect savings from confiscation through inflation. There is no safe store of value.»]</w:t>
      </w:r>
      <w:r>
        <w:t xml:space="preserve"> (Greenspan, «Gold and Economic Freedom» (El oro y la libertad económica), 1966, reproducido en el Congressional Record, 7-8-1974)</w:t>
      </w:r>
      <w:r>
        <w:br/>
      </w:r>
      <w:r>
        <w:rPr>
          <w:b/>
        </w:rPr>
        <w:t>pasaje guardado · Greenspan, «Gold and Economic Freedom» (El oro y la libertad económica), 1966, reproducido</w:t>
      </w:r>
      <w:r>
        <w:br/>
      </w:r>
      <w:r>
        <w:rPr>
          <w:b/>
        </w:rPr>
        <w:t>Archivo leído:</w:t>
      </w:r>
      <w:r>
        <w:t xml:space="preserve"> 8.2_18_Greenspan_Gold_Economic_Freedom_Congressional_Record_vol120_1974-08-07_Extensions.pdf (c8a\8.2_18_Greenspan_Gold_Economic_Freedom_Congressional_Record_vol120_1974-08-07_Extensions.pdf) · contraste del archivo de pasajes: ✔</w:t>
      </w:r>
      <w:r>
        <w:br/>
      </w:r>
      <w:r>
        <w:rPr>
          <w:b/>
        </w:rPr>
        <w:t>Lugar:</w:t>
      </w:r>
      <w:r>
        <w:t xml:space="preserve"> Greenspan, «Gold and Economic Freedom» (El oro y la libertad económica), 1966, reproducido en el Congressional Record, 7-8-1974</w:t>
      </w:r>
      <w:r>
        <w:br/>
      </w:r>
      <w:r>
        <w:rPr>
          <w:b/>
        </w:rPr>
        <w:t>Tal como está en la fuente:</w:t>
      </w:r>
      <w:r>
        <w:t xml:space="preserve"> In the absence of the gold standard, there is no way to protect savings from confiscation through inflation. There is no safe store of value.</w:t>
      </w:r>
      <w:r>
        <w:t>. Su autor presidió después la Reserva Federal</w:t>
      </w:r>
      <w:r>
        <w:t xml:space="preserve"> (fuente secundaria)</w:t>
      </w:r>
      <w:r>
        <w:t xml:space="preserve">. </w:t>
      </w:r>
      <w:r>
        <w:t>[25.00-6.1 a 6.3]</w:t>
      </w:r>
    </w:p>
    <w:p>
      <w:pPr>
        <w:spacing w:after="60"/>
        <w:ind w:left="510" w:hanging="397"/>
      </w:pPr>
      <w:r>
        <w:rPr>
          <w:b w:val="0"/>
        </w:rPr>
        <w:t xml:space="preserve">8. </w:t>
      </w:r>
      <w:r>
        <w:rPr>
          <w:b/>
        </w:rPr>
        <w:t>Weidmann, 2012.</w:t>
      </w:r>
      <w:r>
        <w:t xml:space="preserve"> El presidente del Bundesbank, el banco central alemán, recordó la escena del </w:t>
      </w:r>
      <w:r>
        <w:rPr>
          <w:i/>
        </w:rPr>
        <w:t>Fausto</w:t>
      </w:r>
      <w:r>
        <w:t xml:space="preserve"> de Goethe en la que se reparte papel moneda: «En la segunda parte del Fausto, el Estado puede al principio librarse de su deuda. […] Con el tiempo, sin embargo, toda esta actividad degenera en inflación, y destruye el sistema monetario porque el dinero pierde rápidamente su valor»</w:t>
      </w:r>
      <w:r>
        <w:t xml:space="preserve"> [original: «In the Second Part of Faust, the state can get rid of its debt to begin with. […] In due course, however, all this activity degenerates into inflation, destroying the monetary system because the money rapidly loses its value.»]</w:t>
      </w:r>
      <w:r>
        <w:t>. Y sobre la tentación de crear dinero a voluntad: «esa tentación existe sin duda, y muchos en la historia monetaria han sucumbido a ella»</w:t>
      </w:r>
      <w:r>
        <w:t xml:space="preserve"> [original: «this temptation certainly does exist, and many in monetary history have succumbed to it»]</w:t>
      </w:r>
      <w:r>
        <w:t xml:space="preserve"> (Weidmann, «Money creation and responsibility» (Creación de dinero y responsabilidad), Fráncfort, 18-9-2012, Banco de Pagos Internacionales)</w:t>
      </w:r>
      <w:r>
        <w:br/>
      </w:r>
      <w:r>
        <w:rPr>
          <w:b/>
        </w:rPr>
        <w:t>leída en su fuente · Weidmann, «Money creation and responsibility» (Creación de dinero y responsabilidad), Frán</w:t>
      </w:r>
      <w:r>
        <w:br/>
      </w:r>
      <w:r>
        <w:rPr>
          <w:b/>
        </w:rPr>
        <w:t>Archivo leído:</w:t>
      </w:r>
      <w:r>
        <w:t xml:space="preserve"> 8.2_19_Weidmann_2012-09-18_Money_creation_and_responsibility_BIS.pdf (c8a\8.2_19_Weidmann_2012-09-18_Money_creation_and_responsibility_BIS.pdf) · contraste del archivo de pasajes: ✔</w:t>
      </w:r>
      <w:r>
        <w:br/>
      </w:r>
      <w:r>
        <w:rPr>
          <w:b/>
        </w:rPr>
        <w:t>Lugar:</w:t>
      </w:r>
      <w:r>
        <w:t xml:space="preserve"> Weidmann, «Money creation and responsibility» (Creación de dinero y responsabilidad), Fráncfort, 18-9-2012, Banco de Pagos Internacionales</w:t>
      </w:r>
      <w:r>
        <w:br/>
      </w:r>
      <w:r>
        <w:rPr>
          <w:b/>
        </w:rPr>
        <w:t>Tal como está en la fuente:</w:t>
      </w:r>
      <w:r>
        <w:t xml:space="preserve"> this temptation certainly does exist, and many in monetary history have succumbed to it</w:t>
      </w:r>
      <w:r>
        <w:t xml:space="preserve">. </w:t>
      </w:r>
      <w:r>
        <w:t>[25.00-7.1 a 7.3]</w:t>
      </w:r>
    </w:p>
    <w:p>
      <w:r>
        <w:rPr>
          <w:b/>
        </w:rPr>
        <w:t>Conclusión, lo que arrojan los datos:</w:t>
      </w:r>
      <w:r>
        <w:t xml:space="preserve"> ocho autores en siete siglos, con documento firmado y fechado, advierten de lo mismo: alterar la moneda traslada riqueza sin aprobar ningún impuesto. Varios estaban cerca del poder: un capellán de un rey, un futuro presidente de la Reserva Federal y un presidente de banco central en ejercicio. Dos frases que suelen sumarse a la lista no resisten la prueba igual: la atribuida a Lenin, que Keynes daba de oídas, y la que circula a nombre de Friedman, sin fuente primaria localizada. </w:t>
      </w:r>
      <w:r>
        <w:t>[25.00-10.1 y 10.2]</w:t>
      </w:r>
    </w:p>
    <w:p>
      <w:r>
        <w:rPr>
          <w:b/>
        </w:rPr>
        <w:t>Lectura del autor:</w:t>
      </w:r>
      <w:r>
        <w:t xml:space="preserve"> no es un aviso nuevo. Es la pesa que se aligera, que la ley de Dios llama abominación (</w:t>
      </w:r>
      <w:r>
        <w:t>3.2</w:t>
      </w:r>
      <w:r>
        <w:t xml:space="preserve">, P4). </w:t>
      </w:r>
      <w:r>
        <w:t>[34.00-7.6]</w:t>
      </w:r>
    </w:p>
    <w:p>
      <w:pPr>
        <w:pStyle w:val="Heading2"/>
      </w:pPr>
      <w:r>
        <w:t>8.3 El tiempo de vida que se lleva la moneda</w:t>
      </w:r>
    </w:p>
    <w:p>
      <w:pPr>
        <w:pBdr>
          <w:left w:val="single" w:sz="24" w:space="6" w:color="E2DED6"/>
        </w:pBdr>
        <w:shd w:val="clear" w:color="auto" w:fill="F1EEE8"/>
        <w:spacing w:before="80" w:after="160"/>
        <w:ind w:left="142" w:right="142"/>
      </w:pPr>
      <w:r>
        <w:rPr>
          <w:b/>
        </w:rPr>
        <w:t>La idea: el dinero es tiempo de vida guardado. Si pierde valor, se pierde tiempo de vida, sin que nadie lo vote ni dé su consentimiento.</w:t>
      </w:r>
    </w:p>
    <w:p>
      <w:r>
        <w:rPr>
          <w:b/>
        </w:rPr>
        <w:t>El tiempo de vida cristalizado.</w:t>
      </w:r>
      <w:r>
        <w:t xml:space="preserve"> Desde aquí, la edición llama así a lo siguiente: el tiempo de una vida es el único bien que nadie puede devolver, y todo lo material, el sueldo, el ahorro o la casa, es tiempo de vida cristalizado. Quitar el tiempo al pueblo ya lo condenó Mencio (</w:t>
      </w:r>
      <w:r>
        <w:t>3.2</w:t>
      </w:r>
      <w:r>
        <w:t>, P3). Hoy, de cada jornada de ocho horas de un asalariado medio, 3 horas y 19 minutos se van en IRPF y cotizaciones, según la cuña fiscal de la OCDE, que cuenta solo esas dos cosas (</w:t>
      </w:r>
      <w:r>
        <w:t>8.4</w:t>
      </w:r>
      <w:r>
        <w:t>). Quedan fuera de esa cifra el IVA, los tributos municipales, los impuestos especiales, la parte del Impuesto de Sociedades que recae sobre los salarios y la carga futura del déficit: con todos ellos, un estudio privado estima la carga hasta el 53,6 % del coste laboral (estimaciones e hipótesis), y el tiempo de los trámites no entra en ninguna cifra (</w:t>
      </w:r>
      <w:r>
        <w:t>8.4</w:t>
      </w:r>
      <w:r>
        <w:t xml:space="preserve">; el detalle, en el </w:t>
      </w:r>
      <w:r>
        <w:t>anexo B</w:t>
      </w:r>
      <w:r>
        <w:t xml:space="preserve">). </w:t>
      </w:r>
      <w:r>
        <w:t>[glosario 6.2; 00.0-4.4]</w:t>
      </w:r>
    </w:p>
    <w:p>
      <w:r>
        <w:rPr>
          <w:b/>
        </w:rPr>
        <w:t>Un solo lenguaje.</w:t>
      </w:r>
      <w:r>
        <w:t xml:space="preserve"> Todo se da en euros, también los años de la peseta, al tipo fijo de «166,386 pesetas españolas»</w:t>
      </w:r>
      <w:r>
        <w:t xml:space="preserve"> (Reglamento (CE) 2866/98, art. 1)</w:t>
      </w:r>
      <w:r>
        <w:br/>
      </w:r>
      <w:r>
        <w:rPr>
          <w:b/>
        </w:rPr>
        <w:t>pasaje guardado</w:t>
      </w:r>
      <w:r>
        <w:br/>
      </w:r>
      <w:r>
        <w:rPr>
          <w:b/>
        </w:rPr>
        <w:t>Archivo leído:</w:t>
      </w:r>
      <w:r>
        <w:t xml:space="preserve"> 8.3_22b_Reglamento_CE_2866_98_tipos_conversion_euro.pdf (c8b\8.3_22b_Reglamento_CE_2866_98_tipos_conversion_euro.pdf) · contraste del archivo de pasajes: ✔</w:t>
      </w:r>
      <w:r>
        <w:br/>
      </w:r>
      <w:r>
        <w:rPr>
          <w:b/>
        </w:rPr>
        <w:t>Lugar:</w:t>
      </w:r>
      <w:r>
        <w:t xml:space="preserve"> Reglamento (CE) 2866/98, art. 1</w:t>
      </w:r>
      <w:r>
        <w:br/>
      </w:r>
      <w:r>
        <w:rPr>
          <w:b/>
        </w:rPr>
        <w:t>Tal como está en la fuente:</w:t>
      </w:r>
      <w:r>
        <w:t xml:space="preserve"> 166,386 pesetas españolas</w:t>
      </w:r>
      <w:r>
        <w:t>. El euro sustituyó a la peseta el 1 de enero de 1999, y sus billetes y monedas «serán los únicos de curso legal en el territorio nacional»</w:t>
      </w:r>
      <w:r>
        <w:t xml:space="preserve"> (Ley 46/1998, art. 3)</w:t>
      </w:r>
      <w:r>
        <w:br/>
      </w:r>
      <w:r>
        <w:rPr>
          <w:b/>
        </w:rPr>
        <w:t>leída en su fuente · Ley 46/1998, art. 3</w:t>
      </w:r>
      <w:r>
        <w:br/>
      </w:r>
      <w:r>
        <w:rPr>
          <w:b/>
        </w:rPr>
        <w:t>Archivo leído:</w:t>
      </w:r>
      <w:r>
        <w:t xml:space="preserve"> ley46_1998_euro.html (c5\ley46_1998_euro.html) · contraste del archivo de pasajes: ✔</w:t>
      </w:r>
      <w:r>
        <w:br/>
      </w:r>
      <w:r>
        <w:rPr>
          <w:b/>
        </w:rPr>
        <w:t>Lugar:</w:t>
      </w:r>
      <w:r>
        <w:t xml:space="preserve"> Art. 3, apartado Dos (#a3)</w:t>
      </w:r>
      <w:r>
        <w:br/>
      </w:r>
      <w:r>
        <w:rPr>
          <w:b/>
        </w:rPr>
        <w:t>Dirección:</w:t>
      </w:r>
      <w:r>
        <w:t xml:space="preserve"> </w:t>
      </w:r>
      <w:r>
        <w:t>https://www.boe.es/buscar/act.php?id=BOE-A-1998-29216</w:t>
      </w:r>
      <w:r>
        <w:br/>
      </w:r>
      <w:r>
        <w:rPr>
          <w:b/>
        </w:rPr>
        <w:t>Tal como está en la fuente:</w:t>
      </w:r>
      <w:r>
        <w:t xml:space="preserve"> Los billetes y monedas denominados en euros serán los únicos de curso legal en el territorio nacional.</w:t>
      </w:r>
      <w:r>
        <w:t xml:space="preserve">. Convertir no cambia ninguna proporción. </w:t>
      </w:r>
      <w:r>
        <w:t>[34.00-7.2 y 16.20]</w:t>
      </w:r>
    </w:p>
    <w:p>
      <w:r>
        <w:rPr>
          <w:b/>
        </w:rPr>
        <w:t>Lo que les pasa a 100 euros guardados.</w:t>
      </w:r>
      <w:r>
        <w:t xml:space="preserve"> Guardados el 1 de enero de 1971, hoy compran lo que entonces 3,90: se ha perdido el 96 % de su valor. Los precios se han multiplicado por 25,6 en 55 años, una media del 6,1 % anual: a ese ritmo, el dinero guardado pierde la mitad de su valor cada 12 años, más o menos; al 2 % anual, cada 35</w:t>
      </w:r>
      <w:r>
        <w:t xml:space="preserve"> (INE, índice de precios de consumo, variación de diciembre a diciembre desde 1971; cálculo de la obra)</w:t>
      </w:r>
      <w:r>
        <w:t>. Y ese 2 % es la meta oficial: los Tratados encargan a los bancos centrales «mantener la estabilidad de precios»</w:t>
      </w:r>
      <w:r>
        <w:t xml:space="preserve"> (Tratado de Funcionamiento de la UE, art. 127.1)</w:t>
      </w:r>
      <w:r>
        <w:br/>
      </w:r>
      <w:r>
        <w:rPr>
          <w:b/>
        </w:rPr>
        <w:t>leída en su fuente · Tratado de Funcionamiento de la UE, art. 127.1</w:t>
      </w:r>
      <w:r>
        <w:br/>
      </w:r>
      <w:r>
        <w:rPr>
          <w:b/>
        </w:rPr>
        <w:t>Archivo leído:</w:t>
      </w:r>
      <w:r>
        <w:t xml:space="preserve"> tue_version_consolidada_2016.html (c10\tue_version_consolidada_2016.html) · contraste del archivo de pasajes: ✔</w:t>
      </w:r>
      <w:r>
        <w:br/>
      </w:r>
      <w:r>
        <w:rPr>
          <w:b/>
        </w:rPr>
        <w:t>Lugar:</w:t>
      </w:r>
      <w:r>
        <w:t xml:space="preserve"> Tratado de Funcionamiento de la UE, art. 127.1</w:t>
      </w:r>
      <w:r>
        <w:br/>
      </w:r>
      <w:r>
        <w:rPr>
          <w:b/>
        </w:rPr>
        <w:t>Tal como está en la fuente:</w:t>
      </w:r>
      <w:r>
        <w:t xml:space="preserve"> mantener la estabilidad de precios</w:t>
      </w:r>
      <w:r>
        <w:t>, y el Banco Central Europeo la concreta así: «aspirar a una inflación del 2 % a medio plazo»</w:t>
      </w:r>
      <w:r>
        <w:t xml:space="preserve"> [original: «aiming for 2% inflation over the medium term»]</w:t>
      </w:r>
      <w:r>
        <w:t xml:space="preserve"> (BCE, estrategia de política monetaria)</w:t>
      </w:r>
      <w:r>
        <w:br/>
      </w:r>
      <w:r>
        <w:rPr>
          <w:b/>
        </w:rPr>
        <w:t>leída en su fuente · BCE, estrategia de política monetaria</w:t>
      </w:r>
      <w:r>
        <w:br/>
      </w:r>
      <w:r>
        <w:rPr>
          <w:b/>
        </w:rPr>
        <w:t>Archivo leído:</w:t>
      </w:r>
      <w:r>
        <w:t xml:space="preserve"> 8.1_11_BCE_estrategia_politica_monetaria_EN.html (c8a\8.1_11_BCE_estrategia_politica_monetaria_EN.html) · contraste del archivo de pasajes: ✔</w:t>
      </w:r>
      <w:r>
        <w:br/>
      </w:r>
      <w:r>
        <w:rPr>
          <w:b/>
        </w:rPr>
        <w:t>Lugar:</w:t>
      </w:r>
      <w:r>
        <w:t xml:space="preserve"> BCE, estrategia de política monetaria</w:t>
      </w:r>
      <w:r>
        <w:br/>
      </w:r>
      <w:r>
        <w:rPr>
          <w:b/>
        </w:rPr>
        <w:t>Tal como está en la fuente:</w:t>
      </w:r>
      <w:r>
        <w:t xml:space="preserve"> aiming for 2% inflation over the medium term</w:t>
      </w:r>
      <w:r>
        <w:t xml:space="preserve">. A eso se le llama estabilidad. </w:t>
      </w:r>
      <w:r>
        <w:t>[34.00-7.3, 7.4 y 16.21]</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Periodo</w:t>
            </w:r>
          </w:p>
        </w:tc>
        <w:tc>
          <w:tcPr>
            <w:tcW w:type="dxa" w:w="3061"/>
            <w:shd w:val="clear" w:color="auto" w:fill="F1EEE8"/>
          </w:tcPr>
          <w:p>
            <w:pPr>
              <w:spacing w:after="20" w:line="264" w:lineRule="auto"/>
            </w:pPr>
            <w:r>
              <w:rPr>
                <w:b/>
              </w:rPr>
            </w:r>
            <w:r>
              <w:rPr>
                <w:rFonts w:ascii="Segoe UI" w:hAnsi="Segoe UI" w:eastAsia="Segoe UI" w:cs="Segoe UI"/>
                <w:b/>
                <w:color w:val="1F1D1A"/>
                <w:sz w:val="18"/>
              </w:rPr>
              <w:t>Subida de precios en esos cinco años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compran hoy 100 € guardados el 1-1-1971</w:t>
            </w:r>
          </w:p>
        </w:tc>
      </w:tr>
      <w:tr>
        <w:tc>
          <w:tcPr>
            <w:tcW w:type="dxa" w:w="3061"/>
          </w:tcPr>
          <w:p>
            <w:pPr>
              <w:spacing w:after="20" w:line="264" w:lineRule="auto"/>
            </w:pPr>
            <w:r/>
            <w:r>
              <w:rPr>
                <w:rFonts w:ascii="Segoe UI" w:hAnsi="Segoe UI" w:eastAsia="Segoe UI" w:cs="Segoe UI"/>
                <w:color w:val="1F1D1A"/>
                <w:sz w:val="18"/>
              </w:rPr>
              <w:t>1971-1975</w:t>
            </w:r>
          </w:p>
        </w:tc>
        <w:tc>
          <w:tcPr>
            <w:tcW w:type="dxa" w:w="3061"/>
          </w:tcPr>
          <w:p>
            <w:pPr>
              <w:spacing w:after="20" w:line="264" w:lineRule="auto"/>
            </w:pPr>
            <w:r/>
            <w:r>
              <w:rPr>
                <w:rFonts w:ascii="Segoe UI" w:hAnsi="Segoe UI" w:eastAsia="Segoe UI" w:cs="Segoe UI"/>
                <w:color w:val="1F1D1A"/>
                <w:sz w:val="18"/>
              </w:rPr>
              <w:t>80,7 %</w:t>
            </w:r>
          </w:p>
        </w:tc>
        <w:tc>
          <w:tcPr>
            <w:tcW w:type="dxa" w:w="3061"/>
          </w:tcPr>
          <w:p>
            <w:pPr>
              <w:spacing w:after="20" w:line="264" w:lineRule="auto"/>
            </w:pPr>
            <w:r/>
            <w:r>
              <w:rPr>
                <w:rFonts w:ascii="Segoe UI" w:hAnsi="Segoe UI" w:eastAsia="Segoe UI" w:cs="Segoe UI"/>
                <w:color w:val="1F1D1A"/>
                <w:sz w:val="18"/>
              </w:rPr>
              <w:t>55,35 €</w:t>
            </w:r>
          </w:p>
        </w:tc>
      </w:tr>
      <w:tr>
        <w:tc>
          <w:tcPr>
            <w:tcW w:type="dxa" w:w="3061"/>
          </w:tcPr>
          <w:p>
            <w:pPr>
              <w:spacing w:after="20" w:line="264" w:lineRule="auto"/>
            </w:pPr>
            <w:r/>
            <w:r>
              <w:rPr>
                <w:rFonts w:ascii="Segoe UI" w:hAnsi="Segoe UI" w:eastAsia="Segoe UI" w:cs="Segoe UI"/>
                <w:color w:val="1F1D1A"/>
                <w:sz w:val="18"/>
              </w:rPr>
              <w:t>1976-1980</w:t>
            </w:r>
          </w:p>
        </w:tc>
        <w:tc>
          <w:tcPr>
            <w:tcW w:type="dxa" w:w="3061"/>
          </w:tcPr>
          <w:p>
            <w:pPr>
              <w:spacing w:after="20" w:line="264" w:lineRule="auto"/>
            </w:pPr>
            <w:r/>
            <w:r>
              <w:rPr>
                <w:rFonts w:ascii="Segoe UI" w:hAnsi="Segoe UI" w:eastAsia="Segoe UI" w:cs="Segoe UI"/>
                <w:color w:val="1F1D1A"/>
                <w:sz w:val="18"/>
              </w:rPr>
              <w:t>134,9 %</w:t>
            </w:r>
          </w:p>
        </w:tc>
        <w:tc>
          <w:tcPr>
            <w:tcW w:type="dxa" w:w="3061"/>
          </w:tcPr>
          <w:p>
            <w:pPr>
              <w:spacing w:after="20" w:line="264" w:lineRule="auto"/>
            </w:pPr>
            <w:r/>
            <w:r>
              <w:rPr>
                <w:rFonts w:ascii="Segoe UI" w:hAnsi="Segoe UI" w:eastAsia="Segoe UI" w:cs="Segoe UI"/>
                <w:color w:val="1F1D1A"/>
                <w:sz w:val="18"/>
              </w:rPr>
              <w:t>23,56 €</w:t>
            </w:r>
          </w:p>
        </w:tc>
      </w:tr>
      <w:tr>
        <w:tc>
          <w:tcPr>
            <w:tcW w:type="dxa" w:w="3061"/>
          </w:tcPr>
          <w:p>
            <w:pPr>
              <w:spacing w:after="20" w:line="264" w:lineRule="auto"/>
            </w:pPr>
            <w:r/>
            <w:r>
              <w:rPr>
                <w:rFonts w:ascii="Segoe UI" w:hAnsi="Segoe UI" w:eastAsia="Segoe UI" w:cs="Segoe UI"/>
                <w:color w:val="1F1D1A"/>
                <w:sz w:val="18"/>
              </w:rPr>
              <w:t>1981-1985</w:t>
            </w:r>
          </w:p>
        </w:tc>
        <w:tc>
          <w:tcPr>
            <w:tcW w:type="dxa" w:w="3061"/>
          </w:tcPr>
          <w:p>
            <w:pPr>
              <w:spacing w:after="20" w:line="264" w:lineRule="auto"/>
            </w:pPr>
            <w:r/>
            <w:r>
              <w:rPr>
                <w:rFonts w:ascii="Segoe UI" w:hAnsi="Segoe UI" w:eastAsia="Segoe UI" w:cs="Segoe UI"/>
                <w:color w:val="1F1D1A"/>
                <w:sz w:val="18"/>
              </w:rPr>
              <w:t>72,6 %</w:t>
            </w:r>
          </w:p>
        </w:tc>
        <w:tc>
          <w:tcPr>
            <w:tcW w:type="dxa" w:w="3061"/>
          </w:tcPr>
          <w:p>
            <w:pPr>
              <w:spacing w:after="20" w:line="264" w:lineRule="auto"/>
            </w:pPr>
            <w:r/>
            <w:r>
              <w:rPr>
                <w:rFonts w:ascii="Segoe UI" w:hAnsi="Segoe UI" w:eastAsia="Segoe UI" w:cs="Segoe UI"/>
                <w:color w:val="1F1D1A"/>
                <w:sz w:val="18"/>
              </w:rPr>
              <w:t>13,65 €</w:t>
            </w:r>
          </w:p>
        </w:tc>
      </w:tr>
      <w:tr>
        <w:tc>
          <w:tcPr>
            <w:tcW w:type="dxa" w:w="3061"/>
          </w:tcPr>
          <w:p>
            <w:pPr>
              <w:spacing w:after="20" w:line="264" w:lineRule="auto"/>
            </w:pPr>
            <w:r/>
            <w:r>
              <w:rPr>
                <w:rFonts w:ascii="Segoe UI" w:hAnsi="Segoe UI" w:eastAsia="Segoe UI" w:cs="Segoe UI"/>
                <w:color w:val="1F1D1A"/>
                <w:sz w:val="18"/>
              </w:rPr>
              <w:t>1986-1990</w:t>
            </w:r>
          </w:p>
        </w:tc>
        <w:tc>
          <w:tcPr>
            <w:tcW w:type="dxa" w:w="3061"/>
          </w:tcPr>
          <w:p>
            <w:pPr>
              <w:spacing w:after="20" w:line="264" w:lineRule="auto"/>
            </w:pPr>
            <w:r/>
            <w:r>
              <w:rPr>
                <w:rFonts w:ascii="Segoe UI" w:hAnsi="Segoe UI" w:eastAsia="Segoe UI" w:cs="Segoe UI"/>
                <w:color w:val="1F1D1A"/>
                <w:sz w:val="18"/>
              </w:rPr>
              <w:t>36,4 %</w:t>
            </w:r>
          </w:p>
        </w:tc>
        <w:tc>
          <w:tcPr>
            <w:tcW w:type="dxa" w:w="3061"/>
          </w:tcPr>
          <w:p>
            <w:pPr>
              <w:spacing w:after="20" w:line="264" w:lineRule="auto"/>
            </w:pPr>
            <w:r/>
            <w:r>
              <w:rPr>
                <w:rFonts w:ascii="Segoe UI" w:hAnsi="Segoe UI" w:eastAsia="Segoe UI" w:cs="Segoe UI"/>
                <w:color w:val="1F1D1A"/>
                <w:sz w:val="18"/>
              </w:rPr>
              <w:t>10,01 €</w:t>
            </w:r>
          </w:p>
        </w:tc>
      </w:tr>
      <w:tr>
        <w:tc>
          <w:tcPr>
            <w:tcW w:type="dxa" w:w="3061"/>
          </w:tcPr>
          <w:p>
            <w:pPr>
              <w:spacing w:after="20" w:line="264" w:lineRule="auto"/>
            </w:pPr>
            <w:r/>
            <w:r>
              <w:rPr>
                <w:rFonts w:ascii="Segoe UI" w:hAnsi="Segoe UI" w:eastAsia="Segoe UI" w:cs="Segoe UI"/>
                <w:color w:val="1F1D1A"/>
                <w:sz w:val="18"/>
              </w:rPr>
              <w:t>1991-1995</w:t>
            </w:r>
          </w:p>
        </w:tc>
        <w:tc>
          <w:tcPr>
            <w:tcW w:type="dxa" w:w="3061"/>
          </w:tcPr>
          <w:p>
            <w:pPr>
              <w:spacing w:after="20" w:line="264" w:lineRule="auto"/>
            </w:pPr>
            <w:r/>
            <w:r>
              <w:rPr>
                <w:rFonts w:ascii="Segoe UI" w:hAnsi="Segoe UI" w:eastAsia="Segoe UI" w:cs="Segoe UI"/>
                <w:color w:val="1F1D1A"/>
                <w:sz w:val="18"/>
              </w:rPr>
              <w:t>26,8 %</w:t>
            </w:r>
          </w:p>
        </w:tc>
        <w:tc>
          <w:tcPr>
            <w:tcW w:type="dxa" w:w="3061"/>
          </w:tcPr>
          <w:p>
            <w:pPr>
              <w:spacing w:after="20" w:line="264" w:lineRule="auto"/>
            </w:pPr>
            <w:r/>
            <w:r>
              <w:rPr>
                <w:rFonts w:ascii="Segoe UI" w:hAnsi="Segoe UI" w:eastAsia="Segoe UI" w:cs="Segoe UI"/>
                <w:color w:val="1F1D1A"/>
                <w:sz w:val="18"/>
              </w:rPr>
              <w:t>7,89 €</w:t>
            </w:r>
          </w:p>
        </w:tc>
      </w:tr>
      <w:tr>
        <w:tc>
          <w:tcPr>
            <w:tcW w:type="dxa" w:w="3061"/>
          </w:tcPr>
          <w:p>
            <w:pPr>
              <w:spacing w:after="20" w:line="264" w:lineRule="auto"/>
            </w:pPr>
            <w:r/>
            <w:r>
              <w:rPr>
                <w:rFonts w:ascii="Segoe UI" w:hAnsi="Segoe UI" w:eastAsia="Segoe UI" w:cs="Segoe UI"/>
                <w:color w:val="1F1D1A"/>
                <w:sz w:val="18"/>
              </w:rPr>
              <w:t>1996-2000</w:t>
            </w:r>
          </w:p>
        </w:tc>
        <w:tc>
          <w:tcPr>
            <w:tcW w:type="dxa" w:w="3061"/>
          </w:tcPr>
          <w:p>
            <w:pPr>
              <w:spacing w:after="20" w:line="264" w:lineRule="auto"/>
            </w:pPr>
            <w:r/>
            <w:r>
              <w:rPr>
                <w:rFonts w:ascii="Segoe UI" w:hAnsi="Segoe UI" w:eastAsia="Segoe UI" w:cs="Segoe UI"/>
                <w:color w:val="1F1D1A"/>
                <w:sz w:val="18"/>
              </w:rPr>
              <w:t>14,2 %</w:t>
            </w:r>
          </w:p>
        </w:tc>
        <w:tc>
          <w:tcPr>
            <w:tcW w:type="dxa" w:w="3061"/>
          </w:tcPr>
          <w:p>
            <w:pPr>
              <w:spacing w:after="20" w:line="264" w:lineRule="auto"/>
            </w:pPr>
            <w:r/>
            <w:r>
              <w:rPr>
                <w:rFonts w:ascii="Segoe UI" w:hAnsi="Segoe UI" w:eastAsia="Segoe UI" w:cs="Segoe UI"/>
                <w:color w:val="1F1D1A"/>
                <w:sz w:val="18"/>
              </w:rPr>
              <w:t>6,91 €</w:t>
            </w:r>
          </w:p>
        </w:tc>
      </w:tr>
      <w:tr>
        <w:tc>
          <w:tcPr>
            <w:tcW w:type="dxa" w:w="3061"/>
          </w:tcPr>
          <w:p>
            <w:pPr>
              <w:spacing w:after="20" w:line="264" w:lineRule="auto"/>
            </w:pPr>
            <w:r/>
            <w:r>
              <w:rPr>
                <w:rFonts w:ascii="Segoe UI" w:hAnsi="Segoe UI" w:eastAsia="Segoe UI" w:cs="Segoe UI"/>
                <w:color w:val="1F1D1A"/>
                <w:sz w:val="18"/>
              </w:rPr>
              <w:t>2001-2005</w:t>
            </w:r>
          </w:p>
        </w:tc>
        <w:tc>
          <w:tcPr>
            <w:tcW w:type="dxa" w:w="3061"/>
          </w:tcPr>
          <w:p>
            <w:pPr>
              <w:spacing w:after="20" w:line="264" w:lineRule="auto"/>
            </w:pPr>
            <w:r/>
            <w:r>
              <w:rPr>
                <w:rFonts w:ascii="Segoe UI" w:hAnsi="Segoe UI" w:eastAsia="Segoe UI" w:cs="Segoe UI"/>
                <w:color w:val="1F1D1A"/>
                <w:sz w:val="18"/>
              </w:rPr>
              <w:t>17,3 %</w:t>
            </w:r>
          </w:p>
        </w:tc>
        <w:tc>
          <w:tcPr>
            <w:tcW w:type="dxa" w:w="3061"/>
          </w:tcPr>
          <w:p>
            <w:pPr>
              <w:spacing w:after="20" w:line="264" w:lineRule="auto"/>
            </w:pPr>
            <w:r/>
            <w:r>
              <w:rPr>
                <w:rFonts w:ascii="Segoe UI" w:hAnsi="Segoe UI" w:eastAsia="Segoe UI" w:cs="Segoe UI"/>
                <w:color w:val="1F1D1A"/>
                <w:sz w:val="18"/>
              </w:rPr>
              <w:t>5,89 €</w:t>
            </w:r>
          </w:p>
        </w:tc>
      </w:tr>
      <w:tr>
        <w:tc>
          <w:tcPr>
            <w:tcW w:type="dxa" w:w="3061"/>
          </w:tcPr>
          <w:p>
            <w:pPr>
              <w:spacing w:after="20" w:line="264" w:lineRule="auto"/>
            </w:pPr>
            <w:r/>
            <w:r>
              <w:rPr>
                <w:rFonts w:ascii="Segoe UI" w:hAnsi="Segoe UI" w:eastAsia="Segoe UI" w:cs="Segoe UI"/>
                <w:color w:val="1F1D1A"/>
                <w:sz w:val="18"/>
              </w:rPr>
              <w:t>2006-2010</w:t>
            </w:r>
          </w:p>
        </w:tc>
        <w:tc>
          <w:tcPr>
            <w:tcW w:type="dxa" w:w="3061"/>
          </w:tcPr>
          <w:p>
            <w:pPr>
              <w:spacing w:after="20" w:line="264" w:lineRule="auto"/>
            </w:pPr>
            <w:r/>
            <w:r>
              <w:rPr>
                <w:rFonts w:ascii="Segoe UI" w:hAnsi="Segoe UI" w:eastAsia="Segoe UI" w:cs="Segoe UI"/>
                <w:color w:val="1F1D1A"/>
                <w:sz w:val="18"/>
              </w:rPr>
              <w:t>12,7 %</w:t>
            </w:r>
          </w:p>
        </w:tc>
        <w:tc>
          <w:tcPr>
            <w:tcW w:type="dxa" w:w="3061"/>
          </w:tcPr>
          <w:p>
            <w:pPr>
              <w:spacing w:after="20" w:line="264" w:lineRule="auto"/>
            </w:pPr>
            <w:r/>
            <w:r>
              <w:rPr>
                <w:rFonts w:ascii="Segoe UI" w:hAnsi="Segoe UI" w:eastAsia="Segoe UI" w:cs="Segoe UI"/>
                <w:color w:val="1F1D1A"/>
                <w:sz w:val="18"/>
              </w:rPr>
              <w:t>5,23 €</w:t>
            </w:r>
          </w:p>
        </w:tc>
      </w:tr>
      <w:tr>
        <w:tc>
          <w:tcPr>
            <w:tcW w:type="dxa" w:w="3061"/>
          </w:tcPr>
          <w:p>
            <w:pPr>
              <w:spacing w:after="20" w:line="264" w:lineRule="auto"/>
            </w:pPr>
            <w:r/>
            <w:r>
              <w:rPr>
                <w:rFonts w:ascii="Segoe UI" w:hAnsi="Segoe UI" w:eastAsia="Segoe UI" w:cs="Segoe UI"/>
                <w:color w:val="1F1D1A"/>
                <w:sz w:val="18"/>
              </w:rPr>
              <w:t>2011-2015</w:t>
            </w:r>
          </w:p>
        </w:tc>
        <w:tc>
          <w:tcPr>
            <w:tcW w:type="dxa" w:w="3061"/>
          </w:tcPr>
          <w:p>
            <w:pPr>
              <w:spacing w:after="20" w:line="264" w:lineRule="auto"/>
            </w:pPr>
            <w:r/>
            <w:r>
              <w:rPr>
                <w:rFonts w:ascii="Segoe UI" w:hAnsi="Segoe UI" w:eastAsia="Segoe UI" w:cs="Segoe UI"/>
                <w:color w:val="1F1D1A"/>
                <w:sz w:val="18"/>
              </w:rPr>
              <w:t>4,6 %</w:t>
            </w:r>
          </w:p>
        </w:tc>
        <w:tc>
          <w:tcPr>
            <w:tcW w:type="dxa" w:w="3061"/>
          </w:tcPr>
          <w:p>
            <w:pPr>
              <w:spacing w:after="20" w:line="264" w:lineRule="auto"/>
            </w:pPr>
            <w:r/>
            <w:r>
              <w:rPr>
                <w:rFonts w:ascii="Segoe UI" w:hAnsi="Segoe UI" w:eastAsia="Segoe UI" w:cs="Segoe UI"/>
                <w:color w:val="1F1D1A"/>
                <w:sz w:val="18"/>
              </w:rPr>
              <w:t>5,00 €</w:t>
            </w:r>
          </w:p>
        </w:tc>
      </w:tr>
      <w:tr>
        <w:tc>
          <w:tcPr>
            <w:tcW w:type="dxa" w:w="3061"/>
          </w:tcPr>
          <w:p>
            <w:pPr>
              <w:spacing w:after="20" w:line="264" w:lineRule="auto"/>
            </w:pPr>
            <w:r/>
            <w:r>
              <w:rPr>
                <w:rFonts w:ascii="Segoe UI" w:hAnsi="Segoe UI" w:eastAsia="Segoe UI" w:cs="Segoe UI"/>
                <w:color w:val="1F1D1A"/>
                <w:sz w:val="18"/>
              </w:rPr>
              <w:t>2016-2020</w:t>
            </w:r>
          </w:p>
        </w:tc>
        <w:tc>
          <w:tcPr>
            <w:tcW w:type="dxa" w:w="3061"/>
          </w:tcPr>
          <w:p>
            <w:pPr>
              <w:spacing w:after="20" w:line="264" w:lineRule="auto"/>
            </w:pPr>
            <w:r/>
            <w:r>
              <w:rPr>
                <w:rFonts w:ascii="Segoe UI" w:hAnsi="Segoe UI" w:eastAsia="Segoe UI" w:cs="Segoe UI"/>
                <w:color w:val="1F1D1A"/>
                <w:sz w:val="18"/>
              </w:rPr>
              <w:t>4,3 %</w:t>
            </w:r>
          </w:p>
        </w:tc>
        <w:tc>
          <w:tcPr>
            <w:tcW w:type="dxa" w:w="3061"/>
          </w:tcPr>
          <w:p>
            <w:pPr>
              <w:spacing w:after="20" w:line="264" w:lineRule="auto"/>
            </w:pPr>
            <w:r/>
            <w:r>
              <w:rPr>
                <w:rFonts w:ascii="Segoe UI" w:hAnsi="Segoe UI" w:eastAsia="Segoe UI" w:cs="Segoe UI"/>
                <w:color w:val="1F1D1A"/>
                <w:sz w:val="18"/>
              </w:rPr>
              <w:t>4,79 €</w:t>
            </w:r>
          </w:p>
        </w:tc>
      </w:tr>
      <w:tr>
        <w:tc>
          <w:tcPr>
            <w:tcW w:type="dxa" w:w="3061"/>
          </w:tcPr>
          <w:p>
            <w:pPr>
              <w:spacing w:after="20" w:line="264" w:lineRule="auto"/>
            </w:pPr>
            <w:r/>
            <w:r>
              <w:rPr>
                <w:rFonts w:ascii="Segoe UI" w:hAnsi="Segoe UI" w:eastAsia="Segoe UI" w:cs="Segoe UI"/>
                <w:color w:val="1F1D1A"/>
                <w:sz w:val="18"/>
              </w:rPr>
              <w:t>2021-2025</w:t>
            </w:r>
          </w:p>
        </w:tc>
        <w:tc>
          <w:tcPr>
            <w:tcW w:type="dxa" w:w="3061"/>
          </w:tcPr>
          <w:p>
            <w:pPr>
              <w:spacing w:after="20" w:line="264" w:lineRule="auto"/>
            </w:pPr>
            <w:r/>
            <w:r>
              <w:rPr>
                <w:rFonts w:ascii="Segoe UI" w:hAnsi="Segoe UI" w:eastAsia="Segoe UI" w:cs="Segoe UI"/>
                <w:color w:val="1F1D1A"/>
                <w:sz w:val="18"/>
              </w:rPr>
              <w:t>22,8 %</w:t>
            </w:r>
          </w:p>
        </w:tc>
        <w:tc>
          <w:tcPr>
            <w:tcW w:type="dxa" w:w="3061"/>
          </w:tcPr>
          <w:p>
            <w:pPr>
              <w:spacing w:after="20" w:line="264" w:lineRule="auto"/>
            </w:pPr>
            <w:r/>
            <w:r>
              <w:rPr>
                <w:rFonts w:ascii="Segoe UI" w:hAnsi="Segoe UI" w:eastAsia="Segoe UI" w:cs="Segoe UI"/>
                <w:color w:val="1F1D1A"/>
                <w:sz w:val="18"/>
              </w:rPr>
              <w:t>3,90 €</w:t>
            </w:r>
          </w:p>
        </w:tc>
      </w:tr>
    </w:tbl>
    <w:p>
      <w:pPr>
        <w:spacing w:after="80"/>
      </w:pPr>
    </w:p>
    <w:p>
      <w:r>
        <w:t xml:space="preserve">Fuente: INE, índice de precios de consumo, diciembre a diciembre, encadenado; el cuadro completo, en el </w:t>
      </w:r>
      <w:r>
        <w:t>anexo C</w:t>
      </w:r>
      <w:r>
        <w:t xml:space="preserve">. </w:t>
      </w:r>
      <w:r>
        <w:t>[34.00-8.1 a 8.13]</w:t>
      </w:r>
    </w:p>
    <w:p>
      <w:r>
        <w:rPr>
          <w:b/>
        </w:rPr>
        <w:t>Lo que compran 100 euros guardados, medido en pan.</w:t>
      </w:r>
      <w:r>
        <w:t xml:space="preserve"> Una barra de pan de unos 250 gramos es el producto de referencia que usó el Ministerio de Agricultura en su estudio del pan de 2009</w:t>
      </w:r>
      <w:r>
        <w:t xml:space="preserve"> (Ministerio de Agricultura, Estudio de la cadena de valor y formación de precios del pan, julio de 2009)</w:t>
      </w:r>
      <w:r>
        <w:t>. Con el precio oficial de la pieza de pan común en Madrid en 1987, 100 euros (unas 16.600 pesetas) compraban unas 590 barras. Con el precio medio que pagan los hogares, compraban unas 245 en el año 2000 y compran unas 148 en 2025. Son los mismos 100 euros guardados: cada año compran menos barras.</w:t>
      </w:r>
    </w:p>
    <w:p>
      <w:r>
        <w:rPr>
          <w:b/>
        </w:rPr>
        <w:t>Eso tiene un nombre: inflación.</w:t>
      </w:r>
      <w:r>
        <w:t xml:space="preserve"> La palabra nombraba antes la causa, no el efecto. El diccionario Webster de 1913 la definía como «expansión o aumento indebido, por emisión excesiva; dicho de la moneda»</w:t>
      </w:r>
      <w:r>
        <w:t xml:space="preserve"> [original: «Undue expansion or increase, from overissue; -- said of currency. [U.S.]»]</w:t>
      </w:r>
      <w:r>
        <w:t xml:space="preserve"> (Webster's Revised Unabridged Dictionary (Diccionario Webster revisado e íntegro), 1913, Proyecto Gutenberg n.º 29765, s. v. «inflation»)</w:t>
      </w:r>
      <w:r>
        <w:br/>
      </w:r>
      <w:r>
        <w:rPr>
          <w:b/>
        </w:rPr>
        <w:t>leída en su fuente</w:t>
      </w:r>
      <w:r>
        <w:br/>
      </w:r>
      <w:r>
        <w:rPr>
          <w:b/>
        </w:rPr>
        <w:t>Archivo leído:</w:t>
      </w:r>
      <w:r>
        <w:t xml:space="preserve"> webster_1913_gutenberg_29765.txt (líneas 438081-438091) (c5\webster_1913_extracto_inflation.txt) · contraste del archivo de pasajes: ✔</w:t>
      </w:r>
      <w:r>
        <w:br/>
      </w:r>
      <w:r>
        <w:rPr>
          <w:b/>
        </w:rPr>
        <w:t>Dirección:</w:t>
      </w:r>
      <w:r>
        <w:t xml:space="preserve"> </w:t>
      </w:r>
      <w:r>
        <w:t>https://www.gutenberg.org/cache/epub/29765/pg29765.txt</w:t>
      </w:r>
      <w:r>
        <w:br/>
      </w:r>
      <w:r>
        <w:rPr>
          <w:b/>
        </w:rPr>
        <w:t>Tal como está en la fuente:</w:t>
      </w:r>
      <w:r>
        <w:t xml:space="preserve"> "INFLATION / In*fla""tion, n. […] 3. Undue expansion or increase, from overissue; -- said of currency. [U.S.]"</w:t>
      </w:r>
      <w:r>
        <w:br/>
      </w:r>
      <w:r>
        <w:rPr>
          <w:b/>
        </w:rPr>
        <w:t>Traducción guardada:</w:t>
      </w:r>
      <w:r>
        <w:t xml:space="preserve"> Expansión o aumento indebido, por emisión excesiva; dicho de la moneda. [EE. UU.]</w:t>
      </w:r>
      <w:r>
        <w:t>. La Academia la define hoy como «Elevación del nivel general de precios»</w:t>
      </w:r>
      <w:r>
        <w:t xml:space="preserve"> (Diccionario de la lengua española, edición actual)</w:t>
      </w:r>
      <w:r>
        <w:br/>
      </w:r>
      <w:r>
        <w:rPr>
          <w:b/>
        </w:rPr>
        <w:t>leída en su fuente · Diccionario de la lengua española, edición actual</w:t>
      </w:r>
      <w:r>
        <w:br/>
      </w:r>
      <w:r>
        <w:rPr>
          <w:b/>
        </w:rPr>
        <w:t>Archivo leído:</w:t>
      </w:r>
      <w:r>
        <w:t xml:space="preserve"> rae_dle_inflacion_actual.html (c5\rae_dle_inflacion_actual.html) · contraste del archivo de pasajes: ✔</w:t>
      </w:r>
      <w:r>
        <w:br/>
      </w:r>
      <w:r>
        <w:rPr>
          <w:b/>
        </w:rPr>
        <w:t>Lugar:</w:t>
      </w:r>
      <w:r>
        <w:t xml:space="preserve"> Acepción 4</w:t>
      </w:r>
      <w:r>
        <w:br/>
      </w:r>
      <w:r>
        <w:rPr>
          <w:b/>
        </w:rPr>
        <w:t>Dirección:</w:t>
      </w:r>
      <w:r>
        <w:t xml:space="preserve"> </w:t>
      </w:r>
      <w:r>
        <w:t>https://dle.rae.es/inflaci%C3%B3n</w:t>
      </w:r>
      <w:r>
        <w:br/>
      </w:r>
      <w:r>
        <w:rPr>
          <w:b/>
        </w:rPr>
        <w:t>Tal como está en la fuente:</w:t>
      </w:r>
      <w:r>
        <w:t xml:space="preserve"> 4. f. Econ. Elevación del nivel general de precios.</w:t>
      </w:r>
      <w:r>
        <w:t xml:space="preserve"> (</w:t>
      </w:r>
      <w:r>
        <w:t>5.1</w:t>
      </w:r>
      <w:r>
        <w:t>, n.º 22).</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Año</w:t>
            </w:r>
          </w:p>
        </w:tc>
        <w:tc>
          <w:tcPr>
            <w:tcW w:type="dxa" w:w="3061"/>
            <w:shd w:val="clear" w:color="auto" w:fill="F1EEE8"/>
          </w:tcPr>
          <w:p>
            <w:pPr>
              <w:spacing w:after="20" w:line="264" w:lineRule="auto"/>
            </w:pPr>
            <w:r>
              <w:rPr>
                <w:b/>
              </w:rPr>
            </w:r>
            <w:r>
              <w:rPr>
                <w:rFonts w:ascii="Segoe UI" w:hAnsi="Segoe UI" w:eastAsia="Segoe UI" w:cs="Segoe UI"/>
                <w:b/>
                <w:color w:val="1F1D1A"/>
                <w:sz w:val="18"/>
              </w:rPr>
              <w:t>Precio del kilo de pan (euros)</w:t>
            </w:r>
          </w:p>
        </w:tc>
        <w:tc>
          <w:tcPr>
            <w:tcW w:type="dxa" w:w="3061"/>
            <w:shd w:val="clear" w:color="auto" w:fill="F1EEE8"/>
          </w:tcPr>
          <w:p>
            <w:pPr>
              <w:spacing w:after="20" w:line="264" w:lineRule="auto"/>
            </w:pPr>
            <w:r>
              <w:rPr>
                <w:b/>
              </w:rPr>
            </w:r>
            <w:r>
              <w:rPr>
                <w:rFonts w:ascii="Segoe UI" w:hAnsi="Segoe UI" w:eastAsia="Segoe UI" w:cs="Segoe UI"/>
                <w:b/>
                <w:color w:val="1F1D1A"/>
                <w:sz w:val="18"/>
              </w:rPr>
              <w:t>Barras de 250 g que compran 100 euros</w:t>
            </w:r>
          </w:p>
        </w:tc>
      </w:tr>
      <w:tr>
        <w:tc>
          <w:tcPr>
            <w:tcW w:type="dxa" w:w="3061"/>
          </w:tcPr>
          <w:p>
            <w:pPr>
              <w:spacing w:after="20" w:line="264" w:lineRule="auto"/>
            </w:pPr>
            <w:r/>
            <w:r>
              <w:rPr>
                <w:rFonts w:ascii="Segoe UI" w:hAnsi="Segoe UI" w:eastAsia="Segoe UI" w:cs="Segoe UI"/>
                <w:color w:val="1F1D1A"/>
                <w:sz w:val="18"/>
              </w:rPr>
              <w:t>1987</w:t>
            </w:r>
          </w:p>
        </w:tc>
        <w:tc>
          <w:tcPr>
            <w:tcW w:type="dxa" w:w="3061"/>
          </w:tcPr>
          <w:p>
            <w:pPr>
              <w:spacing w:after="20" w:line="264" w:lineRule="auto"/>
            </w:pPr>
            <w:r/>
            <w:r>
              <w:rPr>
                <w:rFonts w:ascii="Segoe UI" w:hAnsi="Segoe UI" w:eastAsia="Segoe UI" w:cs="Segoe UI"/>
                <w:color w:val="1F1D1A"/>
                <w:sz w:val="18"/>
              </w:rPr>
              <w:t>0,68</w:t>
            </w:r>
          </w:p>
        </w:tc>
        <w:tc>
          <w:tcPr>
            <w:tcW w:type="dxa" w:w="3061"/>
          </w:tcPr>
          <w:p>
            <w:pPr>
              <w:spacing w:after="20" w:line="264" w:lineRule="auto"/>
            </w:pPr>
            <w:r/>
            <w:r>
              <w:rPr>
                <w:rFonts w:ascii="Segoe UI" w:hAnsi="Segoe UI" w:eastAsia="Segoe UI" w:cs="Segoe UI"/>
                <w:color w:val="1F1D1A"/>
                <w:sz w:val="18"/>
              </w:rPr>
              <w:t>592</w:t>
            </w:r>
          </w:p>
        </w:tc>
      </w:tr>
      <w:tr>
        <w:tc>
          <w:tcPr>
            <w:tcW w:type="dxa" w:w="3061"/>
          </w:tcPr>
          <w:p>
            <w:pPr>
              <w:spacing w:after="20" w:line="264" w:lineRule="auto"/>
            </w:pPr>
            <w:r/>
            <w:r>
              <w:rPr>
                <w:rFonts w:ascii="Segoe UI" w:hAnsi="Segoe UI" w:eastAsia="Segoe UI" w:cs="Segoe UI"/>
                <w:color w:val="1F1D1A"/>
                <w:sz w:val="18"/>
              </w:rPr>
              <w:t>1999</w:t>
            </w:r>
          </w:p>
        </w:tc>
        <w:tc>
          <w:tcPr>
            <w:tcW w:type="dxa" w:w="3061"/>
          </w:tcPr>
          <w:p>
            <w:pPr>
              <w:spacing w:after="20" w:line="264" w:lineRule="auto"/>
            </w:pPr>
            <w:r/>
            <w:r>
              <w:rPr>
                <w:rFonts w:ascii="Segoe UI" w:hAnsi="Segoe UI" w:eastAsia="Segoe UI" w:cs="Segoe UI"/>
                <w:color w:val="1F1D1A"/>
                <w:sz w:val="18"/>
              </w:rPr>
              <w:t>1,51</w:t>
            </w:r>
          </w:p>
        </w:tc>
        <w:tc>
          <w:tcPr>
            <w:tcW w:type="dxa" w:w="3061"/>
          </w:tcPr>
          <w:p>
            <w:pPr>
              <w:spacing w:after="20" w:line="264" w:lineRule="auto"/>
            </w:pPr>
            <w:r/>
            <w:r>
              <w:rPr>
                <w:rFonts w:ascii="Segoe UI" w:hAnsi="Segoe UI" w:eastAsia="Segoe UI" w:cs="Segoe UI"/>
                <w:color w:val="1F1D1A"/>
                <w:sz w:val="18"/>
              </w:rPr>
              <w:t>265</w:t>
            </w:r>
          </w:p>
        </w:tc>
      </w:tr>
      <w:tr>
        <w:tc>
          <w:tcPr>
            <w:tcW w:type="dxa" w:w="3061"/>
          </w:tcPr>
          <w:p>
            <w:pPr>
              <w:spacing w:after="20" w:line="264" w:lineRule="auto"/>
            </w:pPr>
            <w:r/>
            <w:r>
              <w:rPr>
                <w:rFonts w:ascii="Segoe UI" w:hAnsi="Segoe UI" w:eastAsia="Segoe UI" w:cs="Segoe UI"/>
                <w:color w:val="1F1D1A"/>
                <w:sz w:val="18"/>
              </w:rPr>
              <w:t>2000</w:t>
            </w:r>
          </w:p>
        </w:tc>
        <w:tc>
          <w:tcPr>
            <w:tcW w:type="dxa" w:w="3061"/>
          </w:tcPr>
          <w:p>
            <w:pPr>
              <w:spacing w:after="20" w:line="264" w:lineRule="auto"/>
            </w:pPr>
            <w:r/>
            <w:r>
              <w:rPr>
                <w:rFonts w:ascii="Segoe UI" w:hAnsi="Segoe UI" w:eastAsia="Segoe UI" w:cs="Segoe UI"/>
                <w:color w:val="1F1D1A"/>
                <w:sz w:val="18"/>
              </w:rPr>
              <w:t>1,64</w:t>
            </w:r>
          </w:p>
        </w:tc>
        <w:tc>
          <w:tcPr>
            <w:tcW w:type="dxa" w:w="3061"/>
          </w:tcPr>
          <w:p>
            <w:pPr>
              <w:spacing w:after="20" w:line="264" w:lineRule="auto"/>
            </w:pPr>
            <w:r/>
            <w:r>
              <w:rPr>
                <w:rFonts w:ascii="Segoe UI" w:hAnsi="Segoe UI" w:eastAsia="Segoe UI" w:cs="Segoe UI"/>
                <w:color w:val="1F1D1A"/>
                <w:sz w:val="18"/>
              </w:rPr>
              <w:t>245</w:t>
            </w:r>
          </w:p>
        </w:tc>
      </w:tr>
      <w:tr>
        <w:tc>
          <w:tcPr>
            <w:tcW w:type="dxa" w:w="3061"/>
          </w:tcPr>
          <w:p>
            <w:pPr>
              <w:spacing w:after="20" w:line="264" w:lineRule="auto"/>
            </w:pPr>
            <w:r/>
            <w:r>
              <w:rPr>
                <w:rFonts w:ascii="Segoe UI" w:hAnsi="Segoe UI" w:eastAsia="Segoe UI" w:cs="Segoe UI"/>
                <w:color w:val="1F1D1A"/>
                <w:sz w:val="18"/>
              </w:rPr>
              <w:t>2001</w:t>
            </w:r>
          </w:p>
        </w:tc>
        <w:tc>
          <w:tcPr>
            <w:tcW w:type="dxa" w:w="3061"/>
          </w:tcPr>
          <w:p>
            <w:pPr>
              <w:spacing w:after="20" w:line="264" w:lineRule="auto"/>
            </w:pPr>
            <w:r/>
            <w:r>
              <w:rPr>
                <w:rFonts w:ascii="Segoe UI" w:hAnsi="Segoe UI" w:eastAsia="Segoe UI" w:cs="Segoe UI"/>
                <w:color w:val="1F1D1A"/>
                <w:sz w:val="18"/>
              </w:rPr>
              <w:t>1,71</w:t>
            </w:r>
          </w:p>
        </w:tc>
        <w:tc>
          <w:tcPr>
            <w:tcW w:type="dxa" w:w="3061"/>
          </w:tcPr>
          <w:p>
            <w:pPr>
              <w:spacing w:after="20" w:line="264" w:lineRule="auto"/>
            </w:pPr>
            <w:r/>
            <w:r>
              <w:rPr>
                <w:rFonts w:ascii="Segoe UI" w:hAnsi="Segoe UI" w:eastAsia="Segoe UI" w:cs="Segoe UI"/>
                <w:color w:val="1F1D1A"/>
                <w:sz w:val="18"/>
              </w:rPr>
              <w:t>234</w:t>
            </w:r>
          </w:p>
        </w:tc>
      </w:tr>
      <w:tr>
        <w:tc>
          <w:tcPr>
            <w:tcW w:type="dxa" w:w="3061"/>
          </w:tcPr>
          <w:p>
            <w:pPr>
              <w:spacing w:after="20" w:line="264" w:lineRule="auto"/>
            </w:pPr>
            <w:r/>
            <w:r>
              <w:rPr>
                <w:rFonts w:ascii="Segoe UI" w:hAnsi="Segoe UI" w:eastAsia="Segoe UI" w:cs="Segoe UI"/>
                <w:color w:val="1F1D1A"/>
                <w:sz w:val="18"/>
              </w:rPr>
              <w:t>2002</w:t>
            </w:r>
          </w:p>
        </w:tc>
        <w:tc>
          <w:tcPr>
            <w:tcW w:type="dxa" w:w="3061"/>
          </w:tcPr>
          <w:p>
            <w:pPr>
              <w:spacing w:after="20" w:line="264" w:lineRule="auto"/>
            </w:pPr>
            <w:r/>
            <w:r>
              <w:rPr>
                <w:rFonts w:ascii="Segoe UI" w:hAnsi="Segoe UI" w:eastAsia="Segoe UI" w:cs="Segoe UI"/>
                <w:color w:val="1F1D1A"/>
                <w:sz w:val="18"/>
              </w:rPr>
              <w:t>1,82</w:t>
            </w:r>
          </w:p>
        </w:tc>
        <w:tc>
          <w:tcPr>
            <w:tcW w:type="dxa" w:w="3061"/>
          </w:tcPr>
          <w:p>
            <w:pPr>
              <w:spacing w:after="20" w:line="264" w:lineRule="auto"/>
            </w:pPr>
            <w:r/>
            <w:r>
              <w:rPr>
                <w:rFonts w:ascii="Segoe UI" w:hAnsi="Segoe UI" w:eastAsia="Segoe UI" w:cs="Segoe UI"/>
                <w:color w:val="1F1D1A"/>
                <w:sz w:val="18"/>
              </w:rPr>
              <w:t>219</w:t>
            </w:r>
          </w:p>
        </w:tc>
      </w:tr>
      <w:tr>
        <w:tc>
          <w:tcPr>
            <w:tcW w:type="dxa" w:w="3061"/>
          </w:tcPr>
          <w:p>
            <w:pPr>
              <w:spacing w:after="20" w:line="264" w:lineRule="auto"/>
            </w:pPr>
            <w:r/>
            <w:r>
              <w:rPr>
                <w:rFonts w:ascii="Segoe UI" w:hAnsi="Segoe UI" w:eastAsia="Segoe UI" w:cs="Segoe UI"/>
                <w:color w:val="1F1D1A"/>
                <w:sz w:val="18"/>
              </w:rPr>
              <w:t>2003</w:t>
            </w:r>
          </w:p>
        </w:tc>
        <w:tc>
          <w:tcPr>
            <w:tcW w:type="dxa" w:w="3061"/>
          </w:tcPr>
          <w:p>
            <w:pPr>
              <w:spacing w:after="20" w:line="264" w:lineRule="auto"/>
            </w:pPr>
            <w:r/>
            <w:r>
              <w:rPr>
                <w:rFonts w:ascii="Segoe UI" w:hAnsi="Segoe UI" w:eastAsia="Segoe UI" w:cs="Segoe UI"/>
                <w:color w:val="1F1D1A"/>
                <w:sz w:val="18"/>
              </w:rPr>
              <w:t>1,85</w:t>
            </w:r>
          </w:p>
        </w:tc>
        <w:tc>
          <w:tcPr>
            <w:tcW w:type="dxa" w:w="3061"/>
          </w:tcPr>
          <w:p>
            <w:pPr>
              <w:spacing w:after="20" w:line="264" w:lineRule="auto"/>
            </w:pPr>
            <w:r/>
            <w:r>
              <w:rPr>
                <w:rFonts w:ascii="Segoe UI" w:hAnsi="Segoe UI" w:eastAsia="Segoe UI" w:cs="Segoe UI"/>
                <w:color w:val="1F1D1A"/>
                <w:sz w:val="18"/>
              </w:rPr>
              <w:t>216</w:t>
            </w:r>
          </w:p>
        </w:tc>
      </w:tr>
      <w:tr>
        <w:tc>
          <w:tcPr>
            <w:tcW w:type="dxa" w:w="3061"/>
          </w:tcPr>
          <w:p>
            <w:pPr>
              <w:spacing w:after="20" w:line="264" w:lineRule="auto"/>
            </w:pPr>
            <w:r/>
            <w:r>
              <w:rPr>
                <w:rFonts w:ascii="Segoe UI" w:hAnsi="Segoe UI" w:eastAsia="Segoe UI" w:cs="Segoe UI"/>
                <w:color w:val="1F1D1A"/>
                <w:sz w:val="18"/>
              </w:rPr>
              <w:t>2004</w:t>
            </w:r>
          </w:p>
        </w:tc>
        <w:tc>
          <w:tcPr>
            <w:tcW w:type="dxa" w:w="3061"/>
          </w:tcPr>
          <w:p>
            <w:pPr>
              <w:spacing w:after="20" w:line="264" w:lineRule="auto"/>
            </w:pPr>
            <w:r/>
            <w:r>
              <w:rPr>
                <w:rFonts w:ascii="Segoe UI" w:hAnsi="Segoe UI" w:eastAsia="Segoe UI" w:cs="Segoe UI"/>
                <w:color w:val="1F1D1A"/>
                <w:sz w:val="18"/>
              </w:rPr>
              <w:t>1,98</w:t>
            </w:r>
          </w:p>
        </w:tc>
        <w:tc>
          <w:tcPr>
            <w:tcW w:type="dxa" w:w="3061"/>
          </w:tcPr>
          <w:p>
            <w:pPr>
              <w:spacing w:after="20" w:line="264" w:lineRule="auto"/>
            </w:pPr>
            <w:r/>
            <w:r>
              <w:rPr>
                <w:rFonts w:ascii="Segoe UI" w:hAnsi="Segoe UI" w:eastAsia="Segoe UI" w:cs="Segoe UI"/>
                <w:color w:val="1F1D1A"/>
                <w:sz w:val="18"/>
              </w:rPr>
              <w:t>202</w:t>
            </w:r>
          </w:p>
        </w:tc>
      </w:tr>
      <w:tr>
        <w:tc>
          <w:tcPr>
            <w:tcW w:type="dxa" w:w="3061"/>
          </w:tcPr>
          <w:p>
            <w:pPr>
              <w:spacing w:after="20" w:line="264" w:lineRule="auto"/>
            </w:pPr>
            <w:r/>
            <w:r>
              <w:rPr>
                <w:rFonts w:ascii="Segoe UI" w:hAnsi="Segoe UI" w:eastAsia="Segoe UI" w:cs="Segoe UI"/>
                <w:color w:val="1F1D1A"/>
                <w:sz w:val="18"/>
              </w:rPr>
              <w:t>2005</w:t>
            </w:r>
          </w:p>
        </w:tc>
        <w:tc>
          <w:tcPr>
            <w:tcW w:type="dxa" w:w="3061"/>
          </w:tcPr>
          <w:p>
            <w:pPr>
              <w:spacing w:after="20" w:line="264" w:lineRule="auto"/>
            </w:pPr>
            <w:r/>
            <w:r>
              <w:rPr>
                <w:rFonts w:ascii="Segoe UI" w:hAnsi="Segoe UI" w:eastAsia="Segoe UI" w:cs="Segoe UI"/>
                <w:color w:val="1F1D1A"/>
                <w:sz w:val="18"/>
              </w:rPr>
              <w:t>2,01</w:t>
            </w:r>
          </w:p>
        </w:tc>
        <w:tc>
          <w:tcPr>
            <w:tcW w:type="dxa" w:w="3061"/>
          </w:tcPr>
          <w:p>
            <w:pPr>
              <w:spacing w:after="20" w:line="264" w:lineRule="auto"/>
            </w:pPr>
            <w:r/>
            <w:r>
              <w:rPr>
                <w:rFonts w:ascii="Segoe UI" w:hAnsi="Segoe UI" w:eastAsia="Segoe UI" w:cs="Segoe UI"/>
                <w:color w:val="1F1D1A"/>
                <w:sz w:val="18"/>
              </w:rPr>
              <w:t>199</w:t>
            </w:r>
          </w:p>
        </w:tc>
      </w:tr>
      <w:tr>
        <w:tc>
          <w:tcPr>
            <w:tcW w:type="dxa" w:w="3061"/>
          </w:tcPr>
          <w:p>
            <w:pPr>
              <w:spacing w:after="20" w:line="264" w:lineRule="auto"/>
            </w:pPr>
            <w:r/>
            <w:r>
              <w:rPr>
                <w:rFonts w:ascii="Segoe UI" w:hAnsi="Segoe UI" w:eastAsia="Segoe UI" w:cs="Segoe UI"/>
                <w:color w:val="1F1D1A"/>
                <w:sz w:val="18"/>
              </w:rPr>
              <w:t>2006</w:t>
            </w:r>
          </w:p>
        </w:tc>
        <w:tc>
          <w:tcPr>
            <w:tcW w:type="dxa" w:w="3061"/>
          </w:tcPr>
          <w:p>
            <w:pPr>
              <w:spacing w:after="20" w:line="264" w:lineRule="auto"/>
            </w:pPr>
            <w:r/>
            <w:r>
              <w:rPr>
                <w:rFonts w:ascii="Segoe UI" w:hAnsi="Segoe UI" w:eastAsia="Segoe UI" w:cs="Segoe UI"/>
                <w:color w:val="1F1D1A"/>
                <w:sz w:val="18"/>
              </w:rPr>
              <w:t>2,09</w:t>
            </w:r>
          </w:p>
        </w:tc>
        <w:tc>
          <w:tcPr>
            <w:tcW w:type="dxa" w:w="3061"/>
          </w:tcPr>
          <w:p>
            <w:pPr>
              <w:spacing w:after="20" w:line="264" w:lineRule="auto"/>
            </w:pPr>
            <w:r/>
            <w:r>
              <w:rPr>
                <w:rFonts w:ascii="Segoe UI" w:hAnsi="Segoe UI" w:eastAsia="Segoe UI" w:cs="Segoe UI"/>
                <w:color w:val="1F1D1A"/>
                <w:sz w:val="18"/>
              </w:rPr>
              <w:t>191</w:t>
            </w:r>
          </w:p>
        </w:tc>
      </w:tr>
      <w:tr>
        <w:tc>
          <w:tcPr>
            <w:tcW w:type="dxa" w:w="3061"/>
          </w:tcPr>
          <w:p>
            <w:pPr>
              <w:spacing w:after="20" w:line="264" w:lineRule="auto"/>
            </w:pPr>
            <w:r/>
            <w:r>
              <w:rPr>
                <w:rFonts w:ascii="Segoe UI" w:hAnsi="Segoe UI" w:eastAsia="Segoe UI" w:cs="Segoe UI"/>
                <w:color w:val="1F1D1A"/>
                <w:sz w:val="18"/>
              </w:rPr>
              <w:t>2007</w:t>
            </w:r>
          </w:p>
        </w:tc>
        <w:tc>
          <w:tcPr>
            <w:tcW w:type="dxa" w:w="3061"/>
          </w:tcPr>
          <w:p>
            <w:pPr>
              <w:spacing w:after="20" w:line="264" w:lineRule="auto"/>
            </w:pPr>
            <w:r/>
            <w:r>
              <w:rPr>
                <w:rFonts w:ascii="Segoe UI" w:hAnsi="Segoe UI" w:eastAsia="Segoe UI" w:cs="Segoe UI"/>
                <w:color w:val="1F1D1A"/>
                <w:sz w:val="18"/>
              </w:rPr>
              <w:t>2,16</w:t>
            </w:r>
          </w:p>
        </w:tc>
        <w:tc>
          <w:tcPr>
            <w:tcW w:type="dxa" w:w="3061"/>
          </w:tcPr>
          <w:p>
            <w:pPr>
              <w:spacing w:after="20" w:line="264" w:lineRule="auto"/>
            </w:pPr>
            <w:r/>
            <w:r>
              <w:rPr>
                <w:rFonts w:ascii="Segoe UI" w:hAnsi="Segoe UI" w:eastAsia="Segoe UI" w:cs="Segoe UI"/>
                <w:color w:val="1F1D1A"/>
                <w:sz w:val="18"/>
              </w:rPr>
              <w:t>186</w:t>
            </w:r>
          </w:p>
        </w:tc>
      </w:tr>
      <w:tr>
        <w:tc>
          <w:tcPr>
            <w:tcW w:type="dxa" w:w="3061"/>
          </w:tcPr>
          <w:p>
            <w:pPr>
              <w:spacing w:after="20" w:line="264" w:lineRule="auto"/>
            </w:pPr>
            <w:r/>
            <w:r>
              <w:rPr>
                <w:rFonts w:ascii="Segoe UI" w:hAnsi="Segoe UI" w:eastAsia="Segoe UI" w:cs="Segoe UI"/>
                <w:color w:val="1F1D1A"/>
                <w:sz w:val="18"/>
              </w:rPr>
              <w:t>2008</w:t>
            </w:r>
          </w:p>
        </w:tc>
        <w:tc>
          <w:tcPr>
            <w:tcW w:type="dxa" w:w="3061"/>
          </w:tcPr>
          <w:p>
            <w:pPr>
              <w:spacing w:after="20" w:line="264" w:lineRule="auto"/>
            </w:pPr>
            <w:r/>
            <w:r>
              <w:rPr>
                <w:rFonts w:ascii="Segoe UI" w:hAnsi="Segoe UI" w:eastAsia="Segoe UI" w:cs="Segoe UI"/>
                <w:color w:val="1F1D1A"/>
                <w:sz w:val="18"/>
              </w:rPr>
              <w:t>2,34</w:t>
            </w:r>
          </w:p>
        </w:tc>
        <w:tc>
          <w:tcPr>
            <w:tcW w:type="dxa" w:w="3061"/>
          </w:tcPr>
          <w:p>
            <w:pPr>
              <w:spacing w:after="20" w:line="264" w:lineRule="auto"/>
            </w:pPr>
            <w:r/>
            <w:r>
              <w:rPr>
                <w:rFonts w:ascii="Segoe UI" w:hAnsi="Segoe UI" w:eastAsia="Segoe UI" w:cs="Segoe UI"/>
                <w:color w:val="1F1D1A"/>
                <w:sz w:val="18"/>
              </w:rPr>
              <w:t>171</w:t>
            </w:r>
          </w:p>
        </w:tc>
      </w:tr>
      <w:tr>
        <w:tc>
          <w:tcPr>
            <w:tcW w:type="dxa" w:w="3061"/>
          </w:tcPr>
          <w:p>
            <w:pPr>
              <w:spacing w:after="20" w:line="264" w:lineRule="auto"/>
            </w:pPr>
            <w:r/>
            <w:r>
              <w:rPr>
                <w:rFonts w:ascii="Segoe UI" w:hAnsi="Segoe UI" w:eastAsia="Segoe UI" w:cs="Segoe UI"/>
                <w:color w:val="1F1D1A"/>
                <w:sz w:val="18"/>
              </w:rPr>
              <w:t>2009</w:t>
            </w:r>
          </w:p>
        </w:tc>
        <w:tc>
          <w:tcPr>
            <w:tcW w:type="dxa" w:w="3061"/>
          </w:tcPr>
          <w:p>
            <w:pPr>
              <w:spacing w:after="20" w:line="264" w:lineRule="auto"/>
            </w:pPr>
            <w:r/>
            <w:r>
              <w:rPr>
                <w:rFonts w:ascii="Segoe UI" w:hAnsi="Segoe UI" w:eastAsia="Segoe UI" w:cs="Segoe UI"/>
                <w:color w:val="1F1D1A"/>
                <w:sz w:val="18"/>
              </w:rPr>
              <w:t>2,40</w:t>
            </w:r>
          </w:p>
        </w:tc>
        <w:tc>
          <w:tcPr>
            <w:tcW w:type="dxa" w:w="3061"/>
          </w:tcPr>
          <w:p>
            <w:pPr>
              <w:spacing w:after="20" w:line="264" w:lineRule="auto"/>
            </w:pPr>
            <w:r/>
            <w:r>
              <w:rPr>
                <w:rFonts w:ascii="Segoe UI" w:hAnsi="Segoe UI" w:eastAsia="Segoe UI" w:cs="Segoe UI"/>
                <w:color w:val="1F1D1A"/>
                <w:sz w:val="18"/>
              </w:rPr>
              <w:t>167</w:t>
            </w:r>
          </w:p>
        </w:tc>
      </w:tr>
      <w:tr>
        <w:tc>
          <w:tcPr>
            <w:tcW w:type="dxa" w:w="3061"/>
          </w:tcPr>
          <w:p>
            <w:pPr>
              <w:spacing w:after="20" w:line="264" w:lineRule="auto"/>
            </w:pPr>
            <w:r/>
            <w:r>
              <w:rPr>
                <w:rFonts w:ascii="Segoe UI" w:hAnsi="Segoe UI" w:eastAsia="Segoe UI" w:cs="Segoe UI"/>
                <w:color w:val="1F1D1A"/>
                <w:sz w:val="18"/>
              </w:rPr>
              <w:t>2010</w:t>
            </w:r>
          </w:p>
        </w:tc>
        <w:tc>
          <w:tcPr>
            <w:tcW w:type="dxa" w:w="3061"/>
          </w:tcPr>
          <w:p>
            <w:pPr>
              <w:spacing w:after="20" w:line="264" w:lineRule="auto"/>
            </w:pPr>
            <w:r/>
            <w:r>
              <w:rPr>
                <w:rFonts w:ascii="Segoe UI" w:hAnsi="Segoe UI" w:eastAsia="Segoe UI" w:cs="Segoe UI"/>
                <w:color w:val="1F1D1A"/>
                <w:sz w:val="18"/>
              </w:rPr>
              <w:t>2,34</w:t>
            </w:r>
          </w:p>
        </w:tc>
        <w:tc>
          <w:tcPr>
            <w:tcW w:type="dxa" w:w="3061"/>
          </w:tcPr>
          <w:p>
            <w:pPr>
              <w:spacing w:after="20" w:line="264" w:lineRule="auto"/>
            </w:pPr>
            <w:r/>
            <w:r>
              <w:rPr>
                <w:rFonts w:ascii="Segoe UI" w:hAnsi="Segoe UI" w:eastAsia="Segoe UI" w:cs="Segoe UI"/>
                <w:color w:val="1F1D1A"/>
                <w:sz w:val="18"/>
              </w:rPr>
              <w:t>171</w:t>
            </w:r>
          </w:p>
        </w:tc>
      </w:tr>
      <w:tr>
        <w:tc>
          <w:tcPr>
            <w:tcW w:type="dxa" w:w="3061"/>
          </w:tcPr>
          <w:p>
            <w:pPr>
              <w:spacing w:after="20" w:line="264" w:lineRule="auto"/>
            </w:pPr>
            <w:r/>
            <w:r>
              <w:rPr>
                <w:rFonts w:ascii="Segoe UI" w:hAnsi="Segoe UI" w:eastAsia="Segoe UI" w:cs="Segoe UI"/>
                <w:color w:val="1F1D1A"/>
                <w:sz w:val="18"/>
              </w:rPr>
              <w:t>2011</w:t>
            </w:r>
          </w:p>
        </w:tc>
        <w:tc>
          <w:tcPr>
            <w:tcW w:type="dxa" w:w="3061"/>
          </w:tcPr>
          <w:p>
            <w:pPr>
              <w:spacing w:after="20" w:line="264" w:lineRule="auto"/>
            </w:pPr>
            <w:r/>
            <w:r>
              <w:rPr>
                <w:rFonts w:ascii="Segoe UI" w:hAnsi="Segoe UI" w:eastAsia="Segoe UI" w:cs="Segoe UI"/>
                <w:color w:val="1F1D1A"/>
                <w:sz w:val="18"/>
              </w:rPr>
              <w:t>2,40</w:t>
            </w:r>
          </w:p>
        </w:tc>
        <w:tc>
          <w:tcPr>
            <w:tcW w:type="dxa" w:w="3061"/>
          </w:tcPr>
          <w:p>
            <w:pPr>
              <w:spacing w:after="20" w:line="264" w:lineRule="auto"/>
            </w:pPr>
            <w:r/>
            <w:r>
              <w:rPr>
                <w:rFonts w:ascii="Segoe UI" w:hAnsi="Segoe UI" w:eastAsia="Segoe UI" w:cs="Segoe UI"/>
                <w:color w:val="1F1D1A"/>
                <w:sz w:val="18"/>
              </w:rPr>
              <w:t>167</w:t>
            </w:r>
          </w:p>
        </w:tc>
      </w:tr>
      <w:tr>
        <w:tc>
          <w:tcPr>
            <w:tcW w:type="dxa" w:w="3061"/>
          </w:tcPr>
          <w:p>
            <w:pPr>
              <w:spacing w:after="20" w:line="264" w:lineRule="auto"/>
            </w:pPr>
            <w:r/>
            <w:r>
              <w:rPr>
                <w:rFonts w:ascii="Segoe UI" w:hAnsi="Segoe UI" w:eastAsia="Segoe UI" w:cs="Segoe UI"/>
                <w:color w:val="1F1D1A"/>
                <w:sz w:val="18"/>
              </w:rPr>
              <w:t>2012</w:t>
            </w:r>
          </w:p>
        </w:tc>
        <w:tc>
          <w:tcPr>
            <w:tcW w:type="dxa" w:w="3061"/>
          </w:tcPr>
          <w:p>
            <w:pPr>
              <w:spacing w:after="20" w:line="264" w:lineRule="auto"/>
            </w:pPr>
            <w:r/>
            <w:r>
              <w:rPr>
                <w:rFonts w:ascii="Segoe UI" w:hAnsi="Segoe UI" w:eastAsia="Segoe UI" w:cs="Segoe UI"/>
                <w:color w:val="1F1D1A"/>
                <w:sz w:val="18"/>
              </w:rPr>
              <w:t>2,35</w:t>
            </w:r>
          </w:p>
        </w:tc>
        <w:tc>
          <w:tcPr>
            <w:tcW w:type="dxa" w:w="3061"/>
          </w:tcPr>
          <w:p>
            <w:pPr>
              <w:spacing w:after="20" w:line="264" w:lineRule="auto"/>
            </w:pPr>
            <w:r/>
            <w:r>
              <w:rPr>
                <w:rFonts w:ascii="Segoe UI" w:hAnsi="Segoe UI" w:eastAsia="Segoe UI" w:cs="Segoe UI"/>
                <w:color w:val="1F1D1A"/>
                <w:sz w:val="18"/>
              </w:rPr>
              <w:t>170</w:t>
            </w:r>
          </w:p>
        </w:tc>
      </w:tr>
      <w:tr>
        <w:tc>
          <w:tcPr>
            <w:tcW w:type="dxa" w:w="3061"/>
          </w:tcPr>
          <w:p>
            <w:pPr>
              <w:spacing w:after="20" w:line="264" w:lineRule="auto"/>
            </w:pPr>
            <w:r/>
            <w:r>
              <w:rPr>
                <w:rFonts w:ascii="Segoe UI" w:hAnsi="Segoe UI" w:eastAsia="Segoe UI" w:cs="Segoe UI"/>
                <w:color w:val="1F1D1A"/>
                <w:sz w:val="18"/>
              </w:rPr>
              <w:t>2013</w:t>
            </w:r>
          </w:p>
        </w:tc>
        <w:tc>
          <w:tcPr>
            <w:tcW w:type="dxa" w:w="3061"/>
          </w:tcPr>
          <w:p>
            <w:pPr>
              <w:spacing w:after="20" w:line="264" w:lineRule="auto"/>
            </w:pPr>
            <w:r/>
            <w:r>
              <w:rPr>
                <w:rFonts w:ascii="Segoe UI" w:hAnsi="Segoe UI" w:eastAsia="Segoe UI" w:cs="Segoe UI"/>
                <w:color w:val="1F1D1A"/>
                <w:sz w:val="18"/>
              </w:rPr>
              <w:t>2,33</w:t>
            </w:r>
          </w:p>
        </w:tc>
        <w:tc>
          <w:tcPr>
            <w:tcW w:type="dxa" w:w="3061"/>
          </w:tcPr>
          <w:p>
            <w:pPr>
              <w:spacing w:after="20" w:line="264" w:lineRule="auto"/>
            </w:pPr>
            <w:r/>
            <w:r>
              <w:rPr>
                <w:rFonts w:ascii="Segoe UI" w:hAnsi="Segoe UI" w:eastAsia="Segoe UI" w:cs="Segoe UI"/>
                <w:color w:val="1F1D1A"/>
                <w:sz w:val="18"/>
              </w:rPr>
              <w:t>172</w:t>
            </w:r>
          </w:p>
        </w:tc>
      </w:tr>
      <w:tr>
        <w:tc>
          <w:tcPr>
            <w:tcW w:type="dxa" w:w="3061"/>
          </w:tcPr>
          <w:p>
            <w:pPr>
              <w:spacing w:after="20" w:line="264" w:lineRule="auto"/>
            </w:pPr>
            <w:r/>
            <w:r>
              <w:rPr>
                <w:rFonts w:ascii="Segoe UI" w:hAnsi="Segoe UI" w:eastAsia="Segoe UI" w:cs="Segoe UI"/>
                <w:color w:val="1F1D1A"/>
                <w:sz w:val="18"/>
              </w:rPr>
              <w:t>2014</w:t>
            </w:r>
          </w:p>
        </w:tc>
        <w:tc>
          <w:tcPr>
            <w:tcW w:type="dxa" w:w="3061"/>
          </w:tcPr>
          <w:p>
            <w:pPr>
              <w:spacing w:after="20" w:line="264" w:lineRule="auto"/>
            </w:pPr>
            <w:r/>
            <w:r>
              <w:rPr>
                <w:rFonts w:ascii="Segoe UI" w:hAnsi="Segoe UI" w:eastAsia="Segoe UI" w:cs="Segoe UI"/>
                <w:color w:val="1F1D1A"/>
                <w:sz w:val="18"/>
              </w:rPr>
              <w:t>2,37</w:t>
            </w:r>
          </w:p>
        </w:tc>
        <w:tc>
          <w:tcPr>
            <w:tcW w:type="dxa" w:w="3061"/>
          </w:tcPr>
          <w:p>
            <w:pPr>
              <w:spacing w:after="20" w:line="264" w:lineRule="auto"/>
            </w:pPr>
            <w:r/>
            <w:r>
              <w:rPr>
                <w:rFonts w:ascii="Segoe UI" w:hAnsi="Segoe UI" w:eastAsia="Segoe UI" w:cs="Segoe UI"/>
                <w:color w:val="1F1D1A"/>
                <w:sz w:val="18"/>
              </w:rPr>
              <w:t>169</w:t>
            </w:r>
          </w:p>
        </w:tc>
      </w:tr>
      <w:tr>
        <w:tc>
          <w:tcPr>
            <w:tcW w:type="dxa" w:w="3061"/>
          </w:tcPr>
          <w:p>
            <w:pPr>
              <w:spacing w:after="20" w:line="264" w:lineRule="auto"/>
            </w:pPr>
            <w:r/>
            <w:r>
              <w:rPr>
                <w:rFonts w:ascii="Segoe UI" w:hAnsi="Segoe UI" w:eastAsia="Segoe UI" w:cs="Segoe UI"/>
                <w:color w:val="1F1D1A"/>
                <w:sz w:val="18"/>
              </w:rPr>
              <w:t>2015</w:t>
            </w:r>
          </w:p>
        </w:tc>
        <w:tc>
          <w:tcPr>
            <w:tcW w:type="dxa" w:w="3061"/>
          </w:tcPr>
          <w:p>
            <w:pPr>
              <w:spacing w:after="20" w:line="264" w:lineRule="auto"/>
            </w:pPr>
            <w:r/>
            <w:r>
              <w:rPr>
                <w:rFonts w:ascii="Segoe UI" w:hAnsi="Segoe UI" w:eastAsia="Segoe UI" w:cs="Segoe UI"/>
                <w:color w:val="1F1D1A"/>
                <w:sz w:val="18"/>
              </w:rPr>
              <w:t>2,41</w:t>
            </w:r>
          </w:p>
        </w:tc>
        <w:tc>
          <w:tcPr>
            <w:tcW w:type="dxa" w:w="3061"/>
          </w:tcPr>
          <w:p>
            <w:pPr>
              <w:spacing w:after="20" w:line="264" w:lineRule="auto"/>
            </w:pPr>
            <w:r/>
            <w:r>
              <w:rPr>
                <w:rFonts w:ascii="Segoe UI" w:hAnsi="Segoe UI" w:eastAsia="Segoe UI" w:cs="Segoe UI"/>
                <w:color w:val="1F1D1A"/>
                <w:sz w:val="18"/>
              </w:rPr>
              <w:t>166</w:t>
            </w:r>
          </w:p>
        </w:tc>
      </w:tr>
      <w:tr>
        <w:tc>
          <w:tcPr>
            <w:tcW w:type="dxa" w:w="3061"/>
          </w:tcPr>
          <w:p>
            <w:pPr>
              <w:spacing w:after="20" w:line="264" w:lineRule="auto"/>
            </w:pPr>
            <w:r/>
            <w:r>
              <w:rPr>
                <w:rFonts w:ascii="Segoe UI" w:hAnsi="Segoe UI" w:eastAsia="Segoe UI" w:cs="Segoe UI"/>
                <w:color w:val="1F1D1A"/>
                <w:sz w:val="18"/>
              </w:rPr>
              <w:t>2016</w:t>
            </w:r>
          </w:p>
        </w:tc>
        <w:tc>
          <w:tcPr>
            <w:tcW w:type="dxa" w:w="3061"/>
          </w:tcPr>
          <w:p>
            <w:pPr>
              <w:spacing w:after="20" w:line="264" w:lineRule="auto"/>
            </w:pPr>
            <w:r/>
            <w:r>
              <w:rPr>
                <w:rFonts w:ascii="Segoe UI" w:hAnsi="Segoe UI" w:eastAsia="Segoe UI" w:cs="Segoe UI"/>
                <w:color w:val="1F1D1A"/>
                <w:sz w:val="18"/>
              </w:rPr>
              <w:t>2,42</w:t>
            </w:r>
          </w:p>
        </w:tc>
        <w:tc>
          <w:tcPr>
            <w:tcW w:type="dxa" w:w="3061"/>
          </w:tcPr>
          <w:p>
            <w:pPr>
              <w:spacing w:after="20" w:line="264" w:lineRule="auto"/>
            </w:pPr>
            <w:r/>
            <w:r>
              <w:rPr>
                <w:rFonts w:ascii="Segoe UI" w:hAnsi="Segoe UI" w:eastAsia="Segoe UI" w:cs="Segoe UI"/>
                <w:color w:val="1F1D1A"/>
                <w:sz w:val="18"/>
              </w:rPr>
              <w:t>165</w:t>
            </w:r>
          </w:p>
        </w:tc>
      </w:tr>
      <w:tr>
        <w:tc>
          <w:tcPr>
            <w:tcW w:type="dxa" w:w="3061"/>
          </w:tcPr>
          <w:p>
            <w:pPr>
              <w:spacing w:after="20" w:line="264" w:lineRule="auto"/>
            </w:pPr>
            <w:r/>
            <w:r>
              <w:rPr>
                <w:rFonts w:ascii="Segoe UI" w:hAnsi="Segoe UI" w:eastAsia="Segoe UI" w:cs="Segoe UI"/>
                <w:color w:val="1F1D1A"/>
                <w:sz w:val="18"/>
              </w:rPr>
              <w:t>2017</w:t>
            </w:r>
          </w:p>
        </w:tc>
        <w:tc>
          <w:tcPr>
            <w:tcW w:type="dxa" w:w="3061"/>
          </w:tcPr>
          <w:p>
            <w:pPr>
              <w:spacing w:after="20" w:line="264" w:lineRule="auto"/>
            </w:pPr>
            <w:r/>
            <w:r>
              <w:rPr>
                <w:rFonts w:ascii="Segoe UI" w:hAnsi="Segoe UI" w:eastAsia="Segoe UI" w:cs="Segoe UI"/>
                <w:color w:val="1F1D1A"/>
                <w:sz w:val="18"/>
              </w:rPr>
              <w:t>2,40</w:t>
            </w:r>
          </w:p>
        </w:tc>
        <w:tc>
          <w:tcPr>
            <w:tcW w:type="dxa" w:w="3061"/>
          </w:tcPr>
          <w:p>
            <w:pPr>
              <w:spacing w:after="20" w:line="264" w:lineRule="auto"/>
            </w:pPr>
            <w:r/>
            <w:r>
              <w:rPr>
                <w:rFonts w:ascii="Segoe UI" w:hAnsi="Segoe UI" w:eastAsia="Segoe UI" w:cs="Segoe UI"/>
                <w:color w:val="1F1D1A"/>
                <w:sz w:val="18"/>
              </w:rPr>
              <w:t>167</w:t>
            </w:r>
          </w:p>
        </w:tc>
      </w:tr>
      <w:tr>
        <w:tc>
          <w:tcPr>
            <w:tcW w:type="dxa" w:w="3061"/>
          </w:tcPr>
          <w:p>
            <w:pPr>
              <w:spacing w:after="20" w:line="264" w:lineRule="auto"/>
            </w:pPr>
            <w:r/>
            <w:r>
              <w:rPr>
                <w:rFonts w:ascii="Segoe UI" w:hAnsi="Segoe UI" w:eastAsia="Segoe UI" w:cs="Segoe UI"/>
                <w:color w:val="1F1D1A"/>
                <w:sz w:val="18"/>
              </w:rPr>
              <w:t>2018</w:t>
            </w:r>
          </w:p>
        </w:tc>
        <w:tc>
          <w:tcPr>
            <w:tcW w:type="dxa" w:w="3061"/>
          </w:tcPr>
          <w:p>
            <w:pPr>
              <w:spacing w:after="20" w:line="264" w:lineRule="auto"/>
            </w:pPr>
            <w:r/>
            <w:r>
              <w:rPr>
                <w:rFonts w:ascii="Segoe UI" w:hAnsi="Segoe UI" w:eastAsia="Segoe UI" w:cs="Segoe UI"/>
                <w:color w:val="1F1D1A"/>
                <w:sz w:val="18"/>
              </w:rPr>
              <w:t>2,40</w:t>
            </w:r>
          </w:p>
        </w:tc>
        <w:tc>
          <w:tcPr>
            <w:tcW w:type="dxa" w:w="3061"/>
          </w:tcPr>
          <w:p>
            <w:pPr>
              <w:spacing w:after="20" w:line="264" w:lineRule="auto"/>
            </w:pPr>
            <w:r/>
            <w:r>
              <w:rPr>
                <w:rFonts w:ascii="Segoe UI" w:hAnsi="Segoe UI" w:eastAsia="Segoe UI" w:cs="Segoe UI"/>
                <w:color w:val="1F1D1A"/>
                <w:sz w:val="18"/>
              </w:rPr>
              <w:t>167</w:t>
            </w:r>
          </w:p>
        </w:tc>
      </w:tr>
      <w:tr>
        <w:tc>
          <w:tcPr>
            <w:tcW w:type="dxa" w:w="3061"/>
          </w:tcPr>
          <w:p>
            <w:pPr>
              <w:spacing w:after="20" w:line="264" w:lineRule="auto"/>
            </w:pPr>
            <w:r/>
            <w:r>
              <w:rPr>
                <w:rFonts w:ascii="Segoe UI" w:hAnsi="Segoe UI" w:eastAsia="Segoe UI" w:cs="Segoe UI"/>
                <w:color w:val="1F1D1A"/>
                <w:sz w:val="18"/>
              </w:rPr>
              <w:t>2019</w:t>
            </w:r>
          </w:p>
        </w:tc>
        <w:tc>
          <w:tcPr>
            <w:tcW w:type="dxa" w:w="3061"/>
          </w:tcPr>
          <w:p>
            <w:pPr>
              <w:spacing w:after="20" w:line="264" w:lineRule="auto"/>
            </w:pPr>
            <w:r/>
            <w:r>
              <w:rPr>
                <w:rFonts w:ascii="Segoe UI" w:hAnsi="Segoe UI" w:eastAsia="Segoe UI" w:cs="Segoe UI"/>
                <w:color w:val="1F1D1A"/>
                <w:sz w:val="18"/>
              </w:rPr>
              <w:t>2,43</w:t>
            </w:r>
          </w:p>
        </w:tc>
        <w:tc>
          <w:tcPr>
            <w:tcW w:type="dxa" w:w="3061"/>
          </w:tcPr>
          <w:p>
            <w:pPr>
              <w:spacing w:after="20" w:line="264" w:lineRule="auto"/>
            </w:pPr>
            <w:r/>
            <w:r>
              <w:rPr>
                <w:rFonts w:ascii="Segoe UI" w:hAnsi="Segoe UI" w:eastAsia="Segoe UI" w:cs="Segoe UI"/>
                <w:color w:val="1F1D1A"/>
                <w:sz w:val="18"/>
              </w:rPr>
              <w:t>164</w:t>
            </w:r>
          </w:p>
        </w:tc>
      </w:tr>
      <w:tr>
        <w:tc>
          <w:tcPr>
            <w:tcW w:type="dxa" w:w="3061"/>
          </w:tcPr>
          <w:p>
            <w:pPr>
              <w:spacing w:after="20" w:line="264" w:lineRule="auto"/>
            </w:pPr>
            <w:r/>
            <w:r>
              <w:rPr>
                <w:rFonts w:ascii="Segoe UI" w:hAnsi="Segoe UI" w:eastAsia="Segoe UI" w:cs="Segoe UI"/>
                <w:color w:val="1F1D1A"/>
                <w:sz w:val="18"/>
              </w:rPr>
              <w:t>2020</w:t>
            </w:r>
          </w:p>
        </w:tc>
        <w:tc>
          <w:tcPr>
            <w:tcW w:type="dxa" w:w="3061"/>
          </w:tcPr>
          <w:p>
            <w:pPr>
              <w:spacing w:after="20" w:line="264" w:lineRule="auto"/>
            </w:pPr>
            <w:r/>
            <w:r>
              <w:rPr>
                <w:rFonts w:ascii="Segoe UI" w:hAnsi="Segoe UI" w:eastAsia="Segoe UI" w:cs="Segoe UI"/>
                <w:color w:val="1F1D1A"/>
                <w:sz w:val="18"/>
              </w:rPr>
              <w:t>2,38</w:t>
            </w:r>
          </w:p>
        </w:tc>
        <w:tc>
          <w:tcPr>
            <w:tcW w:type="dxa" w:w="3061"/>
          </w:tcPr>
          <w:p>
            <w:pPr>
              <w:spacing w:after="20" w:line="264" w:lineRule="auto"/>
            </w:pPr>
            <w:r/>
            <w:r>
              <w:rPr>
                <w:rFonts w:ascii="Segoe UI" w:hAnsi="Segoe UI" w:eastAsia="Segoe UI" w:cs="Segoe UI"/>
                <w:color w:val="1F1D1A"/>
                <w:sz w:val="18"/>
              </w:rPr>
              <w:t>168</w:t>
            </w:r>
          </w:p>
        </w:tc>
      </w:tr>
      <w:tr>
        <w:tc>
          <w:tcPr>
            <w:tcW w:type="dxa" w:w="3061"/>
          </w:tcPr>
          <w:p>
            <w:pPr>
              <w:spacing w:after="20" w:line="264" w:lineRule="auto"/>
            </w:pPr>
            <w:r/>
            <w:r>
              <w:rPr>
                <w:rFonts w:ascii="Segoe UI" w:hAnsi="Segoe UI" w:eastAsia="Segoe UI" w:cs="Segoe UI"/>
                <w:color w:val="1F1D1A"/>
                <w:sz w:val="18"/>
              </w:rPr>
              <w:t>2021</w:t>
            </w:r>
          </w:p>
        </w:tc>
        <w:tc>
          <w:tcPr>
            <w:tcW w:type="dxa" w:w="3061"/>
          </w:tcPr>
          <w:p>
            <w:pPr>
              <w:spacing w:after="20" w:line="264" w:lineRule="auto"/>
            </w:pPr>
            <w:r/>
            <w:r>
              <w:rPr>
                <w:rFonts w:ascii="Segoe UI" w:hAnsi="Segoe UI" w:eastAsia="Segoe UI" w:cs="Segoe UI"/>
                <w:color w:val="1F1D1A"/>
                <w:sz w:val="18"/>
              </w:rPr>
              <w:t>2,36</w:t>
            </w:r>
          </w:p>
        </w:tc>
        <w:tc>
          <w:tcPr>
            <w:tcW w:type="dxa" w:w="3061"/>
          </w:tcPr>
          <w:p>
            <w:pPr>
              <w:spacing w:after="20" w:line="264" w:lineRule="auto"/>
            </w:pPr>
            <w:r/>
            <w:r>
              <w:rPr>
                <w:rFonts w:ascii="Segoe UI" w:hAnsi="Segoe UI" w:eastAsia="Segoe UI" w:cs="Segoe UI"/>
                <w:color w:val="1F1D1A"/>
                <w:sz w:val="18"/>
              </w:rPr>
              <w:t>169</w:t>
            </w:r>
          </w:p>
        </w:tc>
      </w:tr>
      <w:tr>
        <w:tc>
          <w:tcPr>
            <w:tcW w:type="dxa" w:w="3061"/>
          </w:tcPr>
          <w:p>
            <w:pPr>
              <w:spacing w:after="20" w:line="264" w:lineRule="auto"/>
            </w:pPr>
            <w:r/>
            <w:r>
              <w:rPr>
                <w:rFonts w:ascii="Segoe UI" w:hAnsi="Segoe UI" w:eastAsia="Segoe UI" w:cs="Segoe UI"/>
                <w:color w:val="1F1D1A"/>
                <w:sz w:val="18"/>
              </w:rPr>
              <w:t>2022</w:t>
            </w:r>
          </w:p>
        </w:tc>
        <w:tc>
          <w:tcPr>
            <w:tcW w:type="dxa" w:w="3061"/>
          </w:tcPr>
          <w:p>
            <w:pPr>
              <w:spacing w:after="20" w:line="264" w:lineRule="auto"/>
            </w:pPr>
            <w:r/>
            <w:r>
              <w:rPr>
                <w:rFonts w:ascii="Segoe UI" w:hAnsi="Segoe UI" w:eastAsia="Segoe UI" w:cs="Segoe UI"/>
                <w:color w:val="1F1D1A"/>
                <w:sz w:val="18"/>
              </w:rPr>
              <w:t>2,52</w:t>
            </w:r>
          </w:p>
        </w:tc>
        <w:tc>
          <w:tcPr>
            <w:tcW w:type="dxa" w:w="3061"/>
          </w:tcPr>
          <w:p>
            <w:pPr>
              <w:spacing w:after="20" w:line="264" w:lineRule="auto"/>
            </w:pPr>
            <w:r/>
            <w:r>
              <w:rPr>
                <w:rFonts w:ascii="Segoe UI" w:hAnsi="Segoe UI" w:eastAsia="Segoe UI" w:cs="Segoe UI"/>
                <w:color w:val="1F1D1A"/>
                <w:sz w:val="18"/>
              </w:rPr>
              <w:t>159</w:t>
            </w:r>
          </w:p>
        </w:tc>
      </w:tr>
      <w:tr>
        <w:tc>
          <w:tcPr>
            <w:tcW w:type="dxa" w:w="3061"/>
          </w:tcPr>
          <w:p>
            <w:pPr>
              <w:spacing w:after="20" w:line="264" w:lineRule="auto"/>
            </w:pPr>
            <w:r/>
            <w:r>
              <w:rPr>
                <w:rFonts w:ascii="Segoe UI" w:hAnsi="Segoe UI" w:eastAsia="Segoe UI" w:cs="Segoe UI"/>
                <w:color w:val="1F1D1A"/>
                <w:sz w:val="18"/>
              </w:rPr>
              <w:t>2023</w:t>
            </w:r>
          </w:p>
        </w:tc>
        <w:tc>
          <w:tcPr>
            <w:tcW w:type="dxa" w:w="3061"/>
          </w:tcPr>
          <w:p>
            <w:pPr>
              <w:spacing w:after="20" w:line="264" w:lineRule="auto"/>
            </w:pPr>
            <w:r/>
            <w:r>
              <w:rPr>
                <w:rFonts w:ascii="Segoe UI" w:hAnsi="Segoe UI" w:eastAsia="Segoe UI" w:cs="Segoe UI"/>
                <w:color w:val="1F1D1A"/>
                <w:sz w:val="18"/>
              </w:rPr>
              <w:t>2,64</w:t>
            </w:r>
          </w:p>
        </w:tc>
        <w:tc>
          <w:tcPr>
            <w:tcW w:type="dxa" w:w="3061"/>
          </w:tcPr>
          <w:p>
            <w:pPr>
              <w:spacing w:after="20" w:line="264" w:lineRule="auto"/>
            </w:pPr>
            <w:r/>
            <w:r>
              <w:rPr>
                <w:rFonts w:ascii="Segoe UI" w:hAnsi="Segoe UI" w:eastAsia="Segoe UI" w:cs="Segoe UI"/>
                <w:color w:val="1F1D1A"/>
                <w:sz w:val="18"/>
              </w:rPr>
              <w:t>152</w:t>
            </w:r>
          </w:p>
        </w:tc>
      </w:tr>
      <w:tr>
        <w:tc>
          <w:tcPr>
            <w:tcW w:type="dxa" w:w="3061"/>
          </w:tcPr>
          <w:p>
            <w:pPr>
              <w:spacing w:after="20" w:line="264" w:lineRule="auto"/>
            </w:pPr>
            <w:r/>
            <w:r>
              <w:rPr>
                <w:rFonts w:ascii="Segoe UI" w:hAnsi="Segoe UI" w:eastAsia="Segoe UI" w:cs="Segoe UI"/>
                <w:color w:val="1F1D1A"/>
                <w:sz w:val="18"/>
              </w:rPr>
              <w:t>2024</w:t>
            </w:r>
          </w:p>
        </w:tc>
        <w:tc>
          <w:tcPr>
            <w:tcW w:type="dxa" w:w="3061"/>
          </w:tcPr>
          <w:p>
            <w:pPr>
              <w:spacing w:after="20" w:line="264" w:lineRule="auto"/>
            </w:pPr>
            <w:r/>
            <w:r>
              <w:rPr>
                <w:rFonts w:ascii="Segoe UI" w:hAnsi="Segoe UI" w:eastAsia="Segoe UI" w:cs="Segoe UI"/>
                <w:color w:val="1F1D1A"/>
                <w:sz w:val="18"/>
              </w:rPr>
              <w:t>2,62</w:t>
            </w:r>
          </w:p>
        </w:tc>
        <w:tc>
          <w:tcPr>
            <w:tcW w:type="dxa" w:w="3061"/>
          </w:tcPr>
          <w:p>
            <w:pPr>
              <w:spacing w:after="20" w:line="264" w:lineRule="auto"/>
            </w:pPr>
            <w:r/>
            <w:r>
              <w:rPr>
                <w:rFonts w:ascii="Segoe UI" w:hAnsi="Segoe UI" w:eastAsia="Segoe UI" w:cs="Segoe UI"/>
                <w:color w:val="1F1D1A"/>
                <w:sz w:val="18"/>
              </w:rPr>
              <w:t>152</w:t>
            </w:r>
          </w:p>
        </w:tc>
      </w:tr>
      <w:tr>
        <w:tc>
          <w:tcPr>
            <w:tcW w:type="dxa" w:w="3061"/>
          </w:tcPr>
          <w:p>
            <w:pPr>
              <w:spacing w:after="20" w:line="264" w:lineRule="auto"/>
            </w:pPr>
            <w:r/>
            <w:r>
              <w:rPr>
                <w:rFonts w:ascii="Segoe UI" w:hAnsi="Segoe UI" w:eastAsia="Segoe UI" w:cs="Segoe UI"/>
                <w:color w:val="1F1D1A"/>
                <w:sz w:val="18"/>
              </w:rPr>
              <w:t>2025</w:t>
            </w:r>
          </w:p>
        </w:tc>
        <w:tc>
          <w:tcPr>
            <w:tcW w:type="dxa" w:w="3061"/>
          </w:tcPr>
          <w:p>
            <w:pPr>
              <w:spacing w:after="20" w:line="264" w:lineRule="auto"/>
            </w:pPr>
            <w:r/>
            <w:r>
              <w:rPr>
                <w:rFonts w:ascii="Segoe UI" w:hAnsi="Segoe UI" w:eastAsia="Segoe UI" w:cs="Segoe UI"/>
                <w:color w:val="1F1D1A"/>
                <w:sz w:val="18"/>
              </w:rPr>
              <w:t>2,70</w:t>
            </w:r>
          </w:p>
        </w:tc>
        <w:tc>
          <w:tcPr>
            <w:tcW w:type="dxa" w:w="3061"/>
          </w:tcPr>
          <w:p>
            <w:pPr>
              <w:spacing w:after="20" w:line="264" w:lineRule="auto"/>
            </w:pPr>
            <w:r/>
            <w:r>
              <w:rPr>
                <w:rFonts w:ascii="Segoe UI" w:hAnsi="Segoe UI" w:eastAsia="Segoe UI" w:cs="Segoe UI"/>
                <w:color w:val="1F1D1A"/>
                <w:sz w:val="18"/>
              </w:rPr>
              <w:t>148</w:t>
            </w:r>
          </w:p>
        </w:tc>
      </w:tr>
    </w:tbl>
    <w:p>
      <w:pPr>
        <w:spacing w:after="80"/>
      </w:pPr>
    </w:p>
    <w:p>
      <w:r>
        <w:t>Cómo se lee: 1987 es el precio oficial máximo de la pieza de pan común en Madrid, 258 gramos a 29 pesetas</w:t>
      </w:r>
      <w:r>
        <w:t xml:space="preserve"> (BOE núm. 180, de 29-7-1987, Real Decreto 972/1987, anexo)</w:t>
      </w:r>
      <w:r>
        <w:t>; de 1999 a 2025 es el precio medio del pan que pagan los hogares, total de España</w:t>
      </w:r>
      <w:r>
        <w:t xml:space="preserve"> (Ministerio de Agricultura, Panel de consumo alimentario en hogares, datos anuales)</w:t>
      </w:r>
      <w:r>
        <w:t>. No son la misma medida: la primera es un precio fijado por ley para una pieza, y la segunda, lo que se paga de media. Cálculo de la obra: 100 euros divididos entre el precio de una barra de 250 gramos; 100 euros son 16.638,6 pesetas al cambio fijo de 166,386</w:t>
      </w:r>
      <w:r>
        <w:t xml:space="preserve"> (Reglamento (CE) 2866/98 del Consejo, art. 1)</w:t>
      </w:r>
      <w:r>
        <w:t>.</w:t>
      </w:r>
    </w:p>
    <w:p>
      <w:r>
        <w:t>Para comparar: los precios en general se multiplicaron por unas 3,5 veces de 1986 a 2025 (cuadro de arriba), y el precio del pan, de 1987 a 2025, por unas 4 (cálculo de la obra).</w:t>
      </w:r>
    </w:p>
    <w:p>
      <w:r>
        <w:t xml:space="preserve">Sin dato oficial del precio del pan: de 1988 a 1998 no se ha hallado en el Boletín Oficial del Estado, en los anuarios del INE ni en el Ministerio de Agricultura; y antes de 1986 el Boletín solo fijaba subidas y límites por kilo, no el precio. Por eso la tabla no empieza en 1971, como el cuadro de arriba. </w:t>
      </w:r>
      <w:r>
        <w:t>[cálculo de la obra; fuentes en la investigación del 9 y 10-oct-2026]</w:t>
      </w:r>
    </w:p>
    <w:p>
      <w:r>
        <w:rPr>
          <w:b/>
        </w:rPr>
        <w:t>El euro no fue el golpe.</w:t>
      </w:r>
      <w:r>
        <w:t xml:space="preserve"> El tipo de 166,386 se fijó con los tipos de mercado y no quitó a nadie una parte de su dinero. Los precios subieron un 4,0 % en 2002, el año de los billetes, frente al 2,7 % de 2001 y el 2,6 % de 2003. La mayor pérdida fue la de 1976 a 1980: un 134,9 % en cinco años, y un 26,4 % solo en 1977</w:t>
      </w:r>
      <w:r>
        <w:t xml:space="preserve"> (INE)</w:t>
      </w:r>
      <w:r>
        <w:t xml:space="preserve">. </w:t>
      </w:r>
      <w:r>
        <w:t>[34.00-7.5]</w:t>
      </w:r>
    </w:p>
    <w:p>
      <w:r>
        <w:rPr>
          <w:b/>
        </w:rPr>
        <w:t>El salario mínimo y el salario medio.</w:t>
      </w:r>
      <w:r>
        <w:t xml:space="preserve"> El mínimo ha subido más que los precios: en 1970 era de «ciento veinte pesetas día o tres mil seiscientas pesetas mes»</w:t>
      </w:r>
      <w:r>
        <w:t xml:space="preserve"> (Decreto 720/1970)</w:t>
      </w:r>
      <w:r>
        <w:br/>
      </w:r>
      <w:r>
        <w:rPr>
          <w:b/>
        </w:rPr>
        <w:t>pasaje guardado · Decreto 720/1970</w:t>
      </w:r>
      <w:r>
        <w:br/>
      </w:r>
      <w:r>
        <w:rPr>
          <w:b/>
        </w:rPr>
        <w:t>Archivo leído:</w:t>
      </w:r>
      <w:r>
        <w:t xml:space="preserve"> 8.3_21a_Decreto_720_1970_SMI_BOE_24-03-1970.pdf (c8b\8.3_21a_Decreto_720_1970_SMI_BOE_24-03-1970.pdf) · contraste del archivo de pasajes: parcial</w:t>
      </w:r>
      <w:r>
        <w:br/>
      </w:r>
      <w:r>
        <w:rPr>
          <w:b/>
        </w:rPr>
        <w:t>Lugar:</w:t>
      </w:r>
      <w:r>
        <w:t xml:space="preserve"> Decreto 720/1970</w:t>
      </w:r>
      <w:r>
        <w:br/>
      </w:r>
      <w:r>
        <w:rPr>
          <w:b/>
        </w:rPr>
        <w:t>Tal como está en la fuente:</w:t>
      </w:r>
      <w:r>
        <w:t xml:space="preserve"> ciento veinte pesetas día o tres mil seiscientas pesetas mes</w:t>
      </w:r>
      <w:r>
        <w:t>, unos 554 euros de 2025; en 2025, de 1.184 euros al mes</w:t>
      </w:r>
      <w:r>
        <w:t xml:space="preserve"> (Real Decreto 87/2025)</w:t>
      </w:r>
      <w:r>
        <w:t>. Pero no siempre: entre 1980 y 2005 bajó en euros de hoy, de 826 a 774, y el salto llegó en 2019, con «un incremento del 22,3 por ciento»</w:t>
      </w:r>
      <w:r>
        <w:t xml:space="preserve"> (Real Decreto 1462/2018, preámbulo)</w:t>
      </w:r>
      <w:r>
        <w:br/>
      </w:r>
      <w:r>
        <w:rPr>
          <w:b/>
        </w:rPr>
        <w:t>pasaje guardado</w:t>
      </w:r>
      <w:r>
        <w:br/>
      </w:r>
      <w:r>
        <w:rPr>
          <w:b/>
        </w:rPr>
        <w:t>Archivo leído:</w:t>
      </w:r>
      <w:r>
        <w:t xml:space="preserve"> 8.3_21c_RD_1462_2018_SMI2019_BOE-A-2018-17773.pdf (c8b\8.3_21c_RD_1462_2018_SMI2019_BOE-A-2018-17773.pdf) · contraste del archivo de pasajes: ✔</w:t>
      </w:r>
      <w:r>
        <w:br/>
      </w:r>
      <w:r>
        <w:rPr>
          <w:b/>
        </w:rPr>
        <w:t>Lugar:</w:t>
      </w:r>
      <w:r>
        <w:t xml:space="preserve"> Real Decreto 1462/2018, preámbulo</w:t>
      </w:r>
      <w:r>
        <w:br/>
      </w:r>
      <w:r>
        <w:rPr>
          <w:b/>
        </w:rPr>
        <w:t>Tal como está en la fuente:</w:t>
      </w:r>
      <w:r>
        <w:t xml:space="preserve"> un incremento del 22,3 por ciento</w:t>
      </w:r>
      <w:r>
        <w:t>. El medio, no: en 2008, 21.883,42 euros al año; en 2024, 29.540,26; subió un 35,0 %, y los precios, un 35,1 %</w:t>
      </w:r>
      <w:r>
        <w:t xml:space="preserve"> (INE, Encuesta Anual de Estructura Salarial; índice de precios de consumo)</w:t>
      </w:r>
      <w:r>
        <w:t>. Quien cobra el salario medio compra hoy lo mismo que hace dieciséis años. Otra medida es la de la OCDE (salario medio anual a precios constantes, año base 2025, serie vigente descargada el 7-X-2026): de 1993 a 2023, el salario real subió un 4,04 % en España, un 28,15 % en Francia, un 21,03 % en Alemania y un 1,49 % en los Países Bajos, y bajó un 3,33 % en Italia</w:t>
      </w:r>
      <w:r>
        <w:t xml:space="preserve"> (OCDE, salario medio anual, precios constantes; cálculo de la obra)</w:t>
      </w:r>
      <w:r>
        <w:t xml:space="preserve">. </w:t>
      </w:r>
      <w:r>
        <w:t>[34.00-7.8, 9.1 a 10.11; 20.00-4.1]</w:t>
      </w:r>
    </w:p>
    <w:p>
      <w:r>
        <w:rPr>
          <w:b/>
        </w:rPr>
        <w:t>El impuesto que sube solo.</w:t>
      </w:r>
      <w:r>
        <w:t xml:space="preserve"> Ya se vio que la escala del IRPF no se actualiza desde la reforma de 2014 (</w:t>
      </w:r>
      <w:r>
        <w:t>5.1</w:t>
      </w:r>
      <w:r>
        <w:t>, n.º 5). En sentido contrario, el Real Decreto-ley 4/2024 subió la reducción por rendimientos del trabajo de 6.498 a 7.302 euros anuales, para rendimientos netos de hasta 14.852</w:t>
      </w:r>
      <w:r>
        <w:t xml:space="preserve"> (Ley 35/2006, art. 20; RDL 4/2024, exposición de motivos)</w:t>
      </w:r>
      <w:r>
        <w:t>. El efecto de la escala está medido. El Banco de España estima «que en torno a la mitad del incremento de la ratio de IRPF sobre PIB observado entre 2019 y 2023 estaría explicada por el efecto progresividad en frío», y que la recaudación de 2023 «habría sido aproximadamente 11.000 millones inferior de haberse actualizado los parámetros fiscales plenamente»</w:t>
      </w:r>
      <w:r>
        <w:t xml:space="preserve"> (Banco de España, Documento Ocasional n.º 2422, 2024, resumen y p. 24)</w:t>
      </w:r>
      <w:r>
        <w:br/>
      </w:r>
      <w:r>
        <w:rPr>
          <w:b/>
        </w:rPr>
        <w:t>leída en su fuente · Banco de España, Documento Ocasional n.º 2422, 2024, resumen y p. 24</w:t>
      </w:r>
      <w:r>
        <w:br/>
      </w:r>
      <w:r>
        <w:rPr>
          <w:b/>
        </w:rPr>
        <w:t>Archivo leído:</w:t>
      </w:r>
      <w:r>
        <w:t xml:space="preserve"> bde_documento_ocasional_2422_progresividad_en_frio.pdf (c5\bde_documento_ocasional_2422_progresividad_en_frio.pdf) · contraste del archivo de pasajes: ✔</w:t>
      </w:r>
      <w:r>
        <w:br/>
      </w:r>
      <w:r>
        <w:rPr>
          <w:b/>
        </w:rPr>
        <w:t>Lugar:</w:t>
      </w:r>
      <w:r>
        <w:t xml:space="preserve"> Pág. 24</w:t>
      </w:r>
      <w:r>
        <w:br/>
      </w:r>
      <w:r>
        <w:rPr>
          <w:b/>
        </w:rPr>
        <w:t>Dirección:</w:t>
      </w:r>
      <w:r>
        <w:t xml:space="preserve"> </w:t>
      </w:r>
      <w:r>
        <w:t>https://www.bde.es/f/webbe/SES/Secciones/Publicaciones/PublicacionesSeriadas/DocumentosOcasionales/24/Fich/do2422.pdf</w:t>
      </w:r>
      <w:r>
        <w:br/>
      </w:r>
      <w:r>
        <w:rPr>
          <w:b/>
        </w:rPr>
        <w:t>Tal como está en la fuente:</w:t>
      </w:r>
      <w:r>
        <w:t xml:space="preserve"> se estima que la recaudación en 2023 habría sido aproximadamente 11.000 millones inferior de haberse actualizado los parámetros fiscales plenamente</w:t>
      </w:r>
      <w:r>
        <w:t>; es una estimación, con el año 2023 extrapolado. Y la Autoridad Fiscal, entre 2019 y 2024: tras la evolución de la economía, el segundo factor del aumento de los ingresos es «la progresividad en frío (seis décimas), que afecta al IRPF como consecuencia de la no adaptación de los tramos a la elevada inflación en los años recientes»</w:t>
      </w:r>
      <w:r>
        <w:t xml:space="preserve"> (AIReF, documento técnico sobre la variabilidad de los ingresos tributarios, 2025)</w:t>
      </w:r>
      <w:r>
        <w:br/>
      </w:r>
      <w:r>
        <w:rPr>
          <w:b/>
        </w:rPr>
        <w:t>leída en su fuente · AIReF, documento técnico sobre la variabilidad de los ingresos tributarios, 2025</w:t>
      </w:r>
      <w:r>
        <w:br/>
      </w:r>
      <w:r>
        <w:rPr>
          <w:b/>
        </w:rPr>
        <w:t>Archivo leído:</w:t>
      </w:r>
      <w:r>
        <w:t xml:space="preserve"> airef_dt_variabilidad_ingresos_tributarios_2025.pdf (c5\airef_dt_variabilidad_ingresos_tributarios_2025.pdf) · contraste del archivo de pasajes: ✔</w:t>
      </w:r>
      <w:r>
        <w:br/>
      </w:r>
      <w:r>
        <w:rPr>
          <w:b/>
        </w:rPr>
        <w:t>Lugar:</w:t>
      </w:r>
      <w:r>
        <w:t xml:space="preserve"> AIReF, documento técnico sobre la variabilidad de los ingresos tributarios, 2025</w:t>
      </w:r>
      <w:r>
        <w:br/>
      </w:r>
      <w:r>
        <w:rPr>
          <w:b/>
        </w:rPr>
        <w:t>Tal como está en la fuente:</w:t>
      </w:r>
      <w:r>
        <w:t xml:space="preserve"> la progresividad en frío (seis décimas), que afecta al IRPF como consecuencia de la no adaptación de los tramos a la elevada inflación en los años recientes</w:t>
      </w:r>
      <w:r>
        <w:t xml:space="preserve">. </w:t>
      </w:r>
      <w:r>
        <w:t>[34.00-7.9 y 16.23; 20.00-27.1 y 27.2]</w:t>
      </w:r>
    </w:p>
    <w:p>
      <w:r>
        <w:rPr>
          <w:b/>
        </w:rPr>
        <w:t>Quién gana con la pérdida.</w:t>
      </w:r>
      <w:r>
        <w:t xml:space="preserve"> Quien debe. La inflación rebaja el valor real de las deudas, y el mayor deudor del país es el Estado (</w:t>
      </w:r>
      <w:r>
        <w:t>5.1</w:t>
      </w:r>
      <w:r>
        <w:t>, n.º 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837"/>
        <w:gridCol w:w="1837"/>
        <w:gridCol w:w="1837"/>
        <w:gridCol w:w="1837"/>
        <w:gridCol w:w="1837"/>
      </w:tblGrid>
      <w:tr>
        <w:tc>
          <w:tcPr>
            <w:tcW w:type="dxa" w:w="1837"/>
            <w:shd w:val="clear" w:color="auto" w:fill="F1EEE8"/>
          </w:tcPr>
          <w:p>
            <w:pPr>
              <w:spacing w:after="20" w:line="264" w:lineRule="auto"/>
            </w:pPr>
            <w:r>
              <w:rPr>
                <w:b/>
              </w:rPr>
            </w:r>
            <w:r>
              <w:rPr>
                <w:rFonts w:ascii="Segoe UI" w:hAnsi="Segoe UI" w:eastAsia="Segoe UI" w:cs="Segoe UI"/>
                <w:b/>
                <w:color w:val="1F1D1A"/>
                <w:sz w:val="18"/>
              </w:rPr>
              <w:t>Año</w:t>
            </w:r>
          </w:p>
        </w:tc>
        <w:tc>
          <w:tcPr>
            <w:tcW w:type="dxa" w:w="1837"/>
            <w:shd w:val="clear" w:color="auto" w:fill="F1EEE8"/>
          </w:tcPr>
          <w:p>
            <w:pPr>
              <w:spacing w:after="20" w:line="264" w:lineRule="auto"/>
            </w:pPr>
            <w:r>
              <w:rPr>
                <w:b/>
              </w:rPr>
            </w:r>
            <w:r>
              <w:rPr>
                <w:rFonts w:ascii="Segoe UI" w:hAnsi="Segoe UI" w:eastAsia="Segoe UI" w:cs="Segoe UI"/>
                <w:b/>
                <w:color w:val="1F1D1A"/>
                <w:sz w:val="18"/>
              </w:rPr>
              <w:t>Inflación</w:t>
            </w:r>
          </w:p>
        </w:tc>
        <w:tc>
          <w:tcPr>
            <w:tcW w:type="dxa" w:w="1837"/>
            <w:shd w:val="clear" w:color="auto" w:fill="F1EEE8"/>
          </w:tcPr>
          <w:p>
            <w:pPr>
              <w:spacing w:after="20" w:line="264" w:lineRule="auto"/>
            </w:pPr>
            <w:r>
              <w:rPr>
                <w:b/>
              </w:rPr>
            </w:r>
            <w:r>
              <w:rPr>
                <w:rFonts w:ascii="Segoe UI" w:hAnsi="Segoe UI" w:eastAsia="Segoe UI" w:cs="Segoe UI"/>
                <w:b/>
                <w:color w:val="1F1D1A"/>
                <w:sz w:val="18"/>
              </w:rPr>
              <w:t>Deuda al empezar el año</w:t>
            </w:r>
          </w:p>
        </w:tc>
        <w:tc>
          <w:tcPr>
            <w:tcW w:type="dxa" w:w="1837"/>
            <w:shd w:val="clear" w:color="auto" w:fill="F1EEE8"/>
          </w:tcPr>
          <w:p>
            <w:pPr>
              <w:spacing w:after="20" w:line="264" w:lineRule="auto"/>
            </w:pPr>
            <w:r>
              <w:rPr>
                <w:b/>
              </w:rPr>
            </w:r>
            <w:r>
              <w:rPr>
                <w:rFonts w:ascii="Segoe UI" w:hAnsi="Segoe UI" w:eastAsia="Segoe UI" w:cs="Segoe UI"/>
                <w:b/>
                <w:color w:val="1F1D1A"/>
                <w:sz w:val="18"/>
              </w:rPr>
              <w:t>Lo que la inflación rebajó esa deuda</w:t>
            </w:r>
          </w:p>
        </w:tc>
        <w:tc>
          <w:tcPr>
            <w:tcW w:type="dxa" w:w="1837"/>
            <w:shd w:val="clear" w:color="auto" w:fill="F1EEE8"/>
          </w:tcPr>
          <w:p>
            <w:pPr>
              <w:spacing w:after="20" w:line="264" w:lineRule="auto"/>
            </w:pPr>
            <w:r>
              <w:rPr>
                <w:b/>
              </w:rPr>
            </w:r>
            <w:r>
              <w:rPr>
                <w:rFonts w:ascii="Segoe UI" w:hAnsi="Segoe UI" w:eastAsia="Segoe UI" w:cs="Segoe UI"/>
                <w:b/>
                <w:color w:val="1F1D1A"/>
                <w:sz w:val="18"/>
              </w:rPr>
              <w:t>Intereses pagados</w:t>
            </w:r>
          </w:p>
        </w:tc>
      </w:tr>
      <w:tr>
        <w:tc>
          <w:tcPr>
            <w:tcW w:type="dxa" w:w="1837"/>
          </w:tcPr>
          <w:p>
            <w:pPr>
              <w:spacing w:after="20" w:line="264" w:lineRule="auto"/>
            </w:pPr>
            <w:r/>
            <w:r>
              <w:rPr>
                <w:rFonts w:ascii="Segoe UI" w:hAnsi="Segoe UI" w:eastAsia="Segoe UI" w:cs="Segoe UI"/>
                <w:color w:val="1F1D1A"/>
                <w:sz w:val="18"/>
              </w:rPr>
              <w:t>2021</w:t>
            </w:r>
          </w:p>
        </w:tc>
        <w:tc>
          <w:tcPr>
            <w:tcW w:type="dxa" w:w="1837"/>
          </w:tcPr>
          <w:p>
            <w:pPr>
              <w:spacing w:after="20" w:line="264" w:lineRule="auto"/>
            </w:pPr>
            <w:r/>
            <w:r>
              <w:rPr>
                <w:rFonts w:ascii="Segoe UI" w:hAnsi="Segoe UI" w:eastAsia="Segoe UI" w:cs="Segoe UI"/>
                <w:color w:val="1F1D1A"/>
                <w:sz w:val="18"/>
              </w:rPr>
              <w:t>6,5 %</w:t>
            </w:r>
          </w:p>
        </w:tc>
        <w:tc>
          <w:tcPr>
            <w:tcW w:type="dxa" w:w="1837"/>
          </w:tcPr>
          <w:p>
            <w:pPr>
              <w:spacing w:after="20" w:line="264" w:lineRule="auto"/>
            </w:pPr>
            <w:r/>
            <w:r>
              <w:rPr>
                <w:rFonts w:ascii="Segoe UI" w:hAnsi="Segoe UI" w:eastAsia="Segoe UI" w:cs="Segoe UI"/>
                <w:color w:val="1F1D1A"/>
                <w:sz w:val="18"/>
              </w:rPr>
              <w:t>1.346.916</w:t>
            </w:r>
          </w:p>
        </w:tc>
        <w:tc>
          <w:tcPr>
            <w:tcW w:type="dxa" w:w="1837"/>
          </w:tcPr>
          <w:p>
            <w:pPr>
              <w:spacing w:after="20" w:line="264" w:lineRule="auto"/>
            </w:pPr>
            <w:r/>
            <w:r>
              <w:rPr>
                <w:rFonts w:ascii="Segoe UI" w:hAnsi="Segoe UI" w:eastAsia="Segoe UI" w:cs="Segoe UI"/>
                <w:color w:val="1F1D1A"/>
                <w:sz w:val="18"/>
              </w:rPr>
              <w:t>87.550</w:t>
            </w:r>
          </w:p>
        </w:tc>
        <w:tc>
          <w:tcPr>
            <w:tcW w:type="dxa" w:w="1837"/>
          </w:tcPr>
          <w:p>
            <w:pPr>
              <w:spacing w:after="20" w:line="264" w:lineRule="auto"/>
            </w:pPr>
            <w:r/>
            <w:r>
              <w:rPr>
                <w:rFonts w:ascii="Segoe UI" w:hAnsi="Segoe UI" w:eastAsia="Segoe UI" w:cs="Segoe UI"/>
                <w:color w:val="1F1D1A"/>
                <w:sz w:val="18"/>
              </w:rPr>
              <w:t>26.170</w:t>
            </w:r>
          </w:p>
        </w:tc>
      </w:tr>
      <w:tr>
        <w:tc>
          <w:tcPr>
            <w:tcW w:type="dxa" w:w="1837"/>
          </w:tcPr>
          <w:p>
            <w:pPr>
              <w:spacing w:after="20" w:line="264" w:lineRule="auto"/>
            </w:pPr>
            <w:r/>
            <w:r>
              <w:rPr>
                <w:rFonts w:ascii="Segoe UI" w:hAnsi="Segoe UI" w:eastAsia="Segoe UI" w:cs="Segoe UI"/>
                <w:color w:val="1F1D1A"/>
                <w:sz w:val="18"/>
              </w:rPr>
              <w:t>2022</w:t>
            </w:r>
          </w:p>
        </w:tc>
        <w:tc>
          <w:tcPr>
            <w:tcW w:type="dxa" w:w="1837"/>
          </w:tcPr>
          <w:p>
            <w:pPr>
              <w:spacing w:after="20" w:line="264" w:lineRule="auto"/>
            </w:pPr>
            <w:r/>
            <w:r>
              <w:rPr>
                <w:rFonts w:ascii="Segoe UI" w:hAnsi="Segoe UI" w:eastAsia="Segoe UI" w:cs="Segoe UI"/>
                <w:color w:val="1F1D1A"/>
                <w:sz w:val="18"/>
              </w:rPr>
              <w:t>5,7 %</w:t>
            </w:r>
          </w:p>
        </w:tc>
        <w:tc>
          <w:tcPr>
            <w:tcW w:type="dxa" w:w="1837"/>
          </w:tcPr>
          <w:p>
            <w:pPr>
              <w:spacing w:after="20" w:line="264" w:lineRule="auto"/>
            </w:pPr>
            <w:r/>
            <w:r>
              <w:rPr>
                <w:rFonts w:ascii="Segoe UI" w:hAnsi="Segoe UI" w:eastAsia="Segoe UI" w:cs="Segoe UI"/>
                <w:color w:val="1F1D1A"/>
                <w:sz w:val="18"/>
              </w:rPr>
              <w:t>1.429.404</w:t>
            </w:r>
          </w:p>
        </w:tc>
        <w:tc>
          <w:tcPr>
            <w:tcW w:type="dxa" w:w="1837"/>
          </w:tcPr>
          <w:p>
            <w:pPr>
              <w:spacing w:after="20" w:line="264" w:lineRule="auto"/>
            </w:pPr>
            <w:r/>
            <w:r>
              <w:rPr>
                <w:rFonts w:ascii="Segoe UI" w:hAnsi="Segoe UI" w:eastAsia="Segoe UI" w:cs="Segoe UI"/>
                <w:color w:val="1F1D1A"/>
                <w:sz w:val="18"/>
              </w:rPr>
              <w:t>81.476</w:t>
            </w:r>
          </w:p>
        </w:tc>
        <w:tc>
          <w:tcPr>
            <w:tcW w:type="dxa" w:w="1837"/>
          </w:tcPr>
          <w:p>
            <w:pPr>
              <w:spacing w:after="20" w:line="264" w:lineRule="auto"/>
            </w:pPr>
            <w:r/>
            <w:r>
              <w:rPr>
                <w:rFonts w:ascii="Segoe UI" w:hAnsi="Segoe UI" w:eastAsia="Segoe UI" w:cs="Segoe UI"/>
                <w:color w:val="1F1D1A"/>
                <w:sz w:val="18"/>
              </w:rPr>
              <w:t>31.775</w:t>
            </w:r>
          </w:p>
        </w:tc>
      </w:tr>
      <w:tr>
        <w:tc>
          <w:tcPr>
            <w:tcW w:type="dxa" w:w="1837"/>
          </w:tcPr>
          <w:p>
            <w:pPr>
              <w:spacing w:after="20" w:line="264" w:lineRule="auto"/>
            </w:pPr>
            <w:r/>
            <w:r>
              <w:rPr>
                <w:rFonts w:ascii="Segoe UI" w:hAnsi="Segoe UI" w:eastAsia="Segoe UI" w:cs="Segoe UI"/>
                <w:color w:val="1F1D1A"/>
                <w:sz w:val="18"/>
              </w:rPr>
              <w:t>2023</w:t>
            </w:r>
          </w:p>
        </w:tc>
        <w:tc>
          <w:tcPr>
            <w:tcW w:type="dxa" w:w="1837"/>
          </w:tcPr>
          <w:p>
            <w:pPr>
              <w:spacing w:after="20" w:line="264" w:lineRule="auto"/>
            </w:pPr>
            <w:r/>
            <w:r>
              <w:rPr>
                <w:rFonts w:ascii="Segoe UI" w:hAnsi="Segoe UI" w:eastAsia="Segoe UI" w:cs="Segoe UI"/>
                <w:color w:val="1F1D1A"/>
                <w:sz w:val="18"/>
              </w:rPr>
              <w:t>3,1 %</w:t>
            </w:r>
          </w:p>
        </w:tc>
        <w:tc>
          <w:tcPr>
            <w:tcW w:type="dxa" w:w="1837"/>
          </w:tcPr>
          <w:p>
            <w:pPr>
              <w:spacing w:after="20" w:line="264" w:lineRule="auto"/>
            </w:pPr>
            <w:r/>
            <w:r>
              <w:rPr>
                <w:rFonts w:ascii="Segoe UI" w:hAnsi="Segoe UI" w:eastAsia="Segoe UI" w:cs="Segoe UI"/>
                <w:color w:val="1F1D1A"/>
                <w:sz w:val="18"/>
              </w:rPr>
              <w:t>1.504.105</w:t>
            </w:r>
          </w:p>
        </w:tc>
        <w:tc>
          <w:tcPr>
            <w:tcW w:type="dxa" w:w="1837"/>
          </w:tcPr>
          <w:p>
            <w:pPr>
              <w:spacing w:after="20" w:line="264" w:lineRule="auto"/>
            </w:pPr>
            <w:r/>
            <w:r>
              <w:rPr>
                <w:rFonts w:ascii="Segoe UI" w:hAnsi="Segoe UI" w:eastAsia="Segoe UI" w:cs="Segoe UI"/>
                <w:color w:val="1F1D1A"/>
                <w:sz w:val="18"/>
              </w:rPr>
              <w:t>46.627</w:t>
            </w:r>
          </w:p>
        </w:tc>
        <w:tc>
          <w:tcPr>
            <w:tcW w:type="dxa" w:w="1837"/>
          </w:tcPr>
          <w:p>
            <w:pPr>
              <w:spacing w:after="20" w:line="264" w:lineRule="auto"/>
            </w:pPr>
            <w:r/>
            <w:r>
              <w:rPr>
                <w:rFonts w:ascii="Segoe UI" w:hAnsi="Segoe UI" w:eastAsia="Segoe UI" w:cs="Segoe UI"/>
                <w:color w:val="1F1D1A"/>
                <w:sz w:val="18"/>
              </w:rPr>
              <w:t>35.551</w:t>
            </w:r>
          </w:p>
        </w:tc>
      </w:tr>
      <w:tr>
        <w:tc>
          <w:tcPr>
            <w:tcW w:type="dxa" w:w="1837"/>
          </w:tcPr>
          <w:p>
            <w:pPr>
              <w:spacing w:after="20" w:line="264" w:lineRule="auto"/>
            </w:pPr>
            <w:r/>
            <w:r>
              <w:rPr>
                <w:rFonts w:ascii="Segoe UI" w:hAnsi="Segoe UI" w:eastAsia="Segoe UI" w:cs="Segoe UI"/>
                <w:color w:val="1F1D1A"/>
                <w:sz w:val="18"/>
              </w:rPr>
              <w:t>2024</w:t>
            </w:r>
          </w:p>
        </w:tc>
        <w:tc>
          <w:tcPr>
            <w:tcW w:type="dxa" w:w="1837"/>
          </w:tcPr>
          <w:p>
            <w:pPr>
              <w:spacing w:after="20" w:line="264" w:lineRule="auto"/>
            </w:pPr>
            <w:r/>
            <w:r>
              <w:rPr>
                <w:rFonts w:ascii="Segoe UI" w:hAnsi="Segoe UI" w:eastAsia="Segoe UI" w:cs="Segoe UI"/>
                <w:color w:val="1F1D1A"/>
                <w:sz w:val="18"/>
              </w:rPr>
              <w:t>2,8 %</w:t>
            </w:r>
          </w:p>
        </w:tc>
        <w:tc>
          <w:tcPr>
            <w:tcW w:type="dxa" w:w="1837"/>
          </w:tcPr>
          <w:p>
            <w:pPr>
              <w:spacing w:after="20" w:line="264" w:lineRule="auto"/>
            </w:pPr>
            <w:r/>
            <w:r>
              <w:rPr>
                <w:rFonts w:ascii="Segoe UI" w:hAnsi="Segoe UI" w:eastAsia="Segoe UI" w:cs="Segoe UI"/>
                <w:color w:val="1F1D1A"/>
                <w:sz w:val="18"/>
              </w:rPr>
              <w:t>1.575.377</w:t>
            </w:r>
          </w:p>
        </w:tc>
        <w:tc>
          <w:tcPr>
            <w:tcW w:type="dxa" w:w="1837"/>
          </w:tcPr>
          <w:p>
            <w:pPr>
              <w:spacing w:after="20" w:line="264" w:lineRule="auto"/>
            </w:pPr>
            <w:r/>
            <w:r>
              <w:rPr>
                <w:rFonts w:ascii="Segoe UI" w:hAnsi="Segoe UI" w:eastAsia="Segoe UI" w:cs="Segoe UI"/>
                <w:color w:val="1F1D1A"/>
                <w:sz w:val="18"/>
              </w:rPr>
              <w:t>44.111</w:t>
            </w:r>
          </w:p>
        </w:tc>
        <w:tc>
          <w:tcPr>
            <w:tcW w:type="dxa" w:w="1837"/>
          </w:tcPr>
          <w:p>
            <w:pPr>
              <w:spacing w:after="20" w:line="264" w:lineRule="auto"/>
            </w:pPr>
            <w:r/>
            <w:r>
              <w:rPr>
                <w:rFonts w:ascii="Segoe UI" w:hAnsi="Segoe UI" w:eastAsia="Segoe UI" w:cs="Segoe UI"/>
                <w:color w:val="1F1D1A"/>
                <w:sz w:val="18"/>
              </w:rPr>
              <w:t>38.793</w:t>
            </w:r>
          </w:p>
        </w:tc>
      </w:tr>
      <w:tr>
        <w:tc>
          <w:tcPr>
            <w:tcW w:type="dxa" w:w="1837"/>
          </w:tcPr>
          <w:p>
            <w:pPr>
              <w:spacing w:after="20" w:line="264" w:lineRule="auto"/>
            </w:pPr>
            <w:r/>
            <w:r>
              <w:rPr>
                <w:rFonts w:ascii="Segoe UI" w:hAnsi="Segoe UI" w:eastAsia="Segoe UI" w:cs="Segoe UI"/>
                <w:color w:val="1F1D1A"/>
                <w:sz w:val="18"/>
              </w:rPr>
              <w:t>2025</w:t>
            </w:r>
          </w:p>
        </w:tc>
        <w:tc>
          <w:tcPr>
            <w:tcW w:type="dxa" w:w="1837"/>
          </w:tcPr>
          <w:p>
            <w:pPr>
              <w:spacing w:after="20" w:line="264" w:lineRule="auto"/>
            </w:pPr>
            <w:r/>
            <w:r>
              <w:rPr>
                <w:rFonts w:ascii="Segoe UI" w:hAnsi="Segoe UI" w:eastAsia="Segoe UI" w:cs="Segoe UI"/>
                <w:color w:val="1F1D1A"/>
                <w:sz w:val="18"/>
              </w:rPr>
              <w:t>2,9 %</w:t>
            </w:r>
          </w:p>
        </w:tc>
        <w:tc>
          <w:tcPr>
            <w:tcW w:type="dxa" w:w="1837"/>
          </w:tcPr>
          <w:p>
            <w:pPr>
              <w:spacing w:after="20" w:line="264" w:lineRule="auto"/>
            </w:pPr>
            <w:r/>
            <w:r>
              <w:rPr>
                <w:rFonts w:ascii="Segoe UI" w:hAnsi="Segoe UI" w:eastAsia="Segoe UI" w:cs="Segoe UI"/>
                <w:color w:val="1F1D1A"/>
                <w:sz w:val="18"/>
              </w:rPr>
              <w:t>1.620.573</w:t>
            </w:r>
          </w:p>
        </w:tc>
        <w:tc>
          <w:tcPr>
            <w:tcW w:type="dxa" w:w="1837"/>
          </w:tcPr>
          <w:p>
            <w:pPr>
              <w:spacing w:after="20" w:line="264" w:lineRule="auto"/>
            </w:pPr>
            <w:r/>
            <w:r>
              <w:rPr>
                <w:rFonts w:ascii="Segoe UI" w:hAnsi="Segoe UI" w:eastAsia="Segoe UI" w:cs="Segoe UI"/>
                <w:color w:val="1F1D1A"/>
                <w:sz w:val="18"/>
              </w:rPr>
              <w:t>46.997</w:t>
            </w:r>
          </w:p>
        </w:tc>
        <w:tc>
          <w:tcPr>
            <w:tcW w:type="dxa" w:w="1837"/>
          </w:tcPr>
          <w:p>
            <w:pPr>
              <w:spacing w:after="20" w:line="264" w:lineRule="auto"/>
            </w:pPr>
            <w:r/>
            <w:r>
              <w:rPr>
                <w:rFonts w:ascii="Segoe UI" w:hAnsi="Segoe UI" w:eastAsia="Segoe UI" w:cs="Segoe UI"/>
                <w:color w:val="1F1D1A"/>
                <w:sz w:val="18"/>
              </w:rPr>
              <w:t>40.314</w:t>
            </w:r>
          </w:p>
        </w:tc>
      </w:tr>
      <w:tr>
        <w:tc>
          <w:tcPr>
            <w:tcW w:type="dxa" w:w="1837"/>
          </w:tcPr>
          <w:p>
            <w:pPr>
              <w:spacing w:after="20" w:line="264" w:lineRule="auto"/>
            </w:pPr>
            <w:r/>
            <w:r>
              <w:rPr>
                <w:rFonts w:ascii="Segoe UI" w:hAnsi="Segoe UI" w:eastAsia="Segoe UI" w:cs="Segoe UI"/>
                <w:b/>
                <w:color w:val="1F1D1A"/>
                <w:sz w:val="18"/>
              </w:rPr>
              <w:t>Total</w:t>
            </w:r>
          </w:p>
        </w:tc>
        <w:tc>
          <w:tcPr>
            <w:tcW w:type="dxa" w:w="1837"/>
          </w:tcPr>
          <w:p>
            <w:pPr>
              <w:spacing w:after="20" w:line="264" w:lineRule="auto"/>
            </w:pPr>
            <w:r/>
          </w:p>
        </w:tc>
        <w:tc>
          <w:tcPr>
            <w:tcW w:type="dxa" w:w="1837"/>
          </w:tcPr>
          <w:p>
            <w:pPr>
              <w:spacing w:after="20" w:line="264" w:lineRule="auto"/>
            </w:pPr>
            <w:r/>
          </w:p>
        </w:tc>
        <w:tc>
          <w:tcPr>
            <w:tcW w:type="dxa" w:w="1837"/>
          </w:tcPr>
          <w:p>
            <w:pPr>
              <w:spacing w:after="20" w:line="264" w:lineRule="auto"/>
            </w:pPr>
            <w:r/>
            <w:r>
              <w:rPr>
                <w:rFonts w:ascii="Segoe UI" w:hAnsi="Segoe UI" w:eastAsia="Segoe UI" w:cs="Segoe UI"/>
                <w:b/>
                <w:color w:val="1F1D1A"/>
                <w:sz w:val="18"/>
              </w:rPr>
              <w:t>306.760</w:t>
            </w:r>
          </w:p>
        </w:tc>
        <w:tc>
          <w:tcPr>
            <w:tcW w:type="dxa" w:w="1837"/>
          </w:tcPr>
          <w:p>
            <w:pPr>
              <w:spacing w:after="20" w:line="264" w:lineRule="auto"/>
            </w:pPr>
            <w:r/>
            <w:r>
              <w:rPr>
                <w:rFonts w:ascii="Segoe UI" w:hAnsi="Segoe UI" w:eastAsia="Segoe UI" w:cs="Segoe UI"/>
                <w:b/>
                <w:color w:val="1F1D1A"/>
                <w:sz w:val="18"/>
              </w:rPr>
              <w:t>172.603</w:t>
            </w:r>
          </w:p>
        </w:tc>
      </w:tr>
    </w:tbl>
    <w:p>
      <w:pPr>
        <w:spacing w:after="80"/>
      </w:pPr>
    </w:p>
    <w:p>
      <w:r>
        <w:t>Millones de euros. Cálculo de la obra: la deuda al empezar el año por la subida de los precios de ese año. Es una pérdida de valor real, no un pago: la deuda se sigue debiendo, pero cada euro vale menos</w:t>
      </w:r>
      <w:r>
        <w:t xml:space="preserve"> (Eurostat, deuda e intereses de las administraciones públicas; INE, precios de diciembre a diciembre)</w:t>
      </w:r>
      <w:r>
        <w:t xml:space="preserve">. </w:t>
      </w:r>
      <w:r>
        <w:t>[34.00-7.10 y 11.1 a 11.9]</w:t>
      </w:r>
    </w:p>
    <w:p>
      <w:r>
        <w:rPr>
          <w:b/>
        </w:rPr>
        <w:t>El ahorro, sin protección escrita.</w:t>
      </w:r>
      <w:r>
        <w:t xml:space="preserve"> La Constitución obliga a garantizar en la tercera edad «pensiones adecuadas y periódicamente actualizadas» (art. 50), reserva al Estado el «Sistema monetario» (art. 149.1.11.ª) y pide «una política de estabilidad económica» (art. 40.1). Pero la palabra «ahorro» no aparece ni una vez en su texto: la pensión se actualiza por mandato; lo que alguien guardó por su cuenta, no. </w:t>
      </w:r>
      <w:r>
        <w:t>[34.00-7.7 y 16.26]</w:t>
      </w:r>
    </w:p>
    <w:p>
      <w:r>
        <w:rPr>
          <w:b/>
        </w:rPr>
        <w:t>Conclusión, lo que arrojan los datos:</w:t>
      </w:r>
      <w:r>
        <w:t xml:space="preserve"> desde 1971, el dinero guardado ha perdido el 96 % de su valor; la meta oficial es que pierda un 2 % al año; el salario medio compra lo mismo que en 2008; el IRPF sube sin ley que lo suba; y entre 2021 y 2025 la inflación rebajó la deuda del Estado más de lo que este pagó en intereses. Lo que pierde quien ahorra lo gana, en buena parte, quien debe. Y no hay una norma que proteja el ahorro privado. </w:t>
      </w:r>
      <w:r>
        <w:t>[34.00-7.3 a 7.10]</w:t>
      </w:r>
    </w:p>
    <w:p>
      <w:r>
        <w:rPr>
          <w:b/>
        </w:rPr>
        <w:t>Lectura del autor:</w:t>
      </w:r>
      <w:r>
        <w:t xml:space="preserve"> esta es la mayor maniobra para despojar a la ciudadanía de los frutos de su trabajo, no por un día concreto, sino por su método. Si a una persona le abren la caja fuerte delante, se defiende; si su dinero encoge sin que cambie la cifra del billete, no ve de quién defenderse. Como la rana que no salta del cazo porque el agua se calienta poco a poco, la pérdida se reparte en años y casi nadie la nota. Si el dinero solo se sostiene en la confianza, ¿qué confianza merece un sistema que, por sus frutos, descapitaliza los ahorros de quien confió? Los redondeos al alza que muchos vivieron con la llegada del euro pesan poco en la media de los precios; se recogen como vivencia, no como cifra. </w:t>
      </w:r>
      <w:r>
        <w:t>[34.00-7.1 y 7.11]</w:t>
      </w:r>
    </w:p>
    <w:p>
      <w:pPr>
        <w:pStyle w:val="Heading2"/>
      </w:pPr>
      <w:r>
        <w:t>8.4 La carga</w:t>
      </w:r>
    </w:p>
    <w:p>
      <w:pPr>
        <w:pBdr>
          <w:left w:val="single" w:sz="24" w:space="6" w:color="E2DED6"/>
        </w:pBdr>
        <w:shd w:val="clear" w:color="auto" w:fill="F1EEE8"/>
        <w:spacing w:before="80" w:after="160"/>
        <w:ind w:left="142" w:right="142"/>
      </w:pPr>
      <w:r>
        <w:rPr>
          <w:b/>
        </w:rPr>
        <w:t>La idea: la cifra oficial de presión fiscal mide lo que recauda el Estado frente a toda la economía, no lo que soporta una persona. Medida sobre el coste de su trabajo, la carga es mucho mayor, y distinta para el asalariado, el autónomo y el que trabaja con una sociedad.</w:t>
      </w:r>
    </w:p>
    <w:p>
      <w:r>
        <w:rPr>
          <w:b/>
        </w:rPr>
        <w:t>La carga.</w:t>
      </w:r>
      <w:r>
        <w:t xml:space="preserve"> Desde aquí, la edición llama así a lo que se lleva el Estado de lo que cuesta el trabajo de una persona. Se mide sobre el coste laboral, lo que paga quien contrata, en cinco capas de certeza decreciente: (</w:t>
      </w:r>
      <w:r>
        <w:t>1</w:t>
      </w:r>
      <w:r>
        <w:t>) cotizaciones e IRPF; (</w:t>
      </w:r>
      <w:r>
        <w:t>2</w:t>
      </w:r>
      <w:r>
        <w:t>) IVA; (</w:t>
      </w:r>
      <w:r>
        <w:t>3</w:t>
      </w:r>
      <w:r>
        <w:t>) tributos municipales e impuestos especiales; (</w:t>
      </w:r>
      <w:r>
        <w:t>4</w:t>
      </w:r>
      <w:r>
        <w:t>) la parte del Impuesto de Sociedades que recae sobre los salarios, que es una hipótesis; y (</w:t>
      </w:r>
      <w:r>
        <w:t>5</w:t>
      </w:r>
      <w:r>
        <w:t xml:space="preserve">) la carga futura del déficit. Siempre con los tres perfiles, el asalariado, el autónomo y el societario, y con los costes indirectos. </w:t>
      </w:r>
      <w:r>
        <w:t>[glosario 6.3; 21.00-3.1]</w:t>
      </w:r>
    </w:p>
    <w:p>
      <w:r>
        <w:rPr>
          <w:b/>
        </w:rPr>
        <w:t>La cifra oficial.</w:t>
      </w:r>
      <w:r>
        <w:t xml:space="preserve"> En 2024, los impuestos y cotizaciones fueron el 37,3 % del PIB en España, frente al 40,3 % de la UE</w:t>
      </w:r>
      <w:r>
        <w:t xml:space="preserve"> (Eurostat, gov_10a_taxag)</w:t>
      </w:r>
      <w:r>
        <w:t xml:space="preserve">. Es una media sobre toda la economía, no la carga de una persona. </w:t>
      </w:r>
      <w:r>
        <w:t>[21.00-3.1; 20.00-2.1]</w:t>
      </w:r>
    </w:p>
    <w:p>
      <w:r>
        <w:rPr>
          <w:b/>
        </w:rPr>
        <w:t>El asalariado medio.</w:t>
      </w:r>
      <w:r>
        <w:t xml:space="preserve"> Soltero, sin hijos, con datos de 2025: cuesta a su empresa 39.481 euros al año</w:t>
      </w:r>
      <w:r>
        <w:t xml:space="preserve"> (Instituto Juan de Mariana, Impuestómetro 2026, con datos de Molinari y EY; estudio privado)</w:t>
      </w:r>
      <w:r>
        <w:t>.</w:t>
      </w:r>
    </w:p>
    <w:p>
      <w:pPr>
        <w:pStyle w:val="ListBullet"/>
      </w:pPr>
      <w:r>
        <w:rPr>
          <w:b/>
        </w:rPr>
        <w:t>Capa 1, cotizaciones e IRPF.</w:t>
      </w:r>
      <w:r>
        <w:t xml:space="preserve"> La cifra oficial es la de la OCDE: una cuña fiscal del 41,4 % del coste laboral en España en 2025, frente al 35,1 % de su media, la décima más alta de 38 países</w:t>
      </w:r>
      <w:r>
        <w:t xml:space="preserve"> (OCDE, Taxing Wages, datos oficiales)</w:t>
      </w:r>
      <w:r>
        <w:t>. Cuenta solo el IRPF y las cotizaciones del trabajador y de la empresa</w:t>
      </w:r>
      <w:r>
        <w:t xml:space="preserve"> (OCDE, Taxing Wages, descomposición, datos oficiales)</w:t>
      </w:r>
      <w:r>
        <w:t>: no el IVA, ni los demás impuestos, ni los gastos y el tiempo de los trámites. El estudio privado da 16.156 euros, el 40,9 %. Es la parte firme.</w:t>
      </w:r>
    </w:p>
    <w:p>
      <w:pPr>
        <w:pStyle w:val="ListBullet"/>
      </w:pPr>
      <w:r>
        <w:rPr>
          <w:b/>
        </w:rPr>
        <w:t>Capa 2, con el IVA:</w:t>
      </w:r>
      <w:r>
        <w:t xml:space="preserve"> el 45,0 % acumulado (1.592 euros más; estimación del estudio, que no la desglosa por gastos).</w:t>
      </w:r>
    </w:p>
    <w:p>
      <w:pPr>
        <w:pStyle w:val="ListBullet"/>
      </w:pPr>
      <w:r>
        <w:rPr>
          <w:b/>
        </w:rPr>
        <w:t>Capa 3, con los tributos municipales y los impuestos especiales:</w:t>
      </w:r>
      <w:r>
        <w:t xml:space="preserve"> el 48,4 % (1.354 euros más; estimación). Los 705 euros municipales son los de un ciudadano medio de una capital de provincia, según el Consejo General de Economistas, e incluyen el IBI (unos 395 euros, cálculo ilustrativo del estudio), el impuesto de circulación, el de construcciones, la plusvalía municipal y el de actividades económicas; los 649 de impuestos especiales son 470 de hidrocarburos y 179 de otros bienes, como las bebidas alcohólicas</w:t>
      </w:r>
      <w:r>
        <w:t xml:space="preserve"> (Instituto Juan de Mariana, Impuestómetro 2026, anexo 1; estudio privado)</w:t>
      </w:r>
      <w:r>
        <w:t xml:space="preserve">. Queda fuera la tasa de basuras de 2025, que el estudio calcula en unos 200 euros por hogar en algunos municipios y no suma hasta que haya estudios de su impacto. El resto de lo que está dentro de las capas y de lo que queda fuera —la electricidad, el agua, las tasas de tráfico, el impuesto de matriculación— está en el </w:t>
      </w:r>
      <w:r>
        <w:t>anexo B</w:t>
      </w:r>
      <w:r>
        <w:t xml:space="preserve"> (</w:t>
      </w:r>
      <w:r>
        <w:t>B.4</w:t>
      </w:r>
      <w:r>
        <w:t>).</w:t>
      </w:r>
    </w:p>
    <w:p>
      <w:pPr>
        <w:pStyle w:val="ListBullet"/>
      </w:pPr>
      <w:r>
        <w:rPr>
          <w:b/>
        </w:rPr>
        <w:t>Capa 4, con la parte del Impuesto de Sociedades:</w:t>
      </w:r>
      <w:r>
        <w:t xml:space="preserve"> el 50,7 % (930 euros más; hipótesis: la mitad de ese impuesto recae sobre los salarios).</w:t>
      </w:r>
    </w:p>
    <w:p>
      <w:pPr>
        <w:pStyle w:val="ListBullet"/>
      </w:pPr>
      <w:r>
        <w:rPr>
          <w:b/>
        </w:rPr>
        <w:t>Capa 5, con la carga futura del déficit:</w:t>
      </w:r>
      <w:r>
        <w:t xml:space="preserve"> el 53,6 % (1.112 euros más; no se paga este año: es la parte del déficit estructural que se pagará después).</w:t>
      </w:r>
    </w:p>
    <w:p>
      <w:r>
        <w:t xml:space="preserve">De cada 100 euros que paga la empresa, al menos 41 van a cotizaciones e IRPF; unos 48 con los demás impuestos de cada año; y hasta 53,6 con una hipótesis de reparto y una obligación futura. Le quedan 46,4. </w:t>
      </w:r>
      <w:r>
        <w:t>[21.00-3.2 a 3.8 y 3.15 a 3.23; 18.00-8.5]</w:t>
      </w:r>
    </w:p>
    <w:p>
      <w:r>
        <w:rPr>
          <w:b/>
        </w:rPr>
        <w:t>Las dos bases.</w:t>
      </w:r>
      <w:r>
        <w:t xml:space="preserve"> La nómina enseña el salario bruto, 30.237 euros, que no incluye la cotización de la empresa (9.243 euros, el 30,6 % del bruto). Por eso la misma carga se lee de dos maneras, y las dos son ciertas: sobre lo que paga la empresa, 53,6 de cada 100; y por cada 100 euros de salario bruto, la empresa desembolsa 130,6, de los que 69,9 van a la carga y 60,6 llegan al trabajador. Nunca se compara con 100 lo que suma 130,6. </w:t>
      </w:r>
      <w:r>
        <w:t>[21.00-3.10 y 3.11]</w:t>
      </w:r>
    </w:p>
    <w:p>
      <w:r>
        <w:rPr>
          <w:b/>
        </w:rPr>
        <w:t>El autónomo sin sociedad.</w:t>
      </w:r>
      <w:r>
        <w:t xml:space="preserve"> No tiene empresa que cotice por él: paga toda su cuota. Cotiza según sus rendimientos netos, en tablas de quince tramos, con una base mínima de 653,59 euros al mes en el primero de la tabla reducida y una máxima de 5.101,20</w:t>
      </w:r>
      <w:r>
        <w:t xml:space="preserve"> (Orden PJC/297/2026, art. 18.1)</w:t>
      </w:r>
      <w:r>
        <w:t>, y un tipo del 31,5 %: 28,30 de contingencias comunes, 1,30 de profesionales, 0,90 de equidad intergeneracional, 0,90 de cese de actividad y 0,10 de formación</w:t>
      </w:r>
      <w:r>
        <w:t xml:space="preserve"> (arts. 18.2 y 37)</w:t>
      </w:r>
      <w:r>
        <w:t xml:space="preserve">. Su cuota va de 205,88 a 1.606,88 euros al mes (cálculo). Con el mismo valor generado que el asalariado medio, las cinco capas suman en torno al 42 % si elige la base mínima de su tramo y en torno al 53 % si elige la máxima; con la mínima paga menos hoy, y su pensión se calculará sobre menos (cálculo de la obra con las reglas de 2026). </w:t>
      </w:r>
      <w:r>
        <w:t>[21.00-3.12, 3.14 y 9.2]</w:t>
      </w:r>
    </w:p>
    <w:p>
      <w:r>
        <w:rPr>
          <w:b/>
        </w:rPr>
        <w:t>El autónomo con sociedad.</w:t>
      </w:r>
      <w:r>
        <w:t xml:space="preserve"> Si administra una sociedad con al menos un 25 % o es socio con al menos un 33 %, su base no puede ser inferior a la mínima del grupo 7 del Régimen General</w:t>
      </w:r>
      <w:r>
        <w:t xml:space="preserve"> (Ley General de la Seguridad Social, art. 308.1.a, regla 4.ª)</w:t>
      </w:r>
      <w:r>
        <w:t>: 1.424,40 euros al mes en 2026</w:t>
      </w:r>
      <w:r>
        <w:t xml:space="preserve"> (Orden PJC/297/2026, art. 3)</w:t>
      </w:r>
      <w:r>
        <w:t>. Su cuota mínima ronda los 5.384 euros al año, frente a 2.470,56 del autónomo sin sociedad con la base más baja. Y la sociedad paga además el Impuesto de Sociedades: el 25 % en general; y, si factura menos de un millón de euros, el 19 % hasta 50.000 euros de base y el 21 % el resto en 2026 (21 y 22 % en 2025; 17 y 20 % en el régimen estable)</w:t>
      </w:r>
      <w:r>
        <w:t xml:space="preserve"> (Ley 27/2014, art. 29.1 y disposición transitoria cuadragésima cuarta)</w:t>
      </w:r>
      <w:r>
        <w:t xml:space="preserve">. Con el mismo valor generado, las cinco capas suman en torno al 42 % si todo se cobra como retribución, y al 48 % si se combina retribución y dividendos (cálculo de la obra). </w:t>
      </w:r>
      <w:r>
        <w:t>[21.00-3.13 y 9.3]</w:t>
      </w:r>
    </w:p>
    <w:p>
      <w:r>
        <w:rPr>
          <w:b/>
        </w:rPr>
        <w:t>Lo que cotiza el empleado, y lo que cotiza por él la empresa.</w:t>
      </w:r>
      <w:r>
        <w:t xml:space="preserve"> El trabajador aporta el 6,50 % de su salario: 4,70 de contingencias comunes, 0,15 de equidad intergeneracional, 1,55 de desempleo y 0,10 de formación. La empresa, el 30,65 %: 23,60, 0,75, 5,50, 0,20 de garantía salarial y 0,60</w:t>
      </w:r>
      <w:r>
        <w:t xml:space="preserve"> (Orden PJC/297/2026, arts. 4, 16 y 33)</w:t>
      </w:r>
      <w:r>
        <w:t xml:space="preserve">, más la de accidentes, que varía según la actividad. Sobre el salario medio de 2024, 29.540,26 euros, son 1.920,12 euros del trabajador y 9.054,09 de la empresa (cálculo). Los perfiles de funcionario, con su propio cálculo y sus cautelas, están en el </w:t>
      </w:r>
      <w:r>
        <w:t>anexo B</w:t>
      </w:r>
      <w:r>
        <w:t xml:space="preserve">. </w:t>
      </w:r>
      <w:r>
        <w:t>[21.00-9.4 a 9.11]</w:t>
      </w:r>
    </w:p>
    <w:p>
      <w:r>
        <w:rPr>
          <w:b/>
        </w:rPr>
        <w:t>Los costes indirectos.</w:t>
      </w:r>
      <w:r>
        <w:t xml:space="preserve"> La relación con la Administración obliga a pagar a terceros que no son impuestos: gestores y asesores, abogados y procuradores, notarios y registradores, arquitectos, ingenieros, peritos, entidades de certificación y colegios profesionales. Y la ley obliga a relacionarse por medios electrónicos, al menos, a «Las personas jurídicas» y a quienes ejercen una profesión con colegiación obligatoria</w:t>
      </w:r>
      <w:r>
        <w:t xml:space="preserve"> (Ley 39/2015, art. 14.2)</w:t>
      </w:r>
      <w:r>
        <w:t>. La ley exige proyecto técnico en la obra de nueva construcción, salvo las de escasa entidad constructiva y sencillez técnica que no tengan carácter residencial ni público y se desarrollen en una sola planta, y en las intervenciones que alteren la configuración arquitectónica</w:t>
      </w:r>
      <w:r>
        <w:t xml:space="preserve"> (Ley 38/1999, art. 2.2)</w:t>
      </w:r>
      <w:r>
        <w:t>; el visado colegial, en cambio, «únicamente» es obligatorio sobre ocho clases de trabajos, de la a) a la h): el proyecto de ejecución, el certificado final de obra, las legalizaciones, la demolición sin explosivos, las voladuras especiales, los explosivos y la cartuchería y pirotecnia</w:t>
      </w:r>
      <w:r>
        <w:t xml:space="preserve"> (Real Decreto 1000/2010, art. 2)</w:t>
      </w:r>
      <w:r>
        <w:t>. Cuánto suman esos honorarios no lo mide ninguna fuente oficial: es un hueco declarado, no una cifra. La ley obliga a quien tiene una actividad económica propia a conservar los justificantes de sus operaciones y a llevar contabilidad o, según su régimen, libros registro de ventas e ingresos, de compras y gastos y de bienes de inversión</w:t>
      </w:r>
      <w:r>
        <w:t xml:space="preserve"> (Real Decreto 439/2007, art. 68)</w:t>
      </w:r>
      <w:r>
        <w:t xml:space="preserve">. Hacerlo cuesta tiempo, o el sueldo y la cotización de quien lo haga, o los honorarios de la gestoría; no se ha encontrado ninguna cifra oficial de ese coste. </w:t>
      </w:r>
      <w:r>
        <w:t>[21.00-2.1, 7.2 a 7.5; 21.00-7.4]</w:t>
      </w:r>
    </w:p>
    <w:p>
      <w:r>
        <w:rPr>
          <w:b/>
        </w:rPr>
        <w:t>El tiempo de los trámites.</w:t>
      </w:r>
      <w:r>
        <w:t xml:space="preserve"> Una asociación de autónomos cifra en 226 horas al año el tiempo de cada autónomo en trámites, y, «Teniendo en cuenta un coste medio de 15 euros por hora», en 3.390 euros</w:t>
      </w:r>
      <w:r>
        <w:t xml:space="preserve"> (ATA, nota de 10-8-2026; asociación del sector)</w:t>
      </w:r>
      <w:r>
        <w:t>: unas cinco semanas y media de cuarenta horas. Para las pymes, otra fundación da 332 horas</w:t>
      </w:r>
      <w:r>
        <w:t xml:space="preserve"> (Fundación Civismo, 2021; estudio privado)</w:t>
      </w:r>
      <w:r>
        <w:t>. Y el Banco Mundial midió 143 horas al año para que una empresa mediana pague sus impuestos, menos que las 158,8 de los países ricos de la OCDE, pero con una tasa total del 47,0 % del beneficio, frente al 39,9 %</w:t>
      </w:r>
      <w:r>
        <w:t xml:space="preserve"> (Banco Mundial, Doing Business 2020, datos de 2018)</w:t>
      </w:r>
      <w:r>
        <w:t>. Para el asalariado no hay estudio equivalente, y tampoco se ha encontrado ninguno que mida el tiempo de atender las cartas del Estado, recoger notificaciones en Correos o desplazarse al ayuntamiento: queda como pregunta abierta. Ese tiempo también es tiempo de vida (</w:t>
      </w:r>
      <w:r>
        <w:t>8.3</w:t>
      </w:r>
      <w:r>
        <w:t xml:space="preserve">), y el </w:t>
      </w:r>
      <w:r>
        <w:t>anexo B</w:t>
      </w:r>
      <w:r>
        <w:t xml:space="preserve"> (</w:t>
      </w:r>
      <w:r>
        <w:t>B.6</w:t>
      </w:r>
      <w:r>
        <w:t xml:space="preserve">) lo valora en euros. </w:t>
      </w:r>
      <w:r>
        <w:t>[21.00-7.1, 7.5 a 7.9]</w:t>
      </w:r>
    </w:p>
    <w:p>
      <w:r>
        <w:rPr>
          <w:b/>
        </w:rPr>
        <w:t>Lo que se recibe.</w:t>
      </w:r>
      <w:r>
        <w:t xml:space="preserve"> Una pieza que mide solo lo que se cobra daría una imagen incompleta.</w:t>
      </w:r>
    </w:p>
    <w:p>
      <w:pPr>
        <w:pStyle w:val="ListBullet"/>
      </w:pPr>
      <w:r>
        <w:rPr>
          <w:b/>
        </w:rPr>
        <w:t>Pensiones.</w:t>
      </w:r>
      <w:r>
        <w:t xml:space="preserve"> La OCDE calcula que, con el salario medio y una carrera completa, la pensión en España sería el 80,4 % del salario, frente al 52,0 % de su media</w:t>
      </w:r>
      <w:r>
        <w:t xml:space="preserve"> (OCDE, Pensions at a Glance 2025, datos oficiales)</w:t>
      </w:r>
      <w:r>
        <w:t>. La de jubilación se resolvió en abril de 2026 en 9,28 días de media, con un máximo legal de 90</w:t>
      </w:r>
      <w:r>
        <w:t xml:space="preserve"> (Seguridad Social, nota de 26-5-2026)</w:t>
      </w:r>
      <w:r>
        <w:t>. Y la ley obliga a que las pensiones contributivas mantengan «su poder adquisitivo»</w:t>
      </w:r>
      <w:r>
        <w:t xml:space="preserve"> (Ley General de la Seguridad Social, art. 58.1)</w:t>
      </w:r>
      <w:r>
        <w:t>.</w:t>
      </w:r>
    </w:p>
    <w:p>
      <w:pPr>
        <w:pStyle w:val="ListBullet"/>
      </w:pPr>
      <w:r>
        <w:rPr>
          <w:b/>
        </w:rPr>
        <w:t>Sanidad.</w:t>
      </w:r>
      <w:r>
        <w:t xml:space="preserve"> A 31 de diciembre de 2025, 853.509 pacientes esperaban una operación, con una espera media de 121 días, y el 21,6 % llevaba más de seis meses</w:t>
      </w:r>
      <w:r>
        <w:t xml:space="preserve"> (Ministerio de Sanidad, listas de espera)</w:t>
      </w:r>
      <w:r>
        <w:t>. La espera media era de 50 días en Madrid y de 173 en Andalucía</w:t>
      </w:r>
      <w:r>
        <w:t xml:space="preserve"> (ídem, datos por comunidad)</w:t>
      </w:r>
      <w:r>
        <w:t>. Para ver al médico de familia, 8,85 días. Aun así, valoran bien la atención el 78,5 % de los atendidos en primaria, el 77,8 % en el hospital y el 73,5 % en urgencias, y la satisfacción general es de 6,02 sobre 10</w:t>
      </w:r>
      <w:r>
        <w:t xml:space="preserve"> (Barómetro Sanitario, julio de 2025)</w:t>
      </w:r>
      <w:r>
        <w:t>. La esperanza de vida, 84,0 años, frente a 81,5 en la UE</w:t>
      </w:r>
      <w:r>
        <w:t xml:space="preserve"> (Eurostat, 2024)</w:t>
      </w:r>
      <w:r>
        <w:t>.</w:t>
      </w:r>
    </w:p>
    <w:p>
      <w:pPr>
        <w:pStyle w:val="ListBullet"/>
      </w:pPr>
      <w:r>
        <w:rPr>
          <w:b/>
        </w:rPr>
        <w:t>Educación.</w:t>
      </w:r>
      <w:r>
        <w:t xml:space="preserve"> En PISA 2022, 473 puntos en matemáticas, sin diferencia significativa con la media de la OCDE (472), y con una bajada de 8 puntos desde 2018</w:t>
      </w:r>
      <w:r>
        <w:t xml:space="preserve"> (Ministerio de Educación, INEE, boletín n.º 79)</w:t>
      </w:r>
      <w:r>
        <w:t>.</w:t>
      </w:r>
    </w:p>
    <w:p>
      <w:pPr>
        <w:pStyle w:val="ListBullet"/>
      </w:pPr>
      <w:r>
        <w:rPr>
          <w:b/>
        </w:rPr>
        <w:t>La ayuda para hacer trámites.</w:t>
      </w:r>
      <w:r>
        <w:t xml:space="preserve"> Existe por ley, y la ley deja elegir: las personas físicas «podrán elegir en todo momento» si se comunican por medios electrónicos o no</w:t>
      </w:r>
      <w:r>
        <w:t xml:space="preserve"> (Ley 39/2015, art. 14.1)</w:t>
      </w:r>
      <w:r>
        <w:t>. Pero la cita previa obligatoria funciona como barrera, y el Defensor del Pueblo recomendó admitir escritos sin ella: «El registro público es la puerta de acceso de la ciudadanía a la Administración y, precisamente por ello, debe ofrecer las menores restricciones posibles»</w:t>
      </w:r>
      <w:r>
        <w:t xml:space="preserve"> (Defensor del Pueblo, recomendación de 23-8-2023, aceptada)</w:t>
      </w:r>
      <w:r>
        <w:br/>
      </w:r>
      <w:r>
        <w:rPr>
          <w:b/>
        </w:rPr>
        <w:t>leída en su fuente · Defensor del Pueblo, recomendación de 23-8-2023, aceptada</w:t>
      </w:r>
      <w:r>
        <w:br/>
      </w:r>
      <w:r>
        <w:rPr>
          <w:b/>
        </w:rPr>
        <w:t>Archivo leído:</w:t>
      </w:r>
      <w:r>
        <w:t xml:space="preserve"> 8.4_08_DefensorPueblo_23009282_cita_previa_OAMR_Murcia.html (c8b\8.4_08_DefensorPueblo_23009282_cita_previa_OAMR_Murcia.html) · contraste del archivo de pasajes: ✔</w:t>
      </w:r>
      <w:r>
        <w:br/>
      </w:r>
      <w:r>
        <w:rPr>
          <w:b/>
        </w:rPr>
        <w:t>Lugar:</w:t>
      </w:r>
      <w:r>
        <w:t xml:space="preserve"> Defensor del Pueblo, recomendación de 23-8-2023, aceptada</w:t>
      </w:r>
      <w:r>
        <w:br/>
      </w:r>
      <w:r>
        <w:rPr>
          <w:b/>
        </w:rPr>
        <w:t>Tal como está en la fuente:</w:t>
      </w:r>
      <w:r>
        <w:t xml:space="preserve"> El registro público es la puerta de acceso de la ciudadanía a la Administración y, precisamente por ello, debe ofrecer las menores restricciones posibles</w:t>
      </w:r>
      <w:r>
        <w:t>.</w:t>
      </w:r>
    </w:p>
    <w:p>
      <w:r>
        <w:t>[21.00-11.1 a 13.7]</w:t>
      </w:r>
    </w:p>
    <w:p>
      <w:r>
        <w:rPr>
          <w:b/>
        </w:rPr>
        <w:t>Conclusión, lo que arrojan los datos:</w:t>
      </w:r>
      <w:r>
        <w:t xml:space="preserve"> cada uno de estos hechos está verificado y varios ya se vieron por separado (</w:t>
      </w:r>
      <w:r>
        <w:t>7.6</w:t>
      </w:r>
      <w:r>
        <w:t>). Que su suma sea «servidumbre» o «extorsión», en el sentido estricto de esas palabras, excede lo que prueban: ninguno describe una coacción dirigida y consciente contra una persona concreta. Lo que sí describen, sin necesitar esas palabras, es una asimetría: el Estado extrae con automatismo y precisión, y devuelve con resultados desiguales. Es la misma asimetría de la auditoría, ahora en euros: el 62,1 % de incumplimiento en lo que la Constitución promete al ciudadano (</w:t>
      </w:r>
      <w:r>
        <w:t>7.4</w:t>
      </w:r>
      <w:r>
        <w:t xml:space="preserve">). </w:t>
      </w:r>
      <w:r>
        <w:t>[21.00-15.2 y 15.5]</w:t>
      </w:r>
    </w:p>
    <w:p>
      <w:r>
        <w:rPr>
          <w:b/>
        </w:rPr>
        <w:t>Lectura del autor:</w:t>
      </w:r>
      <w:r>
        <w:t xml:space="preserve"> la propuesta de la que parte este apartado es que la suma de la carga, la burocracia y los servicios que no llegan a tiempo configura una servidumbre económica encubierta. Y lo cuenta quien lo vive, autónomo: aunque tenga gestoría, tiene que recopilar las facturas, revisar los documentos y preparar facturas que el cliente no pide, solo para poder declarar lo que gana; delegar cuesta honorarios y no quita ese trabajo; si lo hace una persona contratada para ello, cuesta su sueldo y su cotización a la Seguridad Social; y si no hay quien lo haga, se hace en el tiempo libre. Es experiencia del autor, no una estadística. Y esa carga tiene, para el autor, daños laterales: encarece toda la interacción económica entre los hombres, y es muy pesada. No está medido. Y la dispersión de los datos sobre cuántos son y cuánto cobran los cargos políticos y sus asesores funciona como una forma de dificultar su conocimiento (</w:t>
      </w:r>
      <w:r>
        <w:t>8.6</w:t>
      </w:r>
      <w:r>
        <w:t xml:space="preserve">); que esa dispersión haya sido buscada, los hechos no lo demuestran ni lo descartan. </w:t>
      </w:r>
      <w:r>
        <w:t>[21.00-15.1, 15.3 y 7.8]</w:t>
      </w:r>
    </w:p>
    <w:p>
      <w:pPr>
        <w:pStyle w:val="Heading2"/>
      </w:pPr>
      <w:r>
        <w:t>8.5 La extracción</w:t>
      </w:r>
    </w:p>
    <w:p>
      <w:pPr>
        <w:pBdr>
          <w:left w:val="single" w:sz="24" w:space="6" w:color="E2DED6"/>
        </w:pBdr>
        <w:shd w:val="clear" w:color="auto" w:fill="F1EEE8"/>
        <w:spacing w:before="80" w:after="160"/>
        <w:ind w:left="142" w:right="142"/>
      </w:pPr>
      <w:r>
        <w:rPr>
          <w:b/>
        </w:rPr>
        <w:t>La idea: el sistema toma actuando, y toma también no actuando. Cuando el ciudadano omite, el sistema tiene recargo, sanción y apremio; cuando omite el sistema, el ciudadano tiene que acudir a un tribunal y esperar años.</w:t>
      </w:r>
    </w:p>
    <w:p>
      <w:r>
        <w:rPr>
          <w:b/>
        </w:rPr>
        <w:t>La vara.</w:t>
      </w:r>
      <w:r>
        <w:t xml:space="preserve"> Es la del daño (</w:t>
      </w:r>
      <w:r>
        <w:t>2.3</w:t>
      </w:r>
      <w:r>
        <w:t>): el poder se ejerce legítimamente para evitar un daño a otros. Y para las omisiones, la obra se pone una regla estricta: solo cuenta una si hay (</w:t>
      </w:r>
      <w:r>
        <w:t>1</w:t>
      </w:r>
      <w:r>
        <w:t>) un deber jurídico documentado de actuar, (</w:t>
      </w:r>
      <w:r>
        <w:t>2</w:t>
      </w:r>
      <w:r>
        <w:t>) un plazo vencido y verificable, y (</w:t>
      </w:r>
      <w:r>
        <w:t>3</w:t>
      </w:r>
      <w:r>
        <w:t>) un tercero que lo certifique, un tribunal, la Comisión Europea o el propio Gobierno por escrito. Si falta una, es retraso, no omisión. El criterio lo toma del Código Penal, sin imputar nada a nadie: un resultado se entiende causado por omisión cuando su no evitación, «al infringir un especial deber jurídico del autor, equivalga, según el sentido del texto de la ley, a su causación»</w:t>
      </w:r>
      <w:r>
        <w:t xml:space="preserve"> (Código Penal, art. 11)</w:t>
      </w:r>
      <w:r>
        <w:br/>
      </w:r>
      <w:r>
        <w:rPr>
          <w:b/>
        </w:rPr>
        <w:t>leída en su fuente · Código Penal, art. 11</w:t>
      </w:r>
      <w:r>
        <w:br/>
      </w:r>
      <w:r>
        <w:rPr>
          <w:b/>
        </w:rPr>
        <w:t>Archivo leído:</w:t>
      </w:r>
      <w:r>
        <w:t xml:space="preserve"> cp.html (c2\cp.html) · contraste del archivo de pasajes: ✔</w:t>
      </w:r>
      <w:r>
        <w:br/>
      </w:r>
      <w:r>
        <w:rPr>
          <w:b/>
        </w:rPr>
        <w:t>Lugar:</w:t>
      </w:r>
      <w:r>
        <w:t xml:space="preserve"> Código Penal, art. 11</w:t>
      </w:r>
      <w:r>
        <w:br/>
      </w:r>
      <w:r>
        <w:rPr>
          <w:b/>
        </w:rPr>
        <w:t>Tal como está en la fuente:</w:t>
      </w:r>
      <w:r>
        <w:t xml:space="preserve"> al infringir un especial deber jurídico del autor, equivalga, según el sentido del texto de la ley, a su causación</w:t>
      </w:r>
      <w:r>
        <w:t xml:space="preserve">. </w:t>
      </w:r>
      <w:r>
        <w:t>[20.00-1.2, 30.1 y 30.2]</w:t>
      </w:r>
    </w:p>
    <w:p>
      <w:r>
        <w:rPr>
          <w:b/>
        </w:rPr>
        <w:t>1. La obligación que entra estrecha y se ensancha.</w:t>
      </w:r>
    </w:p>
    <w:p>
      <w:pPr>
        <w:pStyle w:val="ListBullet"/>
      </w:pPr>
      <w:r>
        <w:rPr>
          <w:b/>
        </w:rPr>
        <w:t>El IVA</w:t>
      </w:r>
      <w:r>
        <w:t xml:space="preserve"> entró en 1986 con un tipo general del 12 %</w:t>
      </w:r>
      <w:r>
        <w:t xml:space="preserve"> (Ley 30/1985, art. 27.1)</w:t>
      </w:r>
      <w:r>
        <w:t>; pasó al 13 % el 1 de enero de 1992</w:t>
      </w:r>
      <w:r>
        <w:t xml:space="preserve"> (Ley 31/1991, art. 81)</w:t>
      </w:r>
      <w:r>
        <w:t>, al 15 % el 1 de agosto de 1992</w:t>
      </w:r>
      <w:r>
        <w:t xml:space="preserve"> (Real Decreto-ley 5/1992, art. 1.1)</w:t>
      </w:r>
      <w:r>
        <w:t>, al 16 % en 1995</w:t>
      </w:r>
      <w:r>
        <w:t xml:space="preserve"> (Ley 41/1994, art. 78)</w:t>
      </w:r>
      <w:r>
        <w:t>, al 18 % el 1 de julio de 2010</w:t>
      </w:r>
      <w:r>
        <w:t xml:space="preserve"> (Ley 26/2009, art. 79)</w:t>
      </w:r>
      <w:r>
        <w:t xml:space="preserve"> y al 21 % el 1 de septiembre de 2012</w:t>
      </w:r>
      <w:r>
        <w:t xml:space="preserve"> (Real Decreto-ley 20/2012, art. 23)</w:t>
      </w:r>
      <w:r>
        <w:t>.</w:t>
      </w:r>
    </w:p>
    <w:p>
      <w:pPr>
        <w:pStyle w:val="ListBullet"/>
      </w:pPr>
      <w:r>
        <w:rPr>
          <w:b/>
        </w:rPr>
        <w:t>El cinturón:</w:t>
      </w:r>
      <w:r>
        <w:t xml:space="preserve"> obligatorio de instalar en los asientos delanteros en 1972</w:t>
      </w:r>
      <w:r>
        <w:t xml:space="preserve"> (Decreto 3530/1972)</w:t>
      </w:r>
      <w:r>
        <w:t>, de usar en vías interurbanas desde el 11 de noviembre de 1974</w:t>
      </w:r>
      <w:r>
        <w:t xml:space="preserve"> (Decreto 2926/1974)</w:t>
      </w:r>
      <w:r>
        <w:t>, y en 1992 también en vías urbanas y, para los turismos nuevos, en los asientos traseros</w:t>
      </w:r>
      <w:r>
        <w:t xml:space="preserve"> (Real Decreto 13/1992, art. 117 y disposiciones transitorias)</w:t>
      </w:r>
      <w:r>
        <w:t>.</w:t>
      </w:r>
    </w:p>
    <w:p>
      <w:pPr>
        <w:pStyle w:val="ListBullet"/>
      </w:pPr>
      <w:r>
        <w:rPr>
          <w:b/>
        </w:rPr>
        <w:t>El casco:</w:t>
      </w:r>
      <w:r>
        <w:t xml:space="preserve"> desde 1982, para las motos de más de 125 centímetros cúbicos en todas las vías y para las demás solo en las interurbanas</w:t>
      </w:r>
      <w:r>
        <w:t xml:space="preserve"> (Real Decreto 1467/1981)</w:t>
      </w:r>
      <w:r>
        <w:t>; desde 1992, para todas, en todas las vías</w:t>
      </w:r>
      <w:r>
        <w:t xml:space="preserve"> (Real Decreto 13/1992, art. 118.1)</w:t>
      </w:r>
      <w:r>
        <w:t>.</w:t>
      </w:r>
    </w:p>
    <w:p>
      <w:pPr>
        <w:pStyle w:val="ListBullet"/>
      </w:pPr>
      <w:r>
        <w:rPr>
          <w:b/>
        </w:rPr>
        <w:t>Y las excepciones</w:t>
      </w:r>
      <w:r>
        <w:t>, que también se dicen: el tipo incrementado del IVA bajó del 33 % al 28 % en 1992 y se suprimió en 1993</w:t>
      </w:r>
      <w:r>
        <w:t xml:space="preserve"> (Leyes 30/1985, 31/1991 y 37/1992)</w:t>
      </w:r>
      <w:r>
        <w:t>; y el cargo al autoconsumo eléctrico de 2015</w:t>
      </w:r>
      <w:r>
        <w:t xml:space="preserve"> (Real Decreto 900/2015, art. 17)</w:t>
      </w:r>
      <w:r>
        <w:t xml:space="preserve"> se derogó en 2018: «se reconoce el derecho a autoconsumir energía eléctrica sin cargos»</w:t>
      </w:r>
      <w:r>
        <w:t xml:space="preserve"> (Real Decreto-ley 15/2018, exposición de motivos)</w:t>
      </w:r>
      <w:r>
        <w:br/>
      </w:r>
      <w:r>
        <w:rPr>
          <w:b/>
        </w:rPr>
        <w:t>leída en su fuente · Real Decreto-ley 15/2018, exposición de motivos</w:t>
      </w:r>
      <w:r>
        <w:br/>
      </w:r>
      <w:r>
        <w:rPr>
          <w:b/>
        </w:rPr>
        <w:t>Archivo leído:</w:t>
      </w:r>
      <w:r>
        <w:t xml:space="preserve"> 8.5_17i_RDL_15-2018_BOE-A-2018-13593.html (c8c\8.5_17i_RDL_15-2018_BOE-A-2018-13593.html) · contraste del archivo de pasajes: ✔</w:t>
      </w:r>
      <w:r>
        <w:br/>
      </w:r>
      <w:r>
        <w:rPr>
          <w:b/>
        </w:rPr>
        <w:t>Lugar:</w:t>
      </w:r>
      <w:r>
        <w:t xml:space="preserve"> Real Decreto-ley 15/2018, exposición de motivos</w:t>
      </w:r>
      <w:r>
        <w:br/>
      </w:r>
      <w:r>
        <w:rPr>
          <w:b/>
        </w:rPr>
        <w:t>Tal como está en la fuente:</w:t>
      </w:r>
      <w:r>
        <w:t xml:space="preserve"> se reconoce el derecho a autoconsumir energía eléctrica sin cargos</w:t>
      </w:r>
      <w:r>
        <w:t>.</w:t>
      </w:r>
    </w:p>
    <w:p>
      <w:r>
        <w:t xml:space="preserve">La obligación suele entrar estrecha y ensancharse después. No siempre. </w:t>
      </w:r>
      <w:r>
        <w:t>[20.00-16.1 y 16.2; normas leídas en el BOE]</w:t>
      </w:r>
    </w:p>
    <w:p>
      <w:r>
        <w:rPr>
          <w:b/>
        </w:rPr>
        <w:t>2. Lo firme no se revisa, con una excepción.</w:t>
      </w:r>
      <w:r>
        <w:t xml:space="preserve"> La ley de los estados de alarma permite «Practicar requisas temporales de todo tipo de bienes e imponer prestaciones personales obligatorias»</w:t>
      </w:r>
      <w:r>
        <w:t xml:space="preserve"> (Ley Orgánica 4/1981, art. 11.b)</w:t>
      </w:r>
      <w:r>
        <w:br/>
      </w:r>
      <w:r>
        <w:rPr>
          <w:b/>
        </w:rPr>
        <w:t>leída en su fuente · Ley Orgánica 4/1981, art. 11.b</w:t>
      </w:r>
      <w:r>
        <w:br/>
      </w:r>
      <w:r>
        <w:rPr>
          <w:b/>
        </w:rPr>
        <w:t>Archivo leído:</w:t>
      </w:r>
      <w:r>
        <w:t xml:space="preserve"> 8.5_08a_LO_4-1981_estados_alarma_BOE.html (c8c\8.5_08a_LO_4-1981_estados_alarma_BOE.html) · contraste del archivo de pasajes: ✔</w:t>
      </w:r>
      <w:r>
        <w:br/>
      </w:r>
      <w:r>
        <w:rPr>
          <w:b/>
        </w:rPr>
        <w:t>Lugar:</w:t>
      </w:r>
      <w:r>
        <w:t xml:space="preserve"> Ley Orgánica 4/1981, art. 11.b</w:t>
      </w:r>
      <w:r>
        <w:br/>
      </w:r>
      <w:r>
        <w:rPr>
          <w:b/>
        </w:rPr>
        <w:t>Tal como está en la fuente:</w:t>
      </w:r>
      <w:r>
        <w:t xml:space="preserve"> Practicar requisas temporales de todo tipo de bienes e imponer prestaciones personales obligatorias</w:t>
      </w:r>
      <w:r>
        <w:t>, y no se ha reformado desde 1981. Cuando terminan, caen las medidas, «salvo las que consistiesen en sanciones firmes»</w:t>
      </w:r>
      <w:r>
        <w:t xml:space="preserve"> (art. 1.3)</w:t>
      </w:r>
      <w:r>
        <w:br/>
      </w:r>
      <w:r>
        <w:rPr>
          <w:b/>
        </w:rPr>
        <w:t>leída en su fuente · art. 1.3</w:t>
      </w:r>
      <w:r>
        <w:br/>
      </w:r>
      <w:r>
        <w:rPr>
          <w:b/>
        </w:rPr>
        <w:t>Archivo leído:</w:t>
      </w:r>
      <w:r>
        <w:t xml:space="preserve"> 8.5_08a_LO_4-1981_estados_alarma_BOE.html (c8c\8.5_08a_LO_4-1981_estados_alarma_BOE.html) · contraste del archivo de pasajes: ✔</w:t>
      </w:r>
      <w:r>
        <w:br/>
      </w:r>
      <w:r>
        <w:rPr>
          <w:b/>
        </w:rPr>
        <w:t>Lugar:</w:t>
      </w:r>
      <w:r>
        <w:t xml:space="preserve"> art. 1.3</w:t>
      </w:r>
      <w:r>
        <w:br/>
      </w:r>
      <w:r>
        <w:rPr>
          <w:b/>
        </w:rPr>
        <w:t>Tal como está en la fuente:</w:t>
      </w:r>
      <w:r>
        <w:t xml:space="preserve"> salvo las que consistiesen en sanciones firmes</w:t>
      </w:r>
      <w:r>
        <w:t>. El Constitucional anuló parte del primer estado de alarma (</w:t>
      </w:r>
      <w:r>
        <w:t>7.2</w:t>
      </w:r>
      <w:r>
        <w:t>, n.º 9) y fijó los efectos: no se revisan los procesos con cosa juzgada, las situaciones decididas por actos administrativos firmes ni «las demás situaciones jurídicas generadas por la aplicación de los preceptos anulados»; pero «sí es posible la revisión» de las sanciones penales o administrativas, por el art. 40.1 de su ley orgánica; y, «al tratarse de medidas que los ciudadanos tenían el deber jurídico de soportar», la sentencia no da por sí misma derecho a indemnización</w:t>
      </w:r>
      <w:r>
        <w:t xml:space="preserve"> (STC 148/2021, FJ 11)</w:t>
      </w:r>
      <w:r>
        <w:t>. Es el mismo patrón que la plusvalía (</w:t>
      </w:r>
      <w:r>
        <w:t>5.1</w:t>
      </w:r>
      <w:r>
        <w:t>, n.º 9) y que la Zona de Bajas Emisiones de Madrid (</w:t>
      </w:r>
      <w:r>
        <w:t>7.5</w:t>
      </w:r>
      <w:r>
        <w:t>, caso 2): el Supremo inadmitió el recurso del Ayuntamiento y la anulación es firme</w:t>
      </w:r>
      <w:r>
        <w:t xml:space="preserve"> (auto del Tribunal Supremo de 15-4-2026)</w:t>
      </w:r>
      <w:r>
        <w:t>; la nueva ordenanza rige hacia delante</w:t>
      </w:r>
      <w:r>
        <w:t xml:space="preserve"> (Ordenanza 2/2026, BOCM de 6-4-2026)</w:t>
      </w:r>
      <w:r>
        <w:t>, y el Ayuntamiento no devuelve lo cobrado, según la prensa</w:t>
      </w:r>
      <w:r>
        <w:t xml:space="preserve"> (fuente secundaria: prensa, abril y julio de 2026)</w:t>
      </w:r>
      <w:r>
        <w:t xml:space="preserve">. </w:t>
      </w:r>
      <w:r>
        <w:t>[20.00-17.1, 17.2 y 19.1 a 19.3]</w:t>
      </w:r>
    </w:p>
    <w:p>
      <w:r>
        <w:rPr>
          <w:b/>
        </w:rPr>
        <w:t>3. La gasolina.</w:t>
      </w:r>
      <w:r>
        <w:t xml:space="preserve"> Entre el 1 de enero de 2013 y el 1 de enero de 2019, las comunidades autónomas pudieron fijar un tramo propio del impuesto sobre hidrocarburos</w:t>
      </w:r>
      <w:r>
        <w:t xml:space="preserve"> (STS 872/2026)</w:t>
      </w:r>
      <w:r>
        <w:t>. El Tribunal de Justicia de la UE declaró que la directiva europea se opone a una norma que autoriza a las comunidades «a establecer tipos del impuesto especial diferenciados para un mismo producto y un mismo uso»</w:t>
      </w:r>
      <w:r>
        <w:t xml:space="preserve"> (sentencia de 30-5-2024, C-743/22)</w:t>
      </w:r>
      <w:r>
        <w:br/>
      </w:r>
      <w:r>
        <w:rPr>
          <w:b/>
        </w:rPr>
        <w:t>leída en su fuente · sentencia de 30-5-2024, C-743/22</w:t>
      </w:r>
      <w:r>
        <w:br/>
      </w:r>
      <w:r>
        <w:rPr>
          <w:b/>
        </w:rPr>
        <w:t>Archivo leído:</w:t>
      </w:r>
      <w:r>
        <w:t xml:space="preserve"> 8.5_12a_STJUE_C-743-22_30-05-2024_EURLex.html (c8c\8.5_12a_STJUE_C-743-22_30-05-2024_EURLex.html) · contraste del archivo de pasajes: ✔</w:t>
      </w:r>
      <w:r>
        <w:br/>
      </w:r>
      <w:r>
        <w:rPr>
          <w:b/>
        </w:rPr>
        <w:t>Lugar:</w:t>
      </w:r>
      <w:r>
        <w:t xml:space="preserve"> sentencia de 30-5-2024, C-743/22</w:t>
      </w:r>
      <w:r>
        <w:br/>
      </w:r>
      <w:r>
        <w:rPr>
          <w:b/>
        </w:rPr>
        <w:t>Tal como está en la fuente:</w:t>
      </w:r>
      <w:r>
        <w:t xml:space="preserve"> a establecer tipos del impuesto especial diferenciados para un mismo producto y un mismo uso</w:t>
      </w:r>
      <w:r>
        <w:t>. Antes ya había condenado a España por poner trabas a la indemnización de los daños causados por el legislador contra el derecho de la Unión</w:t>
      </w:r>
      <w:r>
        <w:t xml:space="preserve"> (sentencia de 28-6-2022, C-278/20)</w:t>
      </w:r>
      <w:r>
        <w:t>. Hacienda inadmitió las reclamaciones por fuera de plazo; el Supremo anuló esa inadmisión y ordenó al Consejo de Ministros tramitar el procedimiento «con libertad de criterios»; pero advirtió que «no resulta posible afirmar, en este momento procesal, la acreditación suficiente del perjuicio alegado»</w:t>
      </w:r>
      <w:r>
        <w:t xml:space="preserve"> (STS 872/2026, de 9-7-2026)</w:t>
      </w:r>
      <w:r>
        <w:br/>
      </w:r>
      <w:r>
        <w:rPr>
          <w:b/>
        </w:rPr>
        <w:t>pasaje guardado · STS 872/2026, de 9-7-2026</w:t>
      </w:r>
      <w:r>
        <w:br/>
      </w:r>
      <w:r>
        <w:rPr>
          <w:b/>
        </w:rPr>
        <w:t>Archivo leído:</w:t>
      </w:r>
      <w:r>
        <w:t xml:space="preserve"> 8.5_12c_STS_09-07-2026_tramo_autonomico_hidrocarburos_ECLI_ES_TS_2026_3102.pdf (c8c\8.5_12c_STS_09-07-2026_tramo_autonomico_hidrocarburos_ECLI_ES_TS_2026_3102.pdf) · contraste del archivo de pasajes: parcial</w:t>
      </w:r>
      <w:r>
        <w:br/>
      </w:r>
      <w:r>
        <w:rPr>
          <w:b/>
        </w:rPr>
        <w:t>Lugar:</w:t>
      </w:r>
      <w:r>
        <w:t xml:space="preserve"> STS 872/2026, de 9-7-2026</w:t>
      </w:r>
      <w:r>
        <w:br/>
      </w:r>
      <w:r>
        <w:rPr>
          <w:b/>
        </w:rPr>
        <w:t>Tal como está en la fuente:</w:t>
      </w:r>
      <w:r>
        <w:t xml:space="preserve"> no resulta posible afirmar, en este momento procesal, la acreditación suficiente del perjuicio alegado</w:t>
      </w:r>
      <w:r>
        <w:t xml:space="preserve">. Es una victoria de acceso, no de cobro. </w:t>
      </w:r>
      <w:r>
        <w:t>[20.00-21.1 y 21.2]</w:t>
      </w:r>
    </w:p>
    <w:p>
      <w:r>
        <w:rPr>
          <w:b/>
        </w:rPr>
        <w:t>4. La franquicia del IVA.</w:t>
      </w:r>
      <w:r>
        <w:t xml:space="preserve"> Ya se vio (</w:t>
      </w:r>
      <w:r>
        <w:t>7.5</w:t>
      </w:r>
      <w:r>
        <w:t>, caso 1). La Comisión lo dice así: España «Es el único Estado miembro que no lo ha hecho»</w:t>
      </w:r>
      <w:r>
        <w:t xml:space="preserve"> (Comisión Europea, comunicado de 11-3-2026)</w:t>
      </w:r>
      <w:r>
        <w:br/>
      </w:r>
      <w:r>
        <w:rPr>
          <w:b/>
        </w:rPr>
        <w:t>leída en su fuente · Comisión Europea, comunicado de 11-3-2026</w:t>
      </w:r>
      <w:r>
        <w:br/>
      </w:r>
      <w:r>
        <w:rPr>
          <w:b/>
        </w:rPr>
        <w:t>Archivo leído:</w:t>
      </w:r>
      <w:r>
        <w:t xml:space="preserve"> 19.00_Comision_Europea_IP_26_442_ES_Espana_TJUE_IVA.pdf (c7a\19.00_Comision_Europea_IP_26_442_ES_Espana_TJUE_IVA.pdf) · contraste del archivo de pasajes: ✔</w:t>
      </w:r>
      <w:r>
        <w:br/>
      </w:r>
      <w:r>
        <w:rPr>
          <w:b/>
        </w:rPr>
        <w:t>Lugar:</w:t>
      </w:r>
      <w:r>
        <w:t xml:space="preserve"> Comisión Europea, comunicado de 11-3-2026</w:t>
      </w:r>
      <w:r>
        <w:br/>
      </w:r>
      <w:r>
        <w:rPr>
          <w:b/>
        </w:rPr>
        <w:t>Tal como está en la fuente:</w:t>
      </w:r>
      <w:r>
        <w:t xml:space="preserve"> Es el único Estado miembro que no lo ha hecho</w:t>
      </w:r>
      <w:r>
        <w:t>. Pide que se calcule una suma a tanto alzado con 32.430 euros por día de retraso, con un mínimo de 7.540.000, y, si sigue sin transponer cuando haya sentencia, una multa de 135.811,20 euros al día</w:t>
      </w:r>
      <w:r>
        <w:t xml:space="preserve"> (asunto C-504/26, Diario Oficial de la UE, 6-7-2026)</w:t>
      </w:r>
      <w:r>
        <w:t>. Está pedido, no impuesto. Y dentro de España hubo quien movió ficha: Canarias subió su franquicia del impuesto canario «del límite actual de 30.000 euros hasta los 50.000 euros»</w:t>
      </w:r>
      <w:r>
        <w:t xml:space="preserve"> (Decreto ley 3/2026 de Canarias, exposición de motivos)</w:t>
      </w:r>
      <w:r>
        <w:br/>
      </w:r>
      <w:r>
        <w:rPr>
          <w:b/>
        </w:rPr>
        <w:t>leída en su fuente · Decreto ley 3/2026 de Canarias, exposición de motivos</w:t>
      </w:r>
      <w:r>
        <w:br/>
      </w:r>
      <w:r>
        <w:rPr>
          <w:b/>
        </w:rPr>
        <w:t>Archivo leído:</w:t>
      </w:r>
      <w:r>
        <w:t xml:space="preserve"> 8.5_13c_BOC_066_07-04-2026_Decreto_ley_3-2026_Canarias.pdf (c8c\8.5_13c_BOC_066_07-04-2026_Decreto_ley_3-2026_Canarias.pdf) · contraste del archivo de pasajes: ✔</w:t>
      </w:r>
      <w:r>
        <w:br/>
      </w:r>
      <w:r>
        <w:rPr>
          <w:b/>
        </w:rPr>
        <w:t>Lugar:</w:t>
      </w:r>
      <w:r>
        <w:t xml:space="preserve"> Decreto ley 3/2026 de Canarias, exposición de motivos</w:t>
      </w:r>
      <w:r>
        <w:br/>
      </w:r>
      <w:r>
        <w:rPr>
          <w:b/>
        </w:rPr>
        <w:t>Tal como está en la fuente:</w:t>
      </w:r>
      <w:r>
        <w:t xml:space="preserve"> del límite actual de 30.000 euros hasta los 50.000 euros</w:t>
      </w:r>
      <w:r>
        <w:t xml:space="preserve">. </w:t>
      </w:r>
      <w:r>
        <w:t>[20.00-25.1 y 25.2]</w:t>
      </w:r>
    </w:p>
    <w:p>
      <w:r>
        <w:rPr>
          <w:b/>
        </w:rPr>
        <w:t>5. El algoritmo del bono social.</w:t>
      </w:r>
      <w:r>
        <w:t xml:space="preserve"> La Administración decide con un programa, BOSCO, quién recibe el descuento en la luz de los hogares vulnerables. Una fundación pidió su código para comprobar si aplicaba bien la ley; se le negó. El Supremo declaró «el derecho de la Fundación Ciudadana Civio a acceder al código fuente de la aplicación informática BOSCO, condenando a la Administración demandada a proporcionárselo»</w:t>
      </w:r>
      <w:r>
        <w:t xml:space="preserve"> (STS 1119/2025, de 11-9-2025)</w:t>
      </w:r>
      <w:r>
        <w:br/>
      </w:r>
      <w:r>
        <w:rPr>
          <w:b/>
        </w:rPr>
        <w:t>leída en su fuente · STS 1119/2025, de 11-9-2025</w:t>
      </w:r>
      <w:r>
        <w:br/>
      </w:r>
      <w:r>
        <w:rPr>
          <w:b/>
        </w:rPr>
        <w:t>Archivo leído:</w:t>
      </w:r>
      <w:r>
        <w:t xml:space="preserve"> 8.5_14_STS_1119-2025_BOSCO_Civio_ECLI_ES_TS_2025_3826.pdf (c8c\8.5_14_STS_1119-2025_BOSCO_Civio_ECLI_ES_TS_2025_3826.pdf) · contraste del archivo de pasajes: ✔</w:t>
      </w:r>
      <w:r>
        <w:br/>
      </w:r>
      <w:r>
        <w:rPr>
          <w:b/>
        </w:rPr>
        <w:t>Lugar:</w:t>
      </w:r>
      <w:r>
        <w:t xml:space="preserve"> STS 1119/2025, de 11-9-2025</w:t>
      </w:r>
      <w:r>
        <w:br/>
      </w:r>
      <w:r>
        <w:rPr>
          <w:b/>
        </w:rPr>
        <w:t>Tal como está en la fuente:</w:t>
      </w:r>
      <w:r>
        <w:t xml:space="preserve"> el derecho de la Fundación Ciudadana Civio a acceder al código fuente de la aplicación informática BOSCO, condenando a la Administración demandada a proporcionárselo</w:t>
      </w:r>
      <w:r>
        <w:t xml:space="preserve">. Entre la resolución del Consejo de Transparencia, de febrero de 2019, y la sentencia pasaron más de seis años. </w:t>
      </w:r>
      <w:r>
        <w:t>[20.00-26.1 y 26.2]</w:t>
      </w:r>
    </w:p>
    <w:p>
      <w:r>
        <w:rPr>
          <w:b/>
        </w:rPr>
        <w:t>6. La medida que sanciona.</w:t>
      </w:r>
      <w:r>
        <w:t xml:space="preserve"> Un aparato que mide para sancionar debe pasar control metrológico: «lo determinante es si para la constancia de una conducta infractora miden cierto parámetro»</w:t>
      </w:r>
      <w:r>
        <w:t xml:space="preserve"> (STS de 12-11-2015, rec. 816/2015, FJ 10)</w:t>
      </w:r>
      <w:r>
        <w:br/>
      </w:r>
      <w:r>
        <w:rPr>
          <w:b/>
        </w:rPr>
        <w:t>leída en su fuente · STS de 12-11-2015, rec. 816/2015, FJ 10</w:t>
      </w:r>
      <w:r>
        <w:br/>
      </w:r>
      <w:r>
        <w:rPr>
          <w:b/>
        </w:rPr>
        <w:t>Archivo leído:</w:t>
      </w:r>
      <w:r>
        <w:t xml:space="preserve"> 8.5_11c_STS_12-11-2015_rec_816-2015_foto-rojo_San_Sebastian_civil-mercantil.pdf (c8c\8.5_11c_STS_12-11-2015_rec_816-2015_foto-rojo_San_Sebastian_civil-mercantil.pdf) · contraste del archivo de pasajes: ✔</w:t>
      </w:r>
      <w:r>
        <w:br/>
      </w:r>
      <w:r>
        <w:rPr>
          <w:b/>
        </w:rPr>
        <w:t>Lugar:</w:t>
      </w:r>
      <w:r>
        <w:t xml:space="preserve"> STS de 12-11-2015, rec. 816/2015, FJ 10</w:t>
      </w:r>
      <w:r>
        <w:br/>
      </w:r>
      <w:r>
        <w:rPr>
          <w:b/>
        </w:rPr>
        <w:t>Tal como está en la fuente:</w:t>
      </w:r>
      <w:r>
        <w:t xml:space="preserve"> lo determinante es si para la constancia de una conducta infractora miden cierto parámetro</w:t>
      </w:r>
      <w:r>
        <w:t>; y el foto-rojo «sí hace mediciones»</w:t>
      </w:r>
      <w:r>
        <w:t xml:space="preserve"> (STS 1978/2017, citada por el Procurador del Común; fuente secundaria: no se ha podido leer entera)</w:t>
      </w:r>
      <w:r>
        <w:t>. Para los radares, el margen de error es del 5 % si miden desde una ubicación sin movimiento, y del 7 % si se mueven</w:t>
      </w:r>
      <w:r>
        <w:t xml:space="preserve"> (STS 184/2018)</w:t>
      </w:r>
      <w:r>
        <w:t xml:space="preserve">. </w:t>
      </w:r>
      <w:r>
        <w:t>[20.00-20.1 y 20.2]</w:t>
      </w:r>
    </w:p>
    <w:p>
      <w:r>
        <w:rPr>
          <w:b/>
        </w:rPr>
        <w:t>7. La dependencia.</w:t>
      </w:r>
      <w:r>
        <w:t xml:space="preserve"> En 2025, 32.704 personas murieron esperando una respuesta del sistema de dependencia: 17.994 sin que se les hubiera resuelto el grado y 14.710 con el grado reconocido, esperando la prestación. Fueron 40.447 en 2023 y 34.252 en 2024; el tiempo medio de resolución, 341 días</w:t>
      </w:r>
      <w:r>
        <w:t xml:space="preserve"> (Observatorio Estatal de la Dependencia, XXVI Dictamen, presentado en el Congreso el 13-3-2026)</w:t>
      </w:r>
      <w:r>
        <w:t>. Una persona cada dieciséis minutos. A 31 de marzo de 2026 esperaban 271.556 personas: 118.716 sin valorar y 152.840 con la prestación reconocida</w:t>
      </w:r>
      <w:r>
        <w:t xml:space="preserve"> (nota de la Asociación de Directoras y Gerentes de Servicios Sociales, 10-4-2026, con datos del Ministerio)</w:t>
      </w:r>
      <w:r>
        <w:t xml:space="preserve">. </w:t>
      </w:r>
      <w:r>
        <w:t>[20.00-11.1 a 11.3]</w:t>
      </w:r>
    </w:p>
    <w:p>
      <w:r>
        <w:rPr>
          <w:b/>
        </w:rPr>
        <w:t>8. Los aforados.</w:t>
      </w:r>
      <w:r>
        <w:t xml:space="preserve"> El presidente del Consejo General del Poder Judicial lo dijo en el Congreso en 2017: «en España existen actualmente casi 250.000 aforados. De estos, algo más de 232.000 lo son de las Fuerzas y Cuerpos de Seguridad, estatales, autonómicos y locales; cinco son miembros de la familia real y el resto, 17.603, pertenecen a instituciones del Estado y de las comunidades autónomas»</w:t>
      </w:r>
      <w:r>
        <w:t xml:space="preserve"> (Diario de Sesiones del Congreso, Comisión de Justicia, n.º 157, 15-3-2017)</w:t>
      </w:r>
      <w:r>
        <w:br/>
      </w:r>
      <w:r>
        <w:rPr>
          <w:b/>
        </w:rPr>
        <w:t>leída en su fuente · Diario de Sesiones del Congreso, Comisión de Justicia, n.º 157, 15-3-2017</w:t>
      </w:r>
      <w:r>
        <w:br/>
      </w:r>
      <w:r>
        <w:rPr>
          <w:b/>
        </w:rPr>
        <w:t>Original donde está:</w:t>
      </w:r>
      <w:r>
        <w:t xml:space="preserve"> 8.5_07_DSCD-12-CO-157_Comision_Justicia_15-03-2017.txt</w:t>
      </w:r>
      <w:r>
        <w:br/>
      </w:r>
      <w:r>
        <w:t>El pasaje literal no está en el archivo de pasajes con este comienzo; la auditoría lo halló en ese original.</w:t>
      </w:r>
      <w:r>
        <w:t>. Es la cifra oficial más reciente que se ha localizado. El Supremo instruye y juzga las causas contra el Presidente del Gobierno, los miembros del Gobierno, los diputados y senadores, entre otros</w:t>
      </w:r>
      <w:r>
        <w:t xml:space="preserve"> (Ley Orgánica del Poder Judicial, art. 57.1.2.º)</w:t>
      </w:r>
      <w:r>
        <w:t>. Y el elector no puede revocar a su representante: el diputado solo pierde el escaño por las causas tasadas del Reglamento del Congreso (</w:t>
      </w:r>
      <w:r>
        <w:t>8.6</w:t>
      </w:r>
      <w:r>
        <w:t>), y «Los miembros de las Cortes Generales no estarán ligados por mandato imperativo»</w:t>
      </w:r>
      <w:r>
        <w:t xml:space="preserve"> (Constitución, art. 67.2)</w:t>
      </w:r>
      <w:r>
        <w:br/>
      </w:r>
      <w:r>
        <w:rPr>
          <w:b/>
        </w:rPr>
        <w:t>leída en su fuente · Constitución, art. 67.2</w:t>
      </w:r>
      <w:r>
        <w:br/>
      </w:r>
      <w:r>
        <w:rPr>
          <w:b/>
        </w:rPr>
        <w:t>Archivo leído:</w:t>
      </w:r>
      <w:r>
        <w:t xml:space="preserve"> constitucion_1978.html (c5\constitucion_1978.html) · contraste del archivo de pasajes: ✔</w:t>
      </w:r>
      <w:r>
        <w:br/>
      </w:r>
      <w:r>
        <w:rPr>
          <w:b/>
        </w:rPr>
        <w:t>Lugar:</w:t>
      </w:r>
      <w:r>
        <w:t xml:space="preserve"> Art. 67.2 (#a67)</w:t>
      </w:r>
      <w:r>
        <w:br/>
      </w:r>
      <w:r>
        <w:rPr>
          <w:b/>
        </w:rPr>
        <w:t>Dirección:</w:t>
      </w:r>
      <w:r>
        <w:t xml:space="preserve"> </w:t>
      </w:r>
      <w:r>
        <w:t>https://www.boe.es/buscar/act.php?id=BOE-A-1978-31229</w:t>
      </w:r>
      <w:r>
        <w:br/>
      </w:r>
      <w:r>
        <w:rPr>
          <w:b/>
        </w:rPr>
        <w:t>Tal como está en la fuente:</w:t>
      </w:r>
      <w:r>
        <w:t xml:space="preserve"> 2. Los miembros de las Cortes Generales no estarán ligados por mandato imperativo.</w:t>
      </w:r>
      <w:r>
        <w:t xml:space="preserve">. </w:t>
      </w:r>
      <w:r>
        <w:t>[20.00-18.1 y 18.2]</w:t>
      </w:r>
    </w:p>
    <w:p>
      <w:r>
        <w:rPr>
          <w:b/>
        </w:rPr>
        <w:t>9. La publicidad institucional.</w:t>
      </w:r>
      <w:r>
        <w:t xml:space="preserve"> El Estado gastó en campañas institucionales 25.915.168 euros en 2019, 70.430.604 en 2024 y 88.078.848 en 2025</w:t>
      </w:r>
      <w:r>
        <w:t xml:space="preserve"> (La Moncloa, informes anuales de publicidad y comunicación institucional)</w:t>
      </w:r>
      <w:r>
        <w:t>. La Comisión Interamericana de Derechos Humanos fija el criterio: «la asignación arbitraria y discriminatoria de publicidad oficial», «con el objetivo de presionar y castigar o premiar y privilegiar a los comunicadores sociales y a los medios de comunicación en función de sus líneas informativas, atenta contra la libertad de expresión»</w:t>
      </w:r>
      <w:r>
        <w:t xml:space="preserve"> (CIDH, Declaración de Principios sobre Libertad de Expresión, principio 13)</w:t>
      </w:r>
      <w:r>
        <w:br/>
      </w:r>
      <w:r>
        <w:rPr>
          <w:b/>
        </w:rPr>
        <w:t>leída en su fuente · CIDH, Declaración de Principios sobre Libertad de Expresión, principio 13</w:t>
      </w:r>
      <w:r>
        <w:br/>
      </w:r>
      <w:r>
        <w:rPr>
          <w:b/>
        </w:rPr>
        <w:t>Archivo leído:</w:t>
      </w:r>
      <w:r>
        <w:t xml:space="preserve"> 8.5_16d_CIDH_Declaracion_Principios_Libertad_Expresion_2000.html (c8c\8.5_16d_CIDH_Declaracion_Principios_Libertad_Expresion_2000.html) · contraste del archivo de pasajes: ✔</w:t>
      </w:r>
      <w:r>
        <w:br/>
      </w:r>
      <w:r>
        <w:rPr>
          <w:b/>
        </w:rPr>
        <w:t>Lugar:</w:t>
      </w:r>
      <w:r>
        <w:t xml:space="preserve"> CIDH, Declaración de Principios sobre Libertad de Expresión, principio 13</w:t>
      </w:r>
      <w:r>
        <w:br/>
      </w:r>
      <w:r>
        <w:rPr>
          <w:b/>
        </w:rPr>
        <w:t>Tal como está en la fuente:</w:t>
      </w:r>
      <w:r>
        <w:t xml:space="preserve"> con el objetivo de presionar y castigar o premiar y privilegiar a los comunicadores sociales y a los medios de comunicación en función de sus líneas informativas, atenta contra la libertad de expresión</w:t>
      </w:r>
      <w:r>
        <w:t xml:space="preserve">. Que el gasto español cumpla esa condición no lo ha certificado nadie: por eso no cuenta como omisión. </w:t>
      </w:r>
      <w:r>
        <w:t>[20.00-29.1 y 29.2]</w:t>
      </w:r>
    </w:p>
    <w:p>
      <w:r>
        <w:rPr>
          <w:b/>
        </w:rPr>
        <w:t>10. El consentimiento.</w:t>
      </w:r>
      <w:r>
        <w:t xml:space="preserve"> Rousseau fue más lejos que nadie: «Los diputados del pueblo no son, ni pueden ser, sus representantes; no son más que sus comisarios […]. Toda ley que el pueblo en persona no ha ratificado es nula; no es una ley. El pueblo inglés cree ser libre; se engaña mucho: no lo es más que durante la elección de los miembros del Parlamento»</w:t>
      </w:r>
      <w:r>
        <w:t xml:space="preserve"> [original: «Les députés du peuple ne sont donc ni ne peuvent être ses réprésentans, ils ne sont que ses commissaires […] Toute loi que le Peuple en personne n'a pas ratifiée est nulle ; ce n'est point une loi. Le peuple Anglois pense être libre ; il se trompe fort, il ne l'est que durant l'élection des membres du Parlement»]</w:t>
      </w:r>
      <w:r>
        <w:t xml:space="preserve"> (Rousseau, Del contrato social III, 15)</w:t>
      </w:r>
      <w:r>
        <w:br/>
      </w:r>
      <w:r>
        <w:rPr>
          <w:b/>
        </w:rPr>
        <w:t>leída en su fuente · Rousseau, Del contrato social III, 15</w:t>
      </w:r>
      <w:r>
        <w:br/>
      </w:r>
      <w:r>
        <w:rPr>
          <w:b/>
        </w:rPr>
        <w:t>Original donde está:</w:t>
      </w:r>
      <w:r>
        <w:t xml:space="preserve"> 10.00_Rousseau_Du_contrat_social_1762_texte_entier_frwikisource.html.txt</w:t>
      </w:r>
      <w:r>
        <w:br/>
      </w:r>
      <w:r>
        <w:t>El pasaje literal no está en el archivo de pasajes con este comienzo; la auditoría lo halló en ese original.</w:t>
      </w:r>
      <w:r>
        <w:t>. No es una invitación a desobedecer: es una vara. El derecho español recoge una parte: antes de redactar una ley o un reglamento, «se sustanciará una consulta pública»</w:t>
      </w:r>
      <w:r>
        <w:t xml:space="preserve"> (Ley 39/2015, art. 133.1)</w:t>
      </w:r>
      <w:r>
        <w:br/>
      </w:r>
      <w:r>
        <w:rPr>
          <w:b/>
        </w:rPr>
        <w:t>leída en su fuente · Ley 39/2015, art. 133.1</w:t>
      </w:r>
      <w:r>
        <w:br/>
      </w:r>
      <w:r>
        <w:rPr>
          <w:b/>
        </w:rPr>
        <w:t>Archivo leído:</w:t>
      </w:r>
      <w:r>
        <w:t xml:space="preserve"> l39.html (ant\c1\l39.html) · contraste del archivo de pasajes: ✔</w:t>
      </w:r>
      <w:r>
        <w:br/>
      </w:r>
      <w:r>
        <w:rPr>
          <w:b/>
        </w:rPr>
        <w:t>Lugar:</w:t>
      </w:r>
      <w:r>
        <w:t xml:space="preserve"> Ley 39/2015, art. 133.1</w:t>
      </w:r>
      <w:r>
        <w:br/>
      </w:r>
      <w:r>
        <w:rPr>
          <w:b/>
        </w:rPr>
        <w:t>Tal como está en la fuente:</w:t>
      </w:r>
      <w:r>
        <w:t xml:space="preserve"> se sustanciará una consulta pública</w:t>
      </w:r>
      <w:r>
        <w:t xml:space="preserve">. </w:t>
      </w:r>
      <w:r>
        <w:t>[20.00-8.1 y 8.2]</w:t>
      </w:r>
    </w:p>
    <w:p>
      <w:r>
        <w:rPr>
          <w:b/>
        </w:rPr>
        <w:t>11. La lista.</w:t>
      </w:r>
      <w:r>
        <w:t xml:space="preserve"> El elector del Congreso no vota a personas, sino listas: cada una lleva «la expresión del orden de colocación» de candidatos y suplentes</w:t>
      </w:r>
      <w:r>
        <w:t xml:space="preserve"> (LOREG, art. 46.3)</w:t>
      </w:r>
      <w:r>
        <w:t>; los escaños «se adjudican a los candidatos incluidos en ella, por el orden de colocación en que aparezcan»</w:t>
      </w:r>
      <w:r>
        <w:t xml:space="preserve"> (art. 163.1.e)</w:t>
      </w:r>
      <w:r>
        <w:br/>
      </w:r>
      <w:r>
        <w:rPr>
          <w:b/>
        </w:rPr>
        <w:t>leída en su fuente · art. 163.1.e</w:t>
      </w:r>
      <w:r>
        <w:br/>
      </w:r>
      <w:r>
        <w:rPr>
          <w:b/>
        </w:rPr>
        <w:t>Archivo leído:</w:t>
      </w:r>
      <w:r>
        <w:t xml:space="preserve"> loreg_lo5_1985_consolidada.html (c10\loreg_lo5_1985_consolidada.html) · contraste del archivo de pasajes: ✔</w:t>
      </w:r>
      <w:r>
        <w:br/>
      </w:r>
      <w:r>
        <w:rPr>
          <w:b/>
        </w:rPr>
        <w:t>Lugar:</w:t>
      </w:r>
      <w:r>
        <w:t xml:space="preserve"> art. 163.1.e</w:t>
      </w:r>
      <w:r>
        <w:br/>
      </w:r>
      <w:r>
        <w:rPr>
          <w:b/>
        </w:rPr>
        <w:t>Tal como está en la fuente:</w:t>
      </w:r>
      <w:r>
        <w:t xml:space="preserve"> se adjudican a los candidatos incluidos en ella, por el orden de colocación en que aparezcan</w:t>
      </w:r>
      <w:r>
        <w:t>; y la vacante es para el siguiente «de la misma lista»</w:t>
      </w:r>
      <w:r>
        <w:t xml:space="preserve"> (art. 164.1)</w:t>
      </w:r>
      <w:r>
        <w:t>. Al alcalde lo eligen los concejales entre quienes encabezan las listas, y si ninguno logra la mayoría absoluta, es alcalde el que encabeza la más votada</w:t>
      </w:r>
      <w:r>
        <w:t xml:space="preserve"> (art. 196)</w:t>
      </w:r>
      <w:r>
        <w:t>, aunque la Constitución permite otra vía: «Los Alcaldes serán elegidos por los Concejales o por los vecinos»</w:t>
      </w:r>
      <w:r>
        <w:t xml:space="preserve"> (Constitución, art. 140)</w:t>
      </w:r>
      <w:r>
        <w:br/>
      </w:r>
      <w:r>
        <w:rPr>
          <w:b/>
        </w:rPr>
        <w:t>leída en su fuente · Constitución, art. 140</w:t>
      </w:r>
      <w:r>
        <w:br/>
      </w:r>
      <w:r>
        <w:rPr>
          <w:b/>
        </w:rPr>
        <w:t>Archivo leído:</w:t>
      </w:r>
      <w:r>
        <w:t xml:space="preserve"> ce.html (ant\c1\ce.html) · contraste del archivo de pasajes: ✔</w:t>
      </w:r>
      <w:r>
        <w:br/>
      </w:r>
      <w:r>
        <w:rPr>
          <w:b/>
        </w:rPr>
        <w:t>Lugar:</w:t>
      </w:r>
      <w:r>
        <w:t xml:space="preserve"> Constitución, art. 140</w:t>
      </w:r>
      <w:r>
        <w:br/>
      </w:r>
      <w:r>
        <w:rPr>
          <w:b/>
        </w:rPr>
        <w:t>Tal como está en la fuente:</w:t>
      </w:r>
      <w:r>
        <w:t xml:space="preserve"> Los Alcaldes serán elegidos por los Concejales o por los vecinos</w:t>
      </w:r>
      <w:r>
        <w:t>. Al Presidente del Gobierno lo propone el Rey y lo inviste el Congreso (art. 99). Solo en el Senado se vota a personas: «a un máximo de tres candidatos en las circunscripciones provinciales»</w:t>
      </w:r>
      <w:r>
        <w:t xml:space="preserve"> (LOREG, art. 166.1.a)</w:t>
      </w:r>
      <w:r>
        <w:br/>
      </w:r>
      <w:r>
        <w:rPr>
          <w:b/>
        </w:rPr>
        <w:t>leída en su fuente · LOREG, art. 166.1.a</w:t>
      </w:r>
      <w:r>
        <w:br/>
      </w:r>
      <w:r>
        <w:rPr>
          <w:b/>
        </w:rPr>
        <w:t>Archivo leído:</w:t>
      </w:r>
      <w:r>
        <w:t xml:space="preserve"> loreg_lo5_1985_consolidada.html (c10\loreg_lo5_1985_consolidada.html) · contraste del archivo de pasajes: ✔</w:t>
      </w:r>
      <w:r>
        <w:br/>
      </w:r>
      <w:r>
        <w:rPr>
          <w:b/>
        </w:rPr>
        <w:t>Lugar:</w:t>
      </w:r>
      <w:r>
        <w:t xml:space="preserve"> LOREG, art. 166.1.a</w:t>
      </w:r>
      <w:r>
        <w:br/>
      </w:r>
      <w:r>
        <w:rPr>
          <w:b/>
        </w:rPr>
        <w:t>Tal como está en la fuente:</w:t>
      </w:r>
      <w:r>
        <w:t xml:space="preserve"> a un máximo de tres candidatos en las circunscripciones provinciales</w:t>
      </w:r>
      <w:r>
        <w:t xml:space="preserve">. Con listas cerradas, la continuidad de un diputado depende de que su partido lo vuelva a colocar en un puesto de salida, más que del voto a su persona: es el incentivo que pone el diseño, sea cual sea la intención de cada uno. El fin declarado del sistema, evitar la fragmentación, y su fruto reconocido, la estabilidad de los Gobiernos, se vieron en </w:t>
      </w:r>
      <w:r>
        <w:t>6.4</w:t>
      </w:r>
      <w:r>
        <w:t xml:space="preserve">. </w:t>
      </w:r>
      <w:r>
        <w:t>[20.00-15.1 a 15.4; LOREG y Constitución leídas en el BOE]</w:t>
      </w:r>
    </w:p>
    <w:p>
      <w:r>
        <w:rPr>
          <w:b/>
        </w:rPr>
        <w:t>12. Lo que la tradición jurídica dejó escrito.</w:t>
      </w:r>
      <w:r>
        <w:t xml:space="preserve"> El Diccionario panhispánico del español jurídico recoge, entre otras, estas máximas: «En caso de duda, a favor del administrado»; «En caso de duda, a favor de la libertad»; «En caso de duda, a favor del ciudadano»; «Lo que no está prohibido se considera permitido»; «Nadie sea juez sin actor»; y «Nadie está obligado a acusarse a sí mismo»</w:t>
      </w:r>
      <w:r>
        <w:t xml:space="preserve"> (Diccionario panhispánico del español jurídico)</w:t>
      </w:r>
      <w:r>
        <w:br/>
      </w:r>
      <w:r>
        <w:rPr>
          <w:b/>
        </w:rPr>
        <w:t>leída en su fuente · Diccionario panhispánico del español jurídico</w:t>
      </w:r>
      <w:r>
        <w:br/>
      </w:r>
      <w:r>
        <w:rPr>
          <w:b/>
        </w:rPr>
        <w:t>Archivo leído:</w:t>
      </w:r>
      <w:r>
        <w:t xml:space="preserve"> 8.5_05f_DPEJ_nemo_tenetur_se_ipsum_accusare (c8c\8.5_05f_DPEJ_nemo_tenetur_se_ipsum_accusare.html) · contraste del archivo de pasajes: ✔</w:t>
      </w:r>
      <w:r>
        <w:br/>
      </w:r>
      <w:r>
        <w:rPr>
          <w:b/>
        </w:rPr>
        <w:t>Dirección:</w:t>
      </w:r>
      <w:r>
        <w:t xml:space="preserve"> </w:t>
      </w:r>
      <w:r>
        <w:t>https://dpej.rae.es/lema/nemo-tenetur-se-ipsum-accusare</w:t>
      </w:r>
      <w:r>
        <w:br/>
      </w:r>
      <w:r>
        <w:rPr>
          <w:b/>
        </w:rPr>
        <w:t>Tal como está en la fuente:</w:t>
      </w:r>
      <w:r>
        <w:t xml:space="preserve"> Gral. 'Nadie está obligado a acusarse a sí mismo'.</w:t>
      </w:r>
      <w:r>
        <w:t>. La de la libertad viene del derecho romano: «cuando la interpretación sobre la libertad sea dudosa, se ha de responder a favor de la libertad»</w:t>
      </w:r>
      <w:r>
        <w:t xml:space="preserve"> [original: «Quotiens dubia interpretatio libertatis est, secundum libertatem respondendum erit.»]</w:t>
      </w:r>
      <w:r>
        <w:t xml:space="preserve"> (Digesto 50.17.20)</w:t>
      </w:r>
      <w:r>
        <w:br/>
      </w:r>
      <w:r>
        <w:rPr>
          <w:b/>
        </w:rPr>
        <w:t>leída en su fuente · Digesto 50.17.20</w:t>
      </w:r>
      <w:r>
        <w:br/>
      </w:r>
      <w:r>
        <w:rPr>
          <w:b/>
        </w:rPr>
        <w:t>Archivo leído:</w:t>
      </w:r>
      <w:r>
        <w:t xml:space="preserve"> 8.5_05b_DPEJ_in_dubio_pro_libertate.html (c8c\8.5_05b_DPEJ_in_dubio_pro_libertate.html) · contraste del archivo de pasajes: ✔</w:t>
      </w:r>
      <w:r>
        <w:br/>
      </w:r>
      <w:r>
        <w:rPr>
          <w:b/>
        </w:rPr>
        <w:t>Lugar:</w:t>
      </w:r>
      <w:r>
        <w:t xml:space="preserve"> DPEJ,</w:t>
      </w:r>
      <w:r>
        <w:br/>
      </w:r>
      <w:r>
        <w:rPr>
          <w:b/>
        </w:rPr>
        <w:t>Tal como está en la fuente:</w:t>
      </w:r>
      <w:r>
        <w:t xml:space="preserve"> in dubio pro libertate Gral. ' En caso de duda, a favor de la libertad ' (Bártolo: Commentaria ad Secunda Infortiati , 34, 5 § planem ). Pomponio: Digesto 50, 17, 20: quotiens dubia interpretatio libertatis est, secundum libertatem respondendum erit</w:t>
      </w:r>
      <w:r>
        <w:t>. Y otra, de un decreto del emperador Marco Aurelio: «hay violencia también siempre que alguien reclama sin juez lo que cree que se le debe»</w:t>
      </w:r>
      <w:r>
        <w:t xml:space="preserve"> [original: «Vis est et tunc, quotiens quis id, quod deberi sibi putat, non per iudicem reposcit.»]</w:t>
      </w:r>
      <w:r>
        <w:t xml:space="preserve"> (Digesto 48.7.7)</w:t>
      </w:r>
      <w:r>
        <w:br/>
      </w:r>
      <w:r>
        <w:rPr>
          <w:b/>
        </w:rPr>
        <w:t>leída en su fuente · Digesto 48.7.7</w:t>
      </w:r>
      <w:r>
        <w:br/>
      </w:r>
      <w:r>
        <w:rPr>
          <w:b/>
        </w:rPr>
        <w:t>Archivo leído:</w:t>
      </w:r>
      <w:r>
        <w:t xml:space="preserve"> digesto_libro_04_grenoble.html (c9g\digesto_libro_04_grenoble.html) · contraste del archivo de pasajes: ✔</w:t>
      </w:r>
      <w:r>
        <w:br/>
      </w:r>
      <w:r>
        <w:rPr>
          <w:b/>
        </w:rPr>
        <w:t>Lugar:</w:t>
      </w:r>
      <w:r>
        <w:t xml:space="preserve"> Digesto 4, 2, 13</w:t>
      </w:r>
      <w:r>
        <w:br/>
      </w:r>
      <w:r>
        <w:rPr>
          <w:b/>
        </w:rPr>
        <w:t>Tal como está en la fuente:</w:t>
      </w:r>
      <w:r>
        <w:t xml:space="preserve"> Cum Marcianus diceret: vim nullam feci, Caesar dixit: Tu vim putas esse solum, si homines vulnerentur ? Vis est et tunc, quotiens quis id, quod deberi sibi putat, non per iudicem reposcit</w:t>
      </w:r>
      <w:r>
        <w:br/>
      </w:r>
      <w:r>
        <w:rPr>
          <w:b/>
        </w:rPr>
        <w:t>Traducción guardada:</w:t>
      </w:r>
      <w:r>
        <w:t xml:space="preserve"> cuando Marciano dijo: “no he hecho violencia”, el César dijo: “¿crees que solo hay violencia si se hiere a personas? También hay violencia cuando alguien reclama lo que cree que se le debe, no por medio del juez”</w:t>
      </w:r>
      <w:r>
        <w:t>. España, además, ratificó que «Nadie será encarcelado por el solo hecho de no poder cumplir una obligación contractual»</w:t>
      </w:r>
      <w:r>
        <w:t xml:space="preserve"> (Pacto Internacional de Derechos Civiles y Políticos, art. 11, BOE de 30-4-1977)</w:t>
      </w:r>
      <w:r>
        <w:br/>
      </w:r>
      <w:r>
        <w:rPr>
          <w:b/>
        </w:rPr>
        <w:t>leída en su fuente · Pacto Internacional de Derechos Civiles y Políticos, art. 11, BOE de 30-4-1977</w:t>
      </w:r>
      <w:r>
        <w:br/>
      </w:r>
      <w:r>
        <w:rPr>
          <w:b/>
        </w:rPr>
        <w:t>Archivo leído:</w:t>
      </w:r>
      <w:r>
        <w:t xml:space="preserve"> 8.5_03_PIDCP_BOE-A-1977-10733.html (c8c\8.5_03_PIDCP_BOE-A-1977-10733.html) · contraste del archivo de pasajes: ✔</w:t>
      </w:r>
      <w:r>
        <w:br/>
      </w:r>
      <w:r>
        <w:rPr>
          <w:b/>
        </w:rPr>
        <w:t>Lugar:</w:t>
      </w:r>
      <w:r>
        <w:t xml:space="preserve"> Pacto Internacional de Derechos Civiles y Políticos, art. 11, BOE de 30-4-1977</w:t>
      </w:r>
      <w:r>
        <w:br/>
      </w:r>
      <w:r>
        <w:rPr>
          <w:b/>
        </w:rPr>
        <w:t>Tal como está en la fuente:</w:t>
      </w:r>
      <w:r>
        <w:t xml:space="preserve"> Nadie será encarcelado por el solo hecho de no poder cumplir una obligación contractual</w:t>
      </w:r>
      <w:r>
        <w:t xml:space="preserve">. </w:t>
      </w:r>
      <w:r>
        <w:t>[20.00-5.1 a 6.9]</w:t>
      </w:r>
    </w:p>
    <w:p>
      <w:r>
        <w:rPr>
          <w:b/>
        </w:rPr>
        <w:t>Conclusión, lo que arrojan los datos:</w:t>
      </w:r>
      <w:r>
        <w:t xml:space="preserve"> en cuatro casos de este apartado, quien declara el incumplimiento no es la obra, sino un tercero: el Supremo (la gasolina y BOSCO), la Comisión Europea (la franquicia) y un tribunal superior de justicia, cuya sentencia el Supremo dejó firme (la Zona de Bajas Emisiones). Y en los cuatro el patrón es el mismo: el Estado cobra o niega en el acto, y corrige tarde, cuando corrige. El silencio del ciudadano se castiga solo; el del sistema hay que perseguirlo. Contra la regla no juega todo: el silencio de la Administración a veces favorece al ciudadano, porque el vencimiento del plazo, en los procedimientos que él inicia, le «legitima» para entender estimada su solicitud, salvo las excepciones de la ley</w:t>
      </w:r>
      <w:r>
        <w:t xml:space="preserve"> (Ley 39/2015, art. 24.1)</w:t>
      </w:r>
      <w:r>
        <w:t xml:space="preserve">. </w:t>
      </w:r>
      <w:r>
        <w:t>[20.00-30.1]</w:t>
      </w:r>
    </w:p>
    <w:p>
      <w:r>
        <w:rPr>
          <w:b/>
        </w:rPr>
        <w:t>Lectura del autor:</w:t>
      </w:r>
      <w:r>
        <w:t xml:space="preserve"> el bien es como la luz, que ilumina todo lo que existe: si ves todo lo que hay, puedes decidir por ti mismo. La manipulación es controlar la iluminación: decidir qué partes se iluminan y cuáles se dejan a oscuras, y luego decirte «elige». Si se deja fuera del foco una opción, y además se impide que nadie la proponga, eso no es administrar la libertad: es una interferencia en el libre albedrío. Y la máxima romana sostiene buena parte de esta obra: tomarse la justicia por la propia mano, incluso para cobrar algo legítimo, es en sí mismo violencia. «Por sus frutos los conoceréis» (Mt 7:16), y también por lo que, debiendo hacer, no hizo. </w:t>
      </w:r>
      <w:r>
        <w:t>[20.00-1.1, 6.7 y 30.1]</w:t>
      </w:r>
    </w:p>
    <w:p>
      <w:pPr>
        <w:pStyle w:val="Heading2"/>
      </w:pPr>
      <w:r>
        <w:t>8.6 A dónde va cada euro, y quién sostiene a quién</w:t>
      </w:r>
    </w:p>
    <w:p>
      <w:pPr>
        <w:pBdr>
          <w:left w:val="single" w:sz="24" w:space="6" w:color="E2DED6"/>
        </w:pBdr>
        <w:shd w:val="clear" w:color="auto" w:fill="F1EEE8"/>
        <w:spacing w:before="80" w:after="160"/>
        <w:ind w:left="142" w:right="142"/>
      </w:pPr>
      <w:r>
        <w:rPr>
          <w:b/>
        </w:rPr>
        <w:t>La idea: el total del gasto público se publica, y se puede seguir. Lo que no se publica sumado es el detalle que permitiría juzgar si el sistema sirve al pueblo o se sirve a sí mismo.</w:t>
      </w:r>
    </w:p>
    <w:p>
      <w:r>
        <w:rPr>
          <w:b/>
        </w:rPr>
        <w:t>El año.</w:t>
      </w:r>
      <w:r>
        <w:t xml:space="preserve"> En 2025, las administraciones ingresaron 724.554 millones y gastaron 764.884: faltaron 40.330 millones, casi lo mismo que se pagó en intereses de la deuda, 40.314</w:t>
      </w:r>
      <w:r>
        <w:t xml:space="preserve"> (Eurostat, cuentas de las administraciones públicas)</w:t>
      </w:r>
      <w:r>
        <w:t>. Se pide prestado, cada año, más o menos lo que cuestan los intereses de lo ya pedido. La deuda llegó a 1.698.225 millones a final de 2025</w:t>
      </w:r>
      <w:r>
        <w:t xml:space="preserve"> (Eurostat, deuda de las administraciones públicas)</w:t>
      </w:r>
      <w:r>
        <w:t>, y para 2026 la Autoridad Fiscal estima 43.300 millones de intereses (</w:t>
      </w:r>
      <w:r>
        <w:t>7.6</w:t>
      </w:r>
      <w:r>
        <w:t xml:space="preserve">). </w:t>
      </w:r>
      <w:r>
        <w:t>[34.00-1.1 y 1.2]</w:t>
      </w:r>
    </w:p>
    <w:p>
      <w:r>
        <w:rPr>
          <w:b/>
        </w:rPr>
        <w:t>A dónde va.</w:t>
      </w:r>
      <w:r>
        <w:t xml:space="preserve"> En 2024, todas las administraciones juntas gastaron 725.001 millones de euros: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Función</w:t>
            </w:r>
          </w:p>
        </w:tc>
        <w:tc>
          <w:tcPr>
            <w:tcW w:type="dxa" w:w="3061"/>
            <w:shd w:val="clear" w:color="auto" w:fill="F1EEE8"/>
          </w:tcPr>
          <w:p>
            <w:pPr>
              <w:spacing w:after="20" w:line="264" w:lineRule="auto"/>
            </w:pPr>
            <w:r>
              <w:rPr>
                <w:b/>
              </w:rPr>
            </w:r>
            <w:r>
              <w:rPr>
                <w:rFonts w:ascii="Segoe UI" w:hAnsi="Segoe UI" w:eastAsia="Segoe UI" w:cs="Segoe UI"/>
                <w:b/>
                <w:color w:val="1F1D1A"/>
                <w:sz w:val="18"/>
              </w:rPr>
              <w:t>Millones de euros</w:t>
            </w:r>
          </w:p>
        </w:tc>
        <w:tc>
          <w:tcPr>
            <w:tcW w:type="dxa" w:w="3061"/>
            <w:shd w:val="clear" w:color="auto" w:fill="F1EEE8"/>
          </w:tcPr>
          <w:p>
            <w:pPr>
              <w:spacing w:after="20" w:line="264" w:lineRule="auto"/>
            </w:pPr>
            <w:r>
              <w:rPr>
                <w:b/>
              </w:rPr>
            </w:r>
            <w:r>
              <w:rPr>
                <w:rFonts w:ascii="Segoe UI" w:hAnsi="Segoe UI" w:eastAsia="Segoe UI" w:cs="Segoe UI"/>
                <w:b/>
                <w:color w:val="1F1D1A"/>
                <w:sz w:val="18"/>
              </w:rPr>
              <w:t>De cada 100 €</w:t>
            </w:r>
          </w:p>
        </w:tc>
      </w:tr>
      <w:tr>
        <w:tc>
          <w:tcPr>
            <w:tcW w:type="dxa" w:w="3061"/>
          </w:tcPr>
          <w:p>
            <w:pPr>
              <w:spacing w:after="20" w:line="264" w:lineRule="auto"/>
            </w:pPr>
            <w:r/>
            <w:r>
              <w:rPr>
                <w:rFonts w:ascii="Segoe UI" w:hAnsi="Segoe UI" w:eastAsia="Segoe UI" w:cs="Segoe UI"/>
                <w:color w:val="1F1D1A"/>
                <w:sz w:val="18"/>
              </w:rPr>
              <w:t>Protección social</w:t>
            </w:r>
          </w:p>
        </w:tc>
        <w:tc>
          <w:tcPr>
            <w:tcW w:type="dxa" w:w="3061"/>
          </w:tcPr>
          <w:p>
            <w:pPr>
              <w:spacing w:after="20" w:line="264" w:lineRule="auto"/>
            </w:pPr>
            <w:r/>
            <w:r>
              <w:rPr>
                <w:rFonts w:ascii="Segoe UI" w:hAnsi="Segoe UI" w:eastAsia="Segoe UI" w:cs="Segoe UI"/>
                <w:color w:val="1F1D1A"/>
                <w:sz w:val="18"/>
              </w:rPr>
              <w:t>297.532</w:t>
            </w:r>
          </w:p>
        </w:tc>
        <w:tc>
          <w:tcPr>
            <w:tcW w:type="dxa" w:w="3061"/>
          </w:tcPr>
          <w:p>
            <w:pPr>
              <w:spacing w:after="20" w:line="264" w:lineRule="auto"/>
            </w:pPr>
            <w:r/>
            <w:r>
              <w:rPr>
                <w:rFonts w:ascii="Segoe UI" w:hAnsi="Segoe UI" w:eastAsia="Segoe UI" w:cs="Segoe UI"/>
                <w:color w:val="1F1D1A"/>
                <w:sz w:val="18"/>
              </w:rPr>
              <w:t>41,0</w:t>
            </w:r>
          </w:p>
        </w:tc>
      </w:tr>
      <w:tr>
        <w:tc>
          <w:tcPr>
            <w:tcW w:type="dxa" w:w="3061"/>
          </w:tcPr>
          <w:p>
            <w:pPr>
              <w:spacing w:after="20" w:line="264" w:lineRule="auto"/>
            </w:pPr>
            <w:r/>
            <w:r>
              <w:rPr>
                <w:rFonts w:ascii="Segoe UI" w:hAnsi="Segoe UI" w:eastAsia="Segoe UI" w:cs="Segoe UI"/>
                <w:color w:val="1F1D1A"/>
                <w:sz w:val="18"/>
              </w:rPr>
              <w:t>— de ella, pensiones de vejez</w:t>
            </w:r>
          </w:p>
        </w:tc>
        <w:tc>
          <w:tcPr>
            <w:tcW w:type="dxa" w:w="3061"/>
          </w:tcPr>
          <w:p>
            <w:pPr>
              <w:spacing w:after="20" w:line="264" w:lineRule="auto"/>
            </w:pPr>
            <w:r/>
            <w:r>
              <w:rPr>
                <w:rFonts w:ascii="Segoe UI" w:hAnsi="Segoe UI" w:eastAsia="Segoe UI" w:cs="Segoe UI"/>
                <w:color w:val="1F1D1A"/>
                <w:sz w:val="18"/>
              </w:rPr>
              <w:t>165.050</w:t>
            </w:r>
          </w:p>
        </w:tc>
        <w:tc>
          <w:tcPr>
            <w:tcW w:type="dxa" w:w="3061"/>
          </w:tcPr>
          <w:p>
            <w:pPr>
              <w:spacing w:after="20" w:line="264" w:lineRule="auto"/>
            </w:pPr>
            <w:r/>
            <w:r>
              <w:rPr>
                <w:rFonts w:ascii="Segoe UI" w:hAnsi="Segoe UI" w:eastAsia="Segoe UI" w:cs="Segoe UI"/>
                <w:color w:val="1F1D1A"/>
                <w:sz w:val="18"/>
              </w:rPr>
              <w:t>22,8</w:t>
            </w:r>
          </w:p>
        </w:tc>
      </w:tr>
      <w:tr>
        <w:tc>
          <w:tcPr>
            <w:tcW w:type="dxa" w:w="3061"/>
          </w:tcPr>
          <w:p>
            <w:pPr>
              <w:spacing w:after="20" w:line="264" w:lineRule="auto"/>
            </w:pPr>
            <w:r/>
            <w:r>
              <w:rPr>
                <w:rFonts w:ascii="Segoe UI" w:hAnsi="Segoe UI" w:eastAsia="Segoe UI" w:cs="Segoe UI"/>
                <w:color w:val="1F1D1A"/>
                <w:sz w:val="18"/>
              </w:rPr>
              <w:t>— enfermedad e incapacidad</w:t>
            </w:r>
          </w:p>
        </w:tc>
        <w:tc>
          <w:tcPr>
            <w:tcW w:type="dxa" w:w="3061"/>
          </w:tcPr>
          <w:p>
            <w:pPr>
              <w:spacing w:after="20" w:line="264" w:lineRule="auto"/>
            </w:pPr>
            <w:r/>
            <w:r>
              <w:rPr>
                <w:rFonts w:ascii="Segoe UI" w:hAnsi="Segoe UI" w:eastAsia="Segoe UI" w:cs="Segoe UI"/>
                <w:color w:val="1F1D1A"/>
                <w:sz w:val="18"/>
              </w:rPr>
              <w:t>44.019</w:t>
            </w:r>
          </w:p>
        </w:tc>
        <w:tc>
          <w:tcPr>
            <w:tcW w:type="dxa" w:w="3061"/>
          </w:tcPr>
          <w:p>
            <w:pPr>
              <w:spacing w:after="20" w:line="264" w:lineRule="auto"/>
            </w:pPr>
            <w:r/>
            <w:r>
              <w:rPr>
                <w:rFonts w:ascii="Segoe UI" w:hAnsi="Segoe UI" w:eastAsia="Segoe UI" w:cs="Segoe UI"/>
                <w:color w:val="1F1D1A"/>
                <w:sz w:val="18"/>
              </w:rPr>
              <w:t>6,1</w:t>
            </w:r>
          </w:p>
        </w:tc>
      </w:tr>
      <w:tr>
        <w:tc>
          <w:tcPr>
            <w:tcW w:type="dxa" w:w="3061"/>
          </w:tcPr>
          <w:p>
            <w:pPr>
              <w:spacing w:after="20" w:line="264" w:lineRule="auto"/>
            </w:pPr>
            <w:r/>
            <w:r>
              <w:rPr>
                <w:rFonts w:ascii="Segoe UI" w:hAnsi="Segoe UI" w:eastAsia="Segoe UI" w:cs="Segoe UI"/>
                <w:color w:val="1F1D1A"/>
                <w:sz w:val="18"/>
              </w:rPr>
              <w:t>— viudedad y orfandad</w:t>
            </w:r>
          </w:p>
        </w:tc>
        <w:tc>
          <w:tcPr>
            <w:tcW w:type="dxa" w:w="3061"/>
          </w:tcPr>
          <w:p>
            <w:pPr>
              <w:spacing w:after="20" w:line="264" w:lineRule="auto"/>
            </w:pPr>
            <w:r/>
            <w:r>
              <w:rPr>
                <w:rFonts w:ascii="Segoe UI" w:hAnsi="Segoe UI" w:eastAsia="Segoe UI" w:cs="Segoe UI"/>
                <w:color w:val="1F1D1A"/>
                <w:sz w:val="18"/>
              </w:rPr>
              <w:t>35.425</w:t>
            </w:r>
          </w:p>
        </w:tc>
        <w:tc>
          <w:tcPr>
            <w:tcW w:type="dxa" w:w="3061"/>
          </w:tcPr>
          <w:p>
            <w:pPr>
              <w:spacing w:after="20" w:line="264" w:lineRule="auto"/>
            </w:pPr>
            <w:r/>
            <w:r>
              <w:rPr>
                <w:rFonts w:ascii="Segoe UI" w:hAnsi="Segoe UI" w:eastAsia="Segoe UI" w:cs="Segoe UI"/>
                <w:color w:val="1F1D1A"/>
                <w:sz w:val="18"/>
              </w:rPr>
              <w:t>4,9</w:t>
            </w:r>
          </w:p>
        </w:tc>
      </w:tr>
      <w:tr>
        <w:tc>
          <w:tcPr>
            <w:tcW w:type="dxa" w:w="3061"/>
          </w:tcPr>
          <w:p>
            <w:pPr>
              <w:spacing w:after="20" w:line="264" w:lineRule="auto"/>
            </w:pPr>
            <w:r/>
            <w:r>
              <w:rPr>
                <w:rFonts w:ascii="Segoe UI" w:hAnsi="Segoe UI" w:eastAsia="Segoe UI" w:cs="Segoe UI"/>
                <w:color w:val="1F1D1A"/>
                <w:sz w:val="18"/>
              </w:rPr>
              <w:t>— desempleo</w:t>
            </w:r>
          </w:p>
        </w:tc>
        <w:tc>
          <w:tcPr>
            <w:tcW w:type="dxa" w:w="3061"/>
          </w:tcPr>
          <w:p>
            <w:pPr>
              <w:spacing w:after="20" w:line="264" w:lineRule="auto"/>
            </w:pPr>
            <w:r/>
            <w:r>
              <w:rPr>
                <w:rFonts w:ascii="Segoe UI" w:hAnsi="Segoe UI" w:eastAsia="Segoe UI" w:cs="Segoe UI"/>
                <w:color w:val="1F1D1A"/>
                <w:sz w:val="18"/>
              </w:rPr>
              <w:t>24.077</w:t>
            </w:r>
          </w:p>
        </w:tc>
        <w:tc>
          <w:tcPr>
            <w:tcW w:type="dxa" w:w="3061"/>
          </w:tcPr>
          <w:p>
            <w:pPr>
              <w:spacing w:after="20" w:line="264" w:lineRule="auto"/>
            </w:pPr>
            <w:r/>
            <w:r>
              <w:rPr>
                <w:rFonts w:ascii="Segoe UI" w:hAnsi="Segoe UI" w:eastAsia="Segoe UI" w:cs="Segoe UI"/>
                <w:color w:val="1F1D1A"/>
                <w:sz w:val="18"/>
              </w:rPr>
              <w:t>3,3</w:t>
            </w:r>
          </w:p>
        </w:tc>
      </w:tr>
      <w:tr>
        <w:tc>
          <w:tcPr>
            <w:tcW w:type="dxa" w:w="3061"/>
          </w:tcPr>
          <w:p>
            <w:pPr>
              <w:spacing w:after="20" w:line="264" w:lineRule="auto"/>
            </w:pPr>
            <w:r/>
            <w:r>
              <w:rPr>
                <w:rFonts w:ascii="Segoe UI" w:hAnsi="Segoe UI" w:eastAsia="Segoe UI" w:cs="Segoe UI"/>
                <w:color w:val="1F1D1A"/>
                <w:sz w:val="18"/>
              </w:rPr>
              <w:t>Sanidad</w:t>
            </w:r>
          </w:p>
        </w:tc>
        <w:tc>
          <w:tcPr>
            <w:tcW w:type="dxa" w:w="3061"/>
          </w:tcPr>
          <w:p>
            <w:pPr>
              <w:spacing w:after="20" w:line="264" w:lineRule="auto"/>
            </w:pPr>
            <w:r/>
            <w:r>
              <w:rPr>
                <w:rFonts w:ascii="Segoe UI" w:hAnsi="Segoe UI" w:eastAsia="Segoe UI" w:cs="Segoe UI"/>
                <w:color w:val="1F1D1A"/>
                <w:sz w:val="18"/>
              </w:rPr>
              <w:t>102.942</w:t>
            </w:r>
          </w:p>
        </w:tc>
        <w:tc>
          <w:tcPr>
            <w:tcW w:type="dxa" w:w="3061"/>
          </w:tcPr>
          <w:p>
            <w:pPr>
              <w:spacing w:after="20" w:line="264" w:lineRule="auto"/>
            </w:pPr>
            <w:r/>
            <w:r>
              <w:rPr>
                <w:rFonts w:ascii="Segoe UI" w:hAnsi="Segoe UI" w:eastAsia="Segoe UI" w:cs="Segoe UI"/>
                <w:color w:val="1F1D1A"/>
                <w:sz w:val="18"/>
              </w:rPr>
              <w:t>14,2</w:t>
            </w:r>
          </w:p>
        </w:tc>
      </w:tr>
      <w:tr>
        <w:tc>
          <w:tcPr>
            <w:tcW w:type="dxa" w:w="3061"/>
          </w:tcPr>
          <w:p>
            <w:pPr>
              <w:spacing w:after="20" w:line="264" w:lineRule="auto"/>
            </w:pPr>
            <w:r/>
            <w:r>
              <w:rPr>
                <w:rFonts w:ascii="Segoe UI" w:hAnsi="Segoe UI" w:eastAsia="Segoe UI" w:cs="Segoe UI"/>
                <w:color w:val="1F1D1A"/>
                <w:sz w:val="18"/>
              </w:rPr>
              <w:t>Servicios públicos generales</w:t>
            </w:r>
          </w:p>
        </w:tc>
        <w:tc>
          <w:tcPr>
            <w:tcW w:type="dxa" w:w="3061"/>
          </w:tcPr>
          <w:p>
            <w:pPr>
              <w:spacing w:after="20" w:line="264" w:lineRule="auto"/>
            </w:pPr>
            <w:r/>
            <w:r>
              <w:rPr>
                <w:rFonts w:ascii="Segoe UI" w:hAnsi="Segoe UI" w:eastAsia="Segoe UI" w:cs="Segoe UI"/>
                <w:color w:val="1F1D1A"/>
                <w:sz w:val="18"/>
              </w:rPr>
              <w:t>92.551</w:t>
            </w:r>
          </w:p>
        </w:tc>
        <w:tc>
          <w:tcPr>
            <w:tcW w:type="dxa" w:w="3061"/>
          </w:tcPr>
          <w:p>
            <w:pPr>
              <w:spacing w:after="20" w:line="264" w:lineRule="auto"/>
            </w:pPr>
            <w:r/>
            <w:r>
              <w:rPr>
                <w:rFonts w:ascii="Segoe UI" w:hAnsi="Segoe UI" w:eastAsia="Segoe UI" w:cs="Segoe UI"/>
                <w:color w:val="1F1D1A"/>
                <w:sz w:val="18"/>
              </w:rPr>
              <w:t>12,8</w:t>
            </w:r>
          </w:p>
        </w:tc>
      </w:tr>
      <w:tr>
        <w:tc>
          <w:tcPr>
            <w:tcW w:type="dxa" w:w="3061"/>
          </w:tcPr>
          <w:p>
            <w:pPr>
              <w:spacing w:after="20" w:line="264" w:lineRule="auto"/>
            </w:pPr>
            <w:r/>
            <w:r>
              <w:rPr>
                <w:rFonts w:ascii="Segoe UI" w:hAnsi="Segoe UI" w:eastAsia="Segoe UI" w:cs="Segoe UI"/>
                <w:color w:val="1F1D1A"/>
                <w:sz w:val="18"/>
              </w:rPr>
              <w:t>— de ellos, intereses de la deuda</w:t>
            </w:r>
          </w:p>
        </w:tc>
        <w:tc>
          <w:tcPr>
            <w:tcW w:type="dxa" w:w="3061"/>
          </w:tcPr>
          <w:p>
            <w:pPr>
              <w:spacing w:after="20" w:line="264" w:lineRule="auto"/>
            </w:pPr>
            <w:r/>
            <w:r>
              <w:rPr>
                <w:rFonts w:ascii="Segoe UI" w:hAnsi="Segoe UI" w:eastAsia="Segoe UI" w:cs="Segoe UI"/>
                <w:color w:val="1F1D1A"/>
                <w:sz w:val="18"/>
              </w:rPr>
              <w:t>38.793</w:t>
            </w:r>
          </w:p>
        </w:tc>
        <w:tc>
          <w:tcPr>
            <w:tcW w:type="dxa" w:w="3061"/>
          </w:tcPr>
          <w:p>
            <w:pPr>
              <w:spacing w:after="20" w:line="264" w:lineRule="auto"/>
            </w:pPr>
            <w:r/>
            <w:r>
              <w:rPr>
                <w:rFonts w:ascii="Segoe UI" w:hAnsi="Segoe UI" w:eastAsia="Segoe UI" w:cs="Segoe UI"/>
                <w:color w:val="1F1D1A"/>
                <w:sz w:val="18"/>
              </w:rPr>
              <w:t>5,4</w:t>
            </w:r>
          </w:p>
        </w:tc>
      </w:tr>
      <w:tr>
        <w:tc>
          <w:tcPr>
            <w:tcW w:type="dxa" w:w="3061"/>
          </w:tcPr>
          <w:p>
            <w:pPr>
              <w:spacing w:after="20" w:line="264" w:lineRule="auto"/>
            </w:pPr>
            <w:r/>
            <w:r>
              <w:rPr>
                <w:rFonts w:ascii="Segoe UI" w:hAnsi="Segoe UI" w:eastAsia="Segoe UI" w:cs="Segoe UI"/>
                <w:color w:val="1F1D1A"/>
                <w:sz w:val="18"/>
              </w:rPr>
              <w:t>Asuntos económicos</w:t>
            </w:r>
          </w:p>
        </w:tc>
        <w:tc>
          <w:tcPr>
            <w:tcW w:type="dxa" w:w="3061"/>
          </w:tcPr>
          <w:p>
            <w:pPr>
              <w:spacing w:after="20" w:line="264" w:lineRule="auto"/>
            </w:pPr>
            <w:r/>
            <w:r>
              <w:rPr>
                <w:rFonts w:ascii="Segoe UI" w:hAnsi="Segoe UI" w:eastAsia="Segoe UI" w:cs="Segoe UI"/>
                <w:color w:val="1F1D1A"/>
                <w:sz w:val="18"/>
              </w:rPr>
              <w:t>80.908</w:t>
            </w:r>
          </w:p>
        </w:tc>
        <w:tc>
          <w:tcPr>
            <w:tcW w:type="dxa" w:w="3061"/>
          </w:tcPr>
          <w:p>
            <w:pPr>
              <w:spacing w:after="20" w:line="264" w:lineRule="auto"/>
            </w:pPr>
            <w:r/>
            <w:r>
              <w:rPr>
                <w:rFonts w:ascii="Segoe UI" w:hAnsi="Segoe UI" w:eastAsia="Segoe UI" w:cs="Segoe UI"/>
                <w:color w:val="1F1D1A"/>
                <w:sz w:val="18"/>
              </w:rPr>
              <w:t>11,2</w:t>
            </w:r>
          </w:p>
        </w:tc>
      </w:tr>
      <w:tr>
        <w:tc>
          <w:tcPr>
            <w:tcW w:type="dxa" w:w="3061"/>
          </w:tcPr>
          <w:p>
            <w:pPr>
              <w:spacing w:after="20" w:line="264" w:lineRule="auto"/>
            </w:pPr>
            <w:r/>
            <w:r>
              <w:rPr>
                <w:rFonts w:ascii="Segoe UI" w:hAnsi="Segoe UI" w:eastAsia="Segoe UI" w:cs="Segoe UI"/>
                <w:color w:val="1F1D1A"/>
                <w:sz w:val="18"/>
              </w:rPr>
              <w:t>Educación</w:t>
            </w:r>
          </w:p>
        </w:tc>
        <w:tc>
          <w:tcPr>
            <w:tcW w:type="dxa" w:w="3061"/>
          </w:tcPr>
          <w:p>
            <w:pPr>
              <w:spacing w:after="20" w:line="264" w:lineRule="auto"/>
            </w:pPr>
            <w:r/>
            <w:r>
              <w:rPr>
                <w:rFonts w:ascii="Segoe UI" w:hAnsi="Segoe UI" w:eastAsia="Segoe UI" w:cs="Segoe UI"/>
                <w:color w:val="1F1D1A"/>
                <w:sz w:val="18"/>
              </w:rPr>
              <w:t>65.862</w:t>
            </w:r>
          </w:p>
        </w:tc>
        <w:tc>
          <w:tcPr>
            <w:tcW w:type="dxa" w:w="3061"/>
          </w:tcPr>
          <w:p>
            <w:pPr>
              <w:spacing w:after="20" w:line="264" w:lineRule="auto"/>
            </w:pPr>
            <w:r/>
            <w:r>
              <w:rPr>
                <w:rFonts w:ascii="Segoe UI" w:hAnsi="Segoe UI" w:eastAsia="Segoe UI" w:cs="Segoe UI"/>
                <w:color w:val="1F1D1A"/>
                <w:sz w:val="18"/>
              </w:rPr>
              <w:t>9,1</w:t>
            </w:r>
          </w:p>
        </w:tc>
      </w:tr>
      <w:tr>
        <w:tc>
          <w:tcPr>
            <w:tcW w:type="dxa" w:w="3061"/>
          </w:tcPr>
          <w:p>
            <w:pPr>
              <w:spacing w:after="20" w:line="264" w:lineRule="auto"/>
            </w:pPr>
            <w:r/>
            <w:r>
              <w:rPr>
                <w:rFonts w:ascii="Segoe UI" w:hAnsi="Segoe UI" w:eastAsia="Segoe UI" w:cs="Segoe UI"/>
                <w:color w:val="1F1D1A"/>
                <w:sz w:val="18"/>
              </w:rPr>
              <w:t>Orden público y seguridad</w:t>
            </w:r>
          </w:p>
        </w:tc>
        <w:tc>
          <w:tcPr>
            <w:tcW w:type="dxa" w:w="3061"/>
          </w:tcPr>
          <w:p>
            <w:pPr>
              <w:spacing w:after="20" w:line="264" w:lineRule="auto"/>
            </w:pPr>
            <w:r/>
            <w:r>
              <w:rPr>
                <w:rFonts w:ascii="Segoe UI" w:hAnsi="Segoe UI" w:eastAsia="Segoe UI" w:cs="Segoe UI"/>
                <w:color w:val="1F1D1A"/>
                <w:sz w:val="18"/>
              </w:rPr>
              <w:t>28.628</w:t>
            </w:r>
          </w:p>
        </w:tc>
        <w:tc>
          <w:tcPr>
            <w:tcW w:type="dxa" w:w="3061"/>
          </w:tcPr>
          <w:p>
            <w:pPr>
              <w:spacing w:after="20" w:line="264" w:lineRule="auto"/>
            </w:pPr>
            <w:r/>
            <w:r>
              <w:rPr>
                <w:rFonts w:ascii="Segoe UI" w:hAnsi="Segoe UI" w:eastAsia="Segoe UI" w:cs="Segoe UI"/>
                <w:color w:val="1F1D1A"/>
                <w:sz w:val="18"/>
              </w:rPr>
              <w:t>3,9</w:t>
            </w:r>
          </w:p>
        </w:tc>
      </w:tr>
      <w:tr>
        <w:tc>
          <w:tcPr>
            <w:tcW w:type="dxa" w:w="3061"/>
          </w:tcPr>
          <w:p>
            <w:pPr>
              <w:spacing w:after="20" w:line="264" w:lineRule="auto"/>
            </w:pPr>
            <w:r/>
            <w:r>
              <w:rPr>
                <w:rFonts w:ascii="Segoe UI" w:hAnsi="Segoe UI" w:eastAsia="Segoe UI" w:cs="Segoe UI"/>
                <w:color w:val="1F1D1A"/>
                <w:sz w:val="18"/>
              </w:rPr>
              <w:t>Cultura, ocio y religión</w:t>
            </w:r>
          </w:p>
        </w:tc>
        <w:tc>
          <w:tcPr>
            <w:tcW w:type="dxa" w:w="3061"/>
          </w:tcPr>
          <w:p>
            <w:pPr>
              <w:spacing w:after="20" w:line="264" w:lineRule="auto"/>
            </w:pPr>
            <w:r/>
            <w:r>
              <w:rPr>
                <w:rFonts w:ascii="Segoe UI" w:hAnsi="Segoe UI" w:eastAsia="Segoe UI" w:cs="Segoe UI"/>
                <w:color w:val="1F1D1A"/>
                <w:sz w:val="18"/>
              </w:rPr>
              <w:t>19.193</w:t>
            </w:r>
          </w:p>
        </w:tc>
        <w:tc>
          <w:tcPr>
            <w:tcW w:type="dxa" w:w="3061"/>
          </w:tcPr>
          <w:p>
            <w:pPr>
              <w:spacing w:after="20" w:line="264" w:lineRule="auto"/>
            </w:pPr>
            <w:r/>
            <w:r>
              <w:rPr>
                <w:rFonts w:ascii="Segoe UI" w:hAnsi="Segoe UI" w:eastAsia="Segoe UI" w:cs="Segoe UI"/>
                <w:color w:val="1F1D1A"/>
                <w:sz w:val="18"/>
              </w:rPr>
              <w:t>2,6</w:t>
            </w:r>
          </w:p>
        </w:tc>
      </w:tr>
      <w:tr>
        <w:tc>
          <w:tcPr>
            <w:tcW w:type="dxa" w:w="3061"/>
          </w:tcPr>
          <w:p>
            <w:pPr>
              <w:spacing w:after="20" w:line="264" w:lineRule="auto"/>
            </w:pPr>
            <w:r/>
            <w:r>
              <w:rPr>
                <w:rFonts w:ascii="Segoe UI" w:hAnsi="Segoe UI" w:eastAsia="Segoe UI" w:cs="Segoe UI"/>
                <w:color w:val="1F1D1A"/>
                <w:sz w:val="18"/>
              </w:rPr>
              <w:t>Medio ambiente</w:t>
            </w:r>
          </w:p>
        </w:tc>
        <w:tc>
          <w:tcPr>
            <w:tcW w:type="dxa" w:w="3061"/>
          </w:tcPr>
          <w:p>
            <w:pPr>
              <w:spacing w:after="20" w:line="264" w:lineRule="auto"/>
            </w:pPr>
            <w:r/>
            <w:r>
              <w:rPr>
                <w:rFonts w:ascii="Segoe UI" w:hAnsi="Segoe UI" w:eastAsia="Segoe UI" w:cs="Segoe UI"/>
                <w:color w:val="1F1D1A"/>
                <w:sz w:val="18"/>
              </w:rPr>
              <w:t>15.539</w:t>
            </w:r>
          </w:p>
        </w:tc>
        <w:tc>
          <w:tcPr>
            <w:tcW w:type="dxa" w:w="3061"/>
          </w:tcPr>
          <w:p>
            <w:pPr>
              <w:spacing w:after="20" w:line="264" w:lineRule="auto"/>
            </w:pPr>
            <w:r/>
            <w:r>
              <w:rPr>
                <w:rFonts w:ascii="Segoe UI" w:hAnsi="Segoe UI" w:eastAsia="Segoe UI" w:cs="Segoe UI"/>
                <w:color w:val="1F1D1A"/>
                <w:sz w:val="18"/>
              </w:rPr>
              <w:t>2,1</w:t>
            </w:r>
          </w:p>
        </w:tc>
      </w:tr>
      <w:tr>
        <w:tc>
          <w:tcPr>
            <w:tcW w:type="dxa" w:w="3061"/>
          </w:tcPr>
          <w:p>
            <w:pPr>
              <w:spacing w:after="20" w:line="264" w:lineRule="auto"/>
            </w:pPr>
            <w:r/>
            <w:r>
              <w:rPr>
                <w:rFonts w:ascii="Segoe UI" w:hAnsi="Segoe UI" w:eastAsia="Segoe UI" w:cs="Segoe UI"/>
                <w:color w:val="1F1D1A"/>
                <w:sz w:val="18"/>
              </w:rPr>
              <w:t>Defensa</w:t>
            </w:r>
          </w:p>
        </w:tc>
        <w:tc>
          <w:tcPr>
            <w:tcW w:type="dxa" w:w="3061"/>
          </w:tcPr>
          <w:p>
            <w:pPr>
              <w:spacing w:after="20" w:line="264" w:lineRule="auto"/>
            </w:pPr>
            <w:r/>
            <w:r>
              <w:rPr>
                <w:rFonts w:ascii="Segoe UI" w:hAnsi="Segoe UI" w:eastAsia="Segoe UI" w:cs="Segoe UI"/>
                <w:color w:val="1F1D1A"/>
                <w:sz w:val="18"/>
              </w:rPr>
              <w:t>14.233</w:t>
            </w:r>
          </w:p>
        </w:tc>
        <w:tc>
          <w:tcPr>
            <w:tcW w:type="dxa" w:w="3061"/>
          </w:tcPr>
          <w:p>
            <w:pPr>
              <w:spacing w:after="20" w:line="264" w:lineRule="auto"/>
            </w:pPr>
            <w:r/>
            <w:r>
              <w:rPr>
                <w:rFonts w:ascii="Segoe UI" w:hAnsi="Segoe UI" w:eastAsia="Segoe UI" w:cs="Segoe UI"/>
                <w:color w:val="1F1D1A"/>
                <w:sz w:val="18"/>
              </w:rPr>
              <w:t>2,0</w:t>
            </w:r>
          </w:p>
        </w:tc>
      </w:tr>
      <w:tr>
        <w:tc>
          <w:tcPr>
            <w:tcW w:type="dxa" w:w="3061"/>
          </w:tcPr>
          <w:p>
            <w:pPr>
              <w:spacing w:after="20" w:line="264" w:lineRule="auto"/>
            </w:pPr>
            <w:r/>
            <w:r>
              <w:rPr>
                <w:rFonts w:ascii="Segoe UI" w:hAnsi="Segoe UI" w:eastAsia="Segoe UI" w:cs="Segoe UI"/>
                <w:color w:val="1F1D1A"/>
                <w:sz w:val="18"/>
              </w:rPr>
              <w:t>Vivienda y servicios comunitarios</w:t>
            </w:r>
          </w:p>
        </w:tc>
        <w:tc>
          <w:tcPr>
            <w:tcW w:type="dxa" w:w="3061"/>
          </w:tcPr>
          <w:p>
            <w:pPr>
              <w:spacing w:after="20" w:line="264" w:lineRule="auto"/>
            </w:pPr>
            <w:r/>
            <w:r>
              <w:rPr>
                <w:rFonts w:ascii="Segoe UI" w:hAnsi="Segoe UI" w:eastAsia="Segoe UI" w:cs="Segoe UI"/>
                <w:color w:val="1F1D1A"/>
                <w:sz w:val="18"/>
              </w:rPr>
              <w:t>7.613</w:t>
            </w:r>
          </w:p>
        </w:tc>
        <w:tc>
          <w:tcPr>
            <w:tcW w:type="dxa" w:w="3061"/>
          </w:tcPr>
          <w:p>
            <w:pPr>
              <w:spacing w:after="20" w:line="264" w:lineRule="auto"/>
            </w:pPr>
            <w:r/>
            <w:r>
              <w:rPr>
                <w:rFonts w:ascii="Segoe UI" w:hAnsi="Segoe UI" w:eastAsia="Segoe UI" w:cs="Segoe UI"/>
                <w:color w:val="1F1D1A"/>
                <w:sz w:val="18"/>
              </w:rPr>
              <w:t>1,1</w:t>
            </w:r>
          </w:p>
        </w:tc>
      </w:tr>
      <w:tr>
        <w:tc>
          <w:tcPr>
            <w:tcW w:type="dxa" w:w="3061"/>
          </w:tcPr>
          <w:p>
            <w:pPr>
              <w:spacing w:after="20" w:line="264" w:lineRule="auto"/>
            </w:pPr>
            <w:r/>
            <w:r>
              <w:rPr>
                <w:rFonts w:ascii="Segoe UI" w:hAnsi="Segoe UI" w:eastAsia="Segoe UI" w:cs="Segoe UI"/>
                <w:b/>
                <w:color w:val="1F1D1A"/>
                <w:sz w:val="18"/>
              </w:rPr>
              <w:t>Total</w:t>
            </w:r>
          </w:p>
        </w:tc>
        <w:tc>
          <w:tcPr>
            <w:tcW w:type="dxa" w:w="3061"/>
          </w:tcPr>
          <w:p>
            <w:pPr>
              <w:spacing w:after="20" w:line="264" w:lineRule="auto"/>
            </w:pPr>
            <w:r/>
            <w:r>
              <w:rPr>
                <w:rFonts w:ascii="Segoe UI" w:hAnsi="Segoe UI" w:eastAsia="Segoe UI" w:cs="Segoe UI"/>
                <w:b/>
                <w:color w:val="1F1D1A"/>
                <w:sz w:val="18"/>
              </w:rPr>
              <w:t>725.001</w:t>
            </w:r>
          </w:p>
        </w:tc>
        <w:tc>
          <w:tcPr>
            <w:tcW w:type="dxa" w:w="3061"/>
          </w:tcPr>
          <w:p>
            <w:pPr>
              <w:spacing w:after="20" w:line="264" w:lineRule="auto"/>
            </w:pPr>
            <w:r/>
            <w:r>
              <w:rPr>
                <w:rFonts w:ascii="Segoe UI" w:hAnsi="Segoe UI" w:eastAsia="Segoe UI" w:cs="Segoe UI"/>
                <w:b/>
                <w:color w:val="1F1D1A"/>
                <w:sz w:val="18"/>
              </w:rPr>
              <w:t>100,0</w:t>
            </w:r>
          </w:p>
        </w:tc>
      </w:tr>
    </w:tbl>
    <w:p>
      <w:pPr>
        <w:spacing w:after="80"/>
      </w:pPr>
    </w:p>
    <w:p>
      <w:r>
        <w:t>Fuente: Eurostat, gasto de las administraciones públicas por funciones, España, 2024; los intereses, de las cuentas de las administraciones públicas de Eurostat. La partida de vejez mezcla las pensiones de la Seguridad Social, pagadas sobre todo con cotizaciones, con las de los funcionarios del Estado, pagadas con los Presupuestos. Unos cinco de cada cien euros van a vivienda, medio ambiente y defensa juntos; otros 5,4, a intereses. El gasto de 2024 fue el 45,5 % del PIB, frente al 48,9 % del agregado de la UE-27</w:t>
      </w:r>
      <w:r>
        <w:t xml:space="preserve"> (Eurostat, gov_10a_exp, 2024, actualizado el 16-9-2026)</w:t>
      </w:r>
      <w:r>
        <w:t>. De los 297.532 millones de protección social, 267.057 (89,8 %) son prestaciones sociales en dinero; el personal y el funcionamiento suman 16.402 (9.127 y 7.275)</w:t>
      </w:r>
      <w:r>
        <w:t xml:space="preserve"> (Eurostat, gov_10a_exp, función 10, 2024)</w:t>
      </w:r>
      <w:r>
        <w:t xml:space="preserve">. </w:t>
      </w:r>
      <w:r>
        <w:t>[34.00-2.1 a 2.19 y 16.1 a 16.2; 21.00-13.2; 34.00-16.18]</w:t>
      </w:r>
    </w:p>
    <w:p>
      <w:r>
        <w:rPr>
          <w:b/>
        </w:rPr>
        <w:t>Quién sostiene a quién.</w:t>
      </w:r>
      <w:r>
        <w:t xml:space="preserve"> De un lado, quien trabaja, por cuenta ajena o propia, sostiene el sistema con sus cotizaciones, su IRPF y su IVA: en 2025, las cotizaciones sociales sumaron 223.612 millones, y una parte de ellas la pagan las propias administraciones por su personal, con impuestos (</w:t>
      </w:r>
      <w:r>
        <w:t>5.1</w:t>
      </w:r>
      <w:r>
        <w:t>, n.º 3). Del otro, tres esferas que se sostienen con ese dinero: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Esfera</w:t>
            </w:r>
          </w:p>
        </w:tc>
        <w:tc>
          <w:tcPr>
            <w:tcW w:type="dxa" w:w="2296"/>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2296"/>
            <w:shd w:val="clear" w:color="auto" w:fill="F1EEE8"/>
          </w:tcPr>
          <w:p>
            <w:pPr>
              <w:spacing w:after="20" w:line="264" w:lineRule="auto"/>
            </w:pPr>
            <w:r>
              <w:rPr>
                <w:b/>
              </w:rPr>
            </w:r>
            <w:r>
              <w:rPr>
                <w:rFonts w:ascii="Segoe UI" w:hAnsi="Segoe UI" w:eastAsia="Segoe UI" w:cs="Segoe UI"/>
                <w:b/>
                <w:color w:val="1F1D1A"/>
                <w:sz w:val="18"/>
              </w:rPr>
              <w:t>Media al año por persona</w:t>
            </w:r>
          </w:p>
        </w:tc>
        <w:tc>
          <w:tcPr>
            <w:tcW w:type="dxa" w:w="2296"/>
            <w:shd w:val="clear" w:color="auto" w:fill="F1EEE8"/>
          </w:tcPr>
          <w:p>
            <w:pPr>
              <w:spacing w:after="20" w:line="264" w:lineRule="auto"/>
            </w:pPr>
            <w:r>
              <w:rPr>
                <w:b/>
              </w:rPr>
            </w:r>
            <w:r>
              <w:rPr>
                <w:rFonts w:ascii="Segoe UI" w:hAnsi="Segoe UI" w:eastAsia="Segoe UI" w:cs="Segoe UI"/>
                <w:b/>
                <w:color w:val="1F1D1A"/>
                <w:sz w:val="18"/>
              </w:rPr>
              <w:t>¿Se le puede despedir?</w:t>
            </w:r>
          </w:p>
        </w:tc>
      </w:tr>
      <w:tr>
        <w:tc>
          <w:tcPr>
            <w:tcW w:type="dxa" w:w="2296"/>
          </w:tcPr>
          <w:p>
            <w:pPr>
              <w:spacing w:after="20" w:line="264" w:lineRule="auto"/>
            </w:pPr>
            <w:r/>
            <w:r>
              <w:rPr>
                <w:rFonts w:ascii="Segoe UI" w:hAnsi="Segoe UI" w:eastAsia="Segoe UI" w:cs="Segoe UI"/>
                <w:color w:val="1F1D1A"/>
                <w:sz w:val="18"/>
              </w:rPr>
              <w:t>Quien trabaja en el sector privado (sostiene)</w:t>
            </w:r>
          </w:p>
        </w:tc>
        <w:tc>
          <w:tcPr>
            <w:tcW w:type="dxa" w:w="2296"/>
          </w:tcPr>
          <w:p>
            <w:pPr>
              <w:spacing w:after="20" w:line="264" w:lineRule="auto"/>
            </w:pPr>
            <w:r/>
            <w:r>
              <w:rPr>
                <w:rFonts w:ascii="Segoe UI" w:hAnsi="Segoe UI" w:eastAsia="Segoe UI" w:cs="Segoe UI"/>
                <w:color w:val="1F1D1A"/>
                <w:sz w:val="18"/>
              </w:rPr>
              <w:t>19.132.100 ocupados</w:t>
            </w:r>
          </w:p>
        </w:tc>
        <w:tc>
          <w:tcPr>
            <w:tcW w:type="dxa" w:w="2296"/>
          </w:tcPr>
          <w:p>
            <w:pPr>
              <w:spacing w:after="20" w:line="264" w:lineRule="auto"/>
            </w:pPr>
            <w:r/>
            <w:r>
              <w:rPr>
                <w:rFonts w:ascii="Segoe UI" w:hAnsi="Segoe UI" w:eastAsia="Segoe UI" w:cs="Segoe UI"/>
                <w:color w:val="1F1D1A"/>
                <w:sz w:val="18"/>
              </w:rPr>
              <w:t>22.962 € de salario</w:t>
            </w:r>
          </w:p>
        </w:tc>
        <w:tc>
          <w:tcPr>
            <w:tcW w:type="dxa" w:w="2296"/>
          </w:tcPr>
          <w:p>
            <w:pPr>
              <w:spacing w:after="20" w:line="264" w:lineRule="auto"/>
            </w:pPr>
            <w:r/>
            <w:r>
              <w:rPr>
                <w:rFonts w:ascii="Segoe UI" w:hAnsi="Segoe UI" w:eastAsia="Segoe UI" w:cs="Segoe UI"/>
                <w:color w:val="1F1D1A"/>
                <w:sz w:val="18"/>
              </w:rPr>
              <w:t>Sí, con indemnización tasada</w:t>
            </w:r>
          </w:p>
        </w:tc>
      </w:tr>
      <w:tr>
        <w:tc>
          <w:tcPr>
            <w:tcW w:type="dxa" w:w="2296"/>
          </w:tcPr>
          <w:p>
            <w:pPr>
              <w:spacing w:after="20" w:line="264" w:lineRule="auto"/>
            </w:pPr>
            <w:r/>
            <w:r>
              <w:rPr>
                <w:rFonts w:ascii="Segoe UI" w:hAnsi="Segoe UI" w:eastAsia="Segoe UI" w:cs="Segoe UI"/>
                <w:color w:val="1F1D1A"/>
                <w:sz w:val="18"/>
              </w:rPr>
              <w:t>1a. Jubilados del trabajo privado</w:t>
            </w:r>
          </w:p>
        </w:tc>
        <w:tc>
          <w:tcPr>
            <w:tcW w:type="dxa" w:w="2296"/>
          </w:tcPr>
          <w:p>
            <w:pPr>
              <w:spacing w:after="20" w:line="264" w:lineRule="auto"/>
            </w:pPr>
            <w:r/>
            <w:r>
              <w:rPr>
                <w:rFonts w:ascii="Segoe UI" w:hAnsi="Segoe UI" w:eastAsia="Segoe UI" w:cs="Segoe UI"/>
                <w:color w:val="1F1D1A"/>
                <w:sz w:val="18"/>
              </w:rPr>
              <w:t>10.547.417 pensiones</w:t>
            </w:r>
          </w:p>
        </w:tc>
        <w:tc>
          <w:tcPr>
            <w:tcW w:type="dxa" w:w="2296"/>
          </w:tcPr>
          <w:p>
            <w:pPr>
              <w:spacing w:after="20" w:line="264" w:lineRule="auto"/>
            </w:pPr>
            <w:r/>
            <w:r>
              <w:rPr>
                <w:rFonts w:ascii="Segoe UI" w:hAnsi="Segoe UI" w:eastAsia="Segoe UI" w:cs="Segoe UI"/>
                <w:color w:val="1F1D1A"/>
                <w:sz w:val="18"/>
              </w:rPr>
              <w:t>19.244 € (jubilación: 22.065 €)</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1b. Jubilados del Estado</w:t>
            </w:r>
          </w:p>
        </w:tc>
        <w:tc>
          <w:tcPr>
            <w:tcW w:type="dxa" w:w="2296"/>
          </w:tcPr>
          <w:p>
            <w:pPr>
              <w:spacing w:after="20" w:line="264" w:lineRule="auto"/>
            </w:pPr>
            <w:r/>
            <w:r>
              <w:rPr>
                <w:rFonts w:ascii="Segoe UI" w:hAnsi="Segoe UI" w:eastAsia="Segoe UI" w:cs="Segoe UI"/>
                <w:color w:val="1F1D1A"/>
                <w:sz w:val="18"/>
              </w:rPr>
              <w:t>740.431 pensiones, como mínimo</w:t>
            </w:r>
          </w:p>
        </w:tc>
        <w:tc>
          <w:tcPr>
            <w:tcW w:type="dxa" w:w="2296"/>
          </w:tcPr>
          <w:p>
            <w:pPr>
              <w:spacing w:after="20" w:line="264" w:lineRule="auto"/>
            </w:pPr>
            <w:r/>
            <w:r>
              <w:rPr>
                <w:rFonts w:ascii="Segoe UI" w:hAnsi="Segoe UI" w:eastAsia="Segoe UI" w:cs="Segoe UI"/>
                <w:color w:val="1F1D1A"/>
                <w:sz w:val="18"/>
              </w:rPr>
              <w:t>33.545 €</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 Empleados públicos y fuerzas del Estado</w:t>
            </w:r>
          </w:p>
        </w:tc>
        <w:tc>
          <w:tcPr>
            <w:tcW w:type="dxa" w:w="2296"/>
          </w:tcPr>
          <w:p>
            <w:pPr>
              <w:spacing w:after="20" w:line="264" w:lineRule="auto"/>
            </w:pPr>
            <w:r/>
            <w:r>
              <w:rPr>
                <w:rFonts w:ascii="Segoe UI" w:hAnsi="Segoe UI" w:eastAsia="Segoe UI" w:cs="Segoe UI"/>
                <w:color w:val="1F1D1A"/>
                <w:sz w:val="18"/>
              </w:rPr>
              <w:t>3.071.725</w:t>
            </w:r>
          </w:p>
        </w:tc>
        <w:tc>
          <w:tcPr>
            <w:tcW w:type="dxa" w:w="2296"/>
          </w:tcPr>
          <w:p>
            <w:pPr>
              <w:spacing w:after="20" w:line="264" w:lineRule="auto"/>
            </w:pPr>
            <w:r/>
            <w:r>
              <w:rPr>
                <w:rFonts w:ascii="Segoe UI" w:hAnsi="Segoe UI" w:eastAsia="Segoe UI" w:cs="Segoe UI"/>
                <w:color w:val="1F1D1A"/>
                <w:sz w:val="18"/>
              </w:rPr>
              <w:t>34.482 € de salario</w:t>
            </w:r>
          </w:p>
        </w:tc>
        <w:tc>
          <w:tcPr>
            <w:tcW w:type="dxa" w:w="2296"/>
          </w:tcPr>
          <w:p>
            <w:pPr>
              <w:spacing w:after="20" w:line="264" w:lineRule="auto"/>
            </w:pPr>
            <w:r/>
            <w:r>
              <w:rPr>
                <w:rFonts w:ascii="Segoe UI" w:hAnsi="Segoe UI" w:eastAsia="Segoe UI" w:cs="Segoe UI"/>
                <w:color w:val="1F1D1A"/>
                <w:sz w:val="18"/>
              </w:rPr>
              <w:t>Solo por falta muy grave o condena</w:t>
            </w:r>
          </w:p>
        </w:tc>
      </w:tr>
      <w:tr>
        <w:tc>
          <w:tcPr>
            <w:tcW w:type="dxa" w:w="2296"/>
          </w:tcPr>
          <w:p>
            <w:pPr>
              <w:spacing w:after="20" w:line="264" w:lineRule="auto"/>
            </w:pPr>
            <w:r/>
            <w:r>
              <w:rPr>
                <w:rFonts w:ascii="Segoe UI" w:hAnsi="Segoe UI" w:eastAsia="Segoe UI" w:cs="Segoe UI"/>
                <w:color w:val="1F1D1A"/>
                <w:sz w:val="18"/>
              </w:rPr>
              <w:t>3. Cargos políticos</w:t>
            </w:r>
          </w:p>
        </w:tc>
        <w:tc>
          <w:tcPr>
            <w:tcW w:type="dxa" w:w="2296"/>
          </w:tcPr>
          <w:p>
            <w:pPr>
              <w:spacing w:after="20" w:line="264" w:lineRule="auto"/>
            </w:pPr>
            <w:r/>
            <w:r>
              <w:rPr>
                <w:rFonts w:ascii="Segoe UI" w:hAnsi="Segoe UI" w:eastAsia="Segoe UI" w:cs="Segoe UI"/>
                <w:color w:val="1F1D1A"/>
                <w:sz w:val="18"/>
              </w:rPr>
              <w:t>743 altos cargos; 350 diputados; 266 senadores; 959 asesores, como mínimo</w:t>
            </w:r>
          </w:p>
        </w:tc>
        <w:tc>
          <w:tcPr>
            <w:tcW w:type="dxa" w:w="2296"/>
          </w:tcPr>
          <w:p>
            <w:pPr>
              <w:spacing w:after="20" w:line="264" w:lineRule="auto"/>
            </w:pPr>
            <w:r/>
            <w:r>
              <w:rPr>
                <w:rFonts w:ascii="Segoe UI" w:hAnsi="Segoe UI" w:eastAsia="Segoe UI" w:cs="Segoe UI"/>
                <w:color w:val="1F1D1A"/>
                <w:sz w:val="18"/>
              </w:rPr>
              <w:t>Presidente del Gobierno, 96.921,84 €; ministro, 85.513,32 €; senador de fuera de Madrid, unos 78.555 €</w:t>
            </w:r>
          </w:p>
        </w:tc>
        <w:tc>
          <w:tcPr>
            <w:tcW w:type="dxa" w:w="2296"/>
          </w:tcPr>
          <w:p>
            <w:pPr>
              <w:spacing w:after="20" w:line="264" w:lineRule="auto"/>
            </w:pPr>
            <w:r/>
            <w:r>
              <w:rPr>
                <w:rFonts w:ascii="Segoe UI" w:hAnsi="Segoe UI" w:eastAsia="Segoe UI" w:cs="Segoe UI"/>
                <w:color w:val="1F1D1A"/>
                <w:sz w:val="18"/>
              </w:rPr>
              <w:t>No durante el mandato</w:t>
            </w:r>
          </w:p>
        </w:tc>
      </w:tr>
    </w:tbl>
    <w:p>
      <w:pPr>
        <w:spacing w:after="80"/>
      </w:pPr>
    </w:p>
    <w:p>
      <w:r>
        <w:t>Fuentes y cálculos: ocupados del sector privado, autónomos incluidos, en el segundo trimestre de 2026</w:t>
      </w:r>
      <w:r>
        <w:t xml:space="preserve"> (INE, EPA, tabla 65183)</w:t>
      </w:r>
      <w:r>
        <w:t>. Salarios medios: cálculo de la obra con la tabla de retribuciones y asalariados de la Agencia Tributaria de 2024, sin corregir la jornada, la antigüedad ni la cualificación; los contratos temporales o a tiempo parcial, más frecuentes en el sector privado, bajan su media. Pensiones de la Seguridad Social: nómina de septiembre de 2026, pensión media de 1.374,6 € (jubilación, 1.576,1 €) por catorce pagas</w:t>
      </w:r>
      <w:r>
        <w:t xml:space="preserve"> (Seguridad Social, nota de 25-9-2026)</w:t>
      </w:r>
      <w:r>
        <w:t>. Clases Pasivas: pensiones de agosto de 2026, nómina mensual de 1.774,1 millones; es un mínimo, porque los empleados públicos que ingresaron desde 2011, el personal laboral y casi todos los funcionarios autonómicos y locales se jubilan por la Seguridad Social y las estadísticas no los separan</w:t>
      </w:r>
      <w:r>
        <w:t xml:space="preserve"> (ídem)</w:t>
      </w:r>
      <w:r>
        <w:t>. Empleados públicos: enero de 2026; 546.554 en el Estado, 1.930.273 en las comunidades autónomas y 594.898 en la Administración local</w:t>
      </w:r>
      <w:r>
        <w:t xml:space="preserve"> (Estadística del Personal al Servicio de las Administraciones Públicas)</w:t>
      </w:r>
      <w:r>
        <w:t>. Cargos: 743 registros de retribución de altos cargos de 2025 en el Portal de la Transparencia (recuento de la obra), con una retribución media de 92.294 euros (</w:t>
      </w:r>
      <w:r>
        <w:t>C.1</w:t>
      </w:r>
      <w:r>
        <w:t>); 266 senadores en la XV Legislatura (</w:t>
      </w:r>
      <w:r>
        <w:t>C.1</w:t>
      </w:r>
      <w:r>
        <w:t>); «trescientos cincuenta Diputados»</w:t>
      </w:r>
      <w:r>
        <w:t xml:space="preserve"> (LOREG, art. 162.1)</w:t>
      </w:r>
      <w:r>
        <w:br/>
      </w:r>
      <w:r>
        <w:rPr>
          <w:b/>
        </w:rPr>
        <w:t>leída en su fuente · LOREG, art. 162.1</w:t>
      </w:r>
      <w:r>
        <w:br/>
      </w:r>
      <w:r>
        <w:rPr>
          <w:b/>
        </w:rPr>
        <w:t>Archivo leído:</w:t>
      </w:r>
      <w:r>
        <w:t xml:space="preserve"> loreg_lo5_1985_consolidada.html (c10\loreg_lo5_1985_consolidada.html) · contraste del archivo de pasajes: ✔</w:t>
      </w:r>
      <w:r>
        <w:br/>
      </w:r>
      <w:r>
        <w:rPr>
          <w:b/>
        </w:rPr>
        <w:t>Lugar:</w:t>
      </w:r>
      <w:r>
        <w:t xml:space="preserve"> LOREG, art. 162.1</w:t>
      </w:r>
      <w:r>
        <w:br/>
      </w:r>
      <w:r>
        <w:rPr>
          <w:b/>
        </w:rPr>
        <w:t>Tal como está en la fuente:</w:t>
      </w:r>
      <w:r>
        <w:t xml:space="preserve"> trescientos cincuenta Diputados</w:t>
      </w:r>
      <w:r>
        <w:t>; personal eventual de los ministerios, 959, un mínimo porque no cuenta a los funcionarios de carrera que ocupan puestos de confianza</w:t>
      </w:r>
      <w:r>
        <w:t xml:space="preserve"> (Estadística del Personal, tabla 2.3)</w:t>
      </w:r>
      <w:r>
        <w:t>; retribuciones de 2026</w:t>
      </w:r>
      <w:r>
        <w:t xml:space="preserve"> (Hacienda, cuantías retributivas; Senado, régimen económico)</w:t>
      </w:r>
      <w:r>
        <w:t>: el senador cobra 3.417,54 € al mes de asignación y 2.193,50 € de indemnización exenta, en catorce pagas. Despido: en el despido por causas objetivas, «veinte días por año de servicio […] con un máximo de doce mensualidades»</w:t>
      </w:r>
      <w:r>
        <w:t xml:space="preserve"> (Estatuto de los Trabajadores, art. 53.1.b)</w:t>
      </w:r>
      <w:r>
        <w:br/>
      </w:r>
      <w:r>
        <w:rPr>
          <w:b/>
        </w:rPr>
        <w:t>leída en su fuente · Estatuto de los Trabajadores, art. 53.1.b</w:t>
      </w:r>
      <w:r>
        <w:br/>
      </w:r>
      <w:r>
        <w:rPr>
          <w:b/>
        </w:rPr>
        <w:t>Archivo leído:</w:t>
      </w:r>
      <w:r>
        <w:t xml:space="preserve"> BOE-A-2015-11430.txt (c9f\boe_codigos_electronicos\093_Codigo_Laboral_y_de_la_Seguridad_Social_.pdf; c8f\boe\BOE-A-2015-11430.txt) · contraste del archivo de pasajes: ✔</w:t>
      </w:r>
      <w:r>
        <w:br/>
      </w:r>
      <w:r>
        <w:rPr>
          <w:b/>
        </w:rPr>
        <w:t>Lugar:</w:t>
      </w:r>
      <w:r>
        <w:t xml:space="preserve"> Estatuto de los Trabajadores, art. 53.1.b</w:t>
      </w:r>
      <w:r>
        <w:br/>
      </w:r>
      <w:r>
        <w:rPr>
          <w:b/>
        </w:rPr>
        <w:t>Tal como está en la fuente:</w:t>
      </w:r>
      <w:r>
        <w:t xml:space="preserve"> veinte días por año de servicio […] con un máximo de doce mensualidades</w:t>
      </w:r>
      <w:r>
        <w:t>; si es improcedente, la readmisión o «treinta y tres días de salario por año de servicio […] hasta un máximo de veinticuatro mensualidades»</w:t>
      </w:r>
      <w:r>
        <w:t xml:space="preserve"> (art. 56.1)</w:t>
      </w:r>
      <w:r>
        <w:br/>
      </w:r>
      <w:r>
        <w:rPr>
          <w:b/>
        </w:rPr>
        <w:t>leída en su fuente · art. 56.1</w:t>
      </w:r>
      <w:r>
        <w:br/>
      </w:r>
      <w:r>
        <w:rPr>
          <w:b/>
        </w:rPr>
        <w:t>Archivo leído:</w:t>
      </w:r>
      <w:r>
        <w:t xml:space="preserve"> BOE-A-2015-11430.txt (c9f\boe_codigos_electronicos\093_Codigo_Laboral_y_de_la_Seguridad_Social_.pdf; c8f\boe\BOE-A-2015-11430.txt) · contraste del archivo de pasajes: ✔</w:t>
      </w:r>
      <w:r>
        <w:br/>
      </w:r>
      <w:r>
        <w:rPr>
          <w:b/>
        </w:rPr>
        <w:t>Lugar:</w:t>
      </w:r>
      <w:r>
        <w:t xml:space="preserve"> art. 56.1</w:t>
      </w:r>
      <w:r>
        <w:br/>
      </w:r>
      <w:r>
        <w:rPr>
          <w:b/>
        </w:rPr>
        <w:t>Tal como está en la fuente:</w:t>
      </w:r>
      <w:r>
        <w:t xml:space="preserve"> treinta y tres días de salario por año de servicio […] hasta un máximo de veinticuatro mensualidades</w:t>
      </w:r>
      <w:r>
        <w:t>. El funcionario de carrera tiene derecho «A la inamovilidad»</w:t>
      </w:r>
      <w:r>
        <w:t xml:space="preserve"> (Estatuto Básico del Empleado Público, art. 14.a)</w:t>
      </w:r>
      <w:r>
        <w:t>, y solo pierde la condición por renuncia, pérdida de la nacionalidad, jubilación, separación firme del servicio, que «sólo podrá sancionar la comisión de faltas muy graves», o inhabilitación penal firme</w:t>
      </w:r>
      <w:r>
        <w:t xml:space="preserve"> (arts. 63 y 96.1.a)</w:t>
      </w:r>
      <w:r>
        <w:t>. El diputado la pierde por anulación judicial de su elección, fallecimiento o incapacitación, fin del mandato o renuncia</w:t>
      </w:r>
      <w:r>
        <w:t xml:space="preserve"> (Reglamento del Congreso, art. 22)</w:t>
      </w:r>
      <w:r>
        <w:t xml:space="preserve">. </w:t>
      </w:r>
      <w:r>
        <w:t>[34.00-3.1 a 4.8 y 16.3 a 16.14]</w:t>
      </w:r>
    </w:p>
    <w:p>
      <w:r>
        <w:rPr>
          <w:b/>
        </w:rPr>
        <w:t>Lo que dicen las medias.</w:t>
      </w:r>
      <w:r>
        <w:t xml:space="preserve"> La pensión media del jubilado del Estado es 1,7 veces la del jubilado del trabajo privado, y el salario medio público, un 50 % mayor que el privado. Al asalariado se le puede despedir pagando una indemnización tasada; al funcionario de carrera, solo por falta muy grave o condena; al parlamentario, nadie durante su mandato. Son comparaciones en bruto, con sus cautelas. </w:t>
      </w:r>
      <w:r>
        <w:t>[34.00-4.7 y 14.1]</w:t>
      </w:r>
    </w:p>
    <w:p>
      <w:r>
        <w:rPr>
          <w:b/>
        </w:rPr>
        <w:t>Lo que se prometió a quien cotiza.</w:t>
      </w:r>
      <w:r>
        <w:t xml:space="preserve"> Quien cotiza cree pagar su jubilación, y la ley dice que el sistema es de reparto (</w:t>
      </w:r>
      <w:r>
        <w:t>5.1</w:t>
      </w:r>
      <w:r>
        <w:t>, n.º 1): la pensión de quien cotiza hoy dependerá de quienes coticen detrás. Hoy hay unos dos afiliados por cada pensión: 21.844.414 afiliados en diciembre de 2025</w:t>
      </w:r>
      <w:r>
        <w:t xml:space="preserve"> (Seguridad Social, nota de 5-1-2026)</w:t>
      </w:r>
      <w:r>
        <w:t xml:space="preserve"> para 10.547.417 pensiones en septiembre de 2026; y la fecundidad está en 1,10 hijos por mujer (</w:t>
      </w:r>
      <w:r>
        <w:t>8.8</w:t>
      </w:r>
      <w:r>
        <w:t xml:space="preserve">). </w:t>
      </w:r>
      <w:r>
        <w:t>[34.00-5.1 y 16.15]</w:t>
      </w:r>
    </w:p>
    <w:p>
      <w:r>
        <w:rPr>
          <w:b/>
        </w:rPr>
        <w:t>La hucha.</w:t>
      </w:r>
      <w:r>
        <w:t xml:space="preserve"> El Fondo de Reserva llegó a 66.815 millones en 2011. Desde 2012 se dejó sin efecto su límite anual de disposición: «Durante los ejercicios 2012, 2013 y 2014, no resultará de aplicación el límite del tres por ciento»</w:t>
      </w:r>
      <w:r>
        <w:t xml:space="preserve"> (Real Decreto-ley 28/2012, art. 1)</w:t>
      </w:r>
      <w:r>
        <w:br/>
      </w:r>
      <w:r>
        <w:rPr>
          <w:b/>
        </w:rPr>
        <w:t>leída en su fuente · Real Decreto-ley 28/2012, art. 1</w:t>
      </w:r>
      <w:r>
        <w:br/>
      </w:r>
      <w:r>
        <w:rPr>
          <w:b/>
        </w:rPr>
        <w:t>Archivo leído:</w:t>
      </w:r>
      <w:r>
        <w:t xml:space="preserve"> 8.5_18a_RDL_28-2012_Fondo_Reserva_BOE-A-2012-14695.html (c8c\8.5_18a_RDL_28-2012_Fondo_Reserva_BOE-A-2012-14695.html) · contraste del archivo de pasajes: ✔</w:t>
      </w:r>
      <w:r>
        <w:br/>
      </w:r>
      <w:r>
        <w:rPr>
          <w:b/>
        </w:rPr>
        <w:t>Lugar:</w:t>
      </w:r>
      <w:r>
        <w:t xml:space="preserve"> Real Decreto-ley 28/2012, art. 1</w:t>
      </w:r>
      <w:r>
        <w:br/>
      </w:r>
      <w:r>
        <w:rPr>
          <w:b/>
        </w:rPr>
        <w:t>Tal como está en la fuente:</w:t>
      </w:r>
      <w:r>
        <w:t xml:space="preserve"> Durante los ejercicios 2012, 2013 y 2014, no resultará de aplicación el límite del tres por ciento</w:t>
      </w:r>
      <w:r>
        <w:t>; después, para 2015 y 2016 y para 2017 y 2018, por las leyes de presupuestos. Lo dispuesto, año por año: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020"/>
        <w:gridCol w:w="1020"/>
        <w:gridCol w:w="1020"/>
        <w:gridCol w:w="1020"/>
        <w:gridCol w:w="1020"/>
        <w:gridCol w:w="1020"/>
        <w:gridCol w:w="1020"/>
        <w:gridCol w:w="1020"/>
        <w:gridCol w:w="1020"/>
      </w:tblGrid>
      <w:tr>
        <w:tc>
          <w:tcPr>
            <w:tcW w:type="dxa" w:w="1020"/>
            <w:shd w:val="clear" w:color="auto" w:fill="F1EEE8"/>
          </w:tcPr>
          <w:p>
            <w:pPr>
              <w:spacing w:after="20" w:line="264" w:lineRule="auto"/>
            </w:pPr>
            <w:r>
              <w:rPr>
                <w:b/>
              </w:rPr>
            </w:r>
            <w:r>
              <w:rPr>
                <w:rFonts w:ascii="Segoe UI" w:hAnsi="Segoe UI" w:eastAsia="Segoe UI" w:cs="Segoe UI"/>
                <w:b/>
                <w:color w:val="1F1D1A"/>
                <w:sz w:val="18"/>
              </w:rPr>
              <w:t>2012</w:t>
            </w:r>
          </w:p>
        </w:tc>
        <w:tc>
          <w:tcPr>
            <w:tcW w:type="dxa" w:w="1020"/>
            <w:shd w:val="clear" w:color="auto" w:fill="F1EEE8"/>
          </w:tcPr>
          <w:p>
            <w:pPr>
              <w:spacing w:after="20" w:line="264" w:lineRule="auto"/>
            </w:pPr>
            <w:r>
              <w:rPr>
                <w:b/>
              </w:rPr>
            </w:r>
            <w:r>
              <w:rPr>
                <w:rFonts w:ascii="Segoe UI" w:hAnsi="Segoe UI" w:eastAsia="Segoe UI" w:cs="Segoe UI"/>
                <w:b/>
                <w:color w:val="1F1D1A"/>
                <w:sz w:val="18"/>
              </w:rPr>
              <w:t>2013</w:t>
            </w:r>
          </w:p>
        </w:tc>
        <w:tc>
          <w:tcPr>
            <w:tcW w:type="dxa" w:w="1020"/>
            <w:shd w:val="clear" w:color="auto" w:fill="F1EEE8"/>
          </w:tcPr>
          <w:p>
            <w:pPr>
              <w:spacing w:after="20" w:line="264" w:lineRule="auto"/>
            </w:pPr>
            <w:r>
              <w:rPr>
                <w:b/>
              </w:rPr>
            </w:r>
            <w:r>
              <w:rPr>
                <w:rFonts w:ascii="Segoe UI" w:hAnsi="Segoe UI" w:eastAsia="Segoe UI" w:cs="Segoe UI"/>
                <w:b/>
                <w:color w:val="1F1D1A"/>
                <w:sz w:val="18"/>
              </w:rPr>
              <w:t>2014</w:t>
            </w:r>
          </w:p>
        </w:tc>
        <w:tc>
          <w:tcPr>
            <w:tcW w:type="dxa" w:w="1020"/>
            <w:shd w:val="clear" w:color="auto" w:fill="F1EEE8"/>
          </w:tcPr>
          <w:p>
            <w:pPr>
              <w:spacing w:after="20" w:line="264" w:lineRule="auto"/>
            </w:pPr>
            <w:r>
              <w:rPr>
                <w:b/>
              </w:rPr>
            </w:r>
            <w:r>
              <w:rPr>
                <w:rFonts w:ascii="Segoe UI" w:hAnsi="Segoe UI" w:eastAsia="Segoe UI" w:cs="Segoe UI"/>
                <w:b/>
                <w:color w:val="1F1D1A"/>
                <w:sz w:val="18"/>
              </w:rPr>
              <w:t>2015</w:t>
            </w:r>
          </w:p>
        </w:tc>
        <w:tc>
          <w:tcPr>
            <w:tcW w:type="dxa" w:w="1020"/>
            <w:shd w:val="clear" w:color="auto" w:fill="F1EEE8"/>
          </w:tcPr>
          <w:p>
            <w:pPr>
              <w:spacing w:after="20" w:line="264" w:lineRule="auto"/>
            </w:pPr>
            <w:r>
              <w:rPr>
                <w:b/>
              </w:rPr>
            </w:r>
            <w:r>
              <w:rPr>
                <w:rFonts w:ascii="Segoe UI" w:hAnsi="Segoe UI" w:eastAsia="Segoe UI" w:cs="Segoe UI"/>
                <w:b/>
                <w:color w:val="1F1D1A"/>
                <w:sz w:val="18"/>
              </w:rPr>
              <w:t>2016</w:t>
            </w:r>
          </w:p>
        </w:tc>
        <w:tc>
          <w:tcPr>
            <w:tcW w:type="dxa" w:w="1020"/>
            <w:shd w:val="clear" w:color="auto" w:fill="F1EEE8"/>
          </w:tcPr>
          <w:p>
            <w:pPr>
              <w:spacing w:after="20" w:line="264" w:lineRule="auto"/>
            </w:pPr>
            <w:r>
              <w:rPr>
                <w:b/>
              </w:rPr>
            </w:r>
            <w:r>
              <w:rPr>
                <w:rFonts w:ascii="Segoe UI" w:hAnsi="Segoe UI" w:eastAsia="Segoe UI" w:cs="Segoe UI"/>
                <w:b/>
                <w:color w:val="1F1D1A"/>
                <w:sz w:val="18"/>
              </w:rPr>
              <w:t>2017</w:t>
            </w:r>
          </w:p>
        </w:tc>
        <w:tc>
          <w:tcPr>
            <w:tcW w:type="dxa" w:w="1020"/>
            <w:shd w:val="clear" w:color="auto" w:fill="F1EEE8"/>
          </w:tcPr>
          <w:p>
            <w:pPr>
              <w:spacing w:after="20" w:line="264" w:lineRule="auto"/>
            </w:pPr>
            <w:r>
              <w:rPr>
                <w:b/>
              </w:rPr>
            </w:r>
            <w:r>
              <w:rPr>
                <w:rFonts w:ascii="Segoe UI" w:hAnsi="Segoe UI" w:eastAsia="Segoe UI" w:cs="Segoe UI"/>
                <w:b/>
                <w:color w:val="1F1D1A"/>
                <w:sz w:val="18"/>
              </w:rPr>
              <w:t>2018</w:t>
            </w:r>
          </w:p>
        </w:tc>
        <w:tc>
          <w:tcPr>
            <w:tcW w:type="dxa" w:w="1020"/>
            <w:shd w:val="clear" w:color="auto" w:fill="F1EEE8"/>
          </w:tcPr>
          <w:p>
            <w:pPr>
              <w:spacing w:after="20" w:line="264" w:lineRule="auto"/>
            </w:pPr>
            <w:r>
              <w:rPr>
                <w:b/>
              </w:rPr>
            </w:r>
            <w:r>
              <w:rPr>
                <w:rFonts w:ascii="Segoe UI" w:hAnsi="Segoe UI" w:eastAsia="Segoe UI" w:cs="Segoe UI"/>
                <w:b/>
                <w:color w:val="1F1D1A"/>
                <w:sz w:val="18"/>
              </w:rPr>
              <w:t>2019</w:t>
            </w:r>
          </w:p>
        </w:tc>
        <w:tc>
          <w:tcPr>
            <w:tcW w:type="dxa" w:w="1020"/>
            <w:shd w:val="clear" w:color="auto" w:fill="F1EEE8"/>
          </w:tcPr>
          <w:p>
            <w:pPr>
              <w:spacing w:after="20" w:line="264" w:lineRule="auto"/>
            </w:pPr>
            <w:r>
              <w:rPr>
                <w:b/>
              </w:rPr>
            </w:r>
            <w:r>
              <w:rPr>
                <w:rFonts w:ascii="Segoe UI" w:hAnsi="Segoe UI" w:eastAsia="Segoe UI" w:cs="Segoe UI"/>
                <w:b/>
                <w:color w:val="1F1D1A"/>
                <w:sz w:val="18"/>
              </w:rPr>
              <w:t>Total</w:t>
            </w:r>
          </w:p>
        </w:tc>
      </w:tr>
      <w:tr>
        <w:tc>
          <w:tcPr>
            <w:tcW w:type="dxa" w:w="1020"/>
          </w:tcPr>
          <w:p>
            <w:pPr>
              <w:spacing w:after="20" w:line="264" w:lineRule="auto"/>
            </w:pPr>
            <w:r/>
            <w:r>
              <w:rPr>
                <w:rFonts w:ascii="Segoe UI" w:hAnsi="Segoe UI" w:eastAsia="Segoe UI" w:cs="Segoe UI"/>
                <w:color w:val="1F1D1A"/>
                <w:sz w:val="18"/>
              </w:rPr>
              <w:t>7.003</w:t>
            </w:r>
          </w:p>
        </w:tc>
        <w:tc>
          <w:tcPr>
            <w:tcW w:type="dxa" w:w="1020"/>
          </w:tcPr>
          <w:p>
            <w:pPr>
              <w:spacing w:after="20" w:line="264" w:lineRule="auto"/>
            </w:pPr>
            <w:r/>
            <w:r>
              <w:rPr>
                <w:rFonts w:ascii="Segoe UI" w:hAnsi="Segoe UI" w:eastAsia="Segoe UI" w:cs="Segoe UI"/>
                <w:color w:val="1F1D1A"/>
                <w:sz w:val="18"/>
              </w:rPr>
              <w:t>11.648</w:t>
            </w:r>
          </w:p>
        </w:tc>
        <w:tc>
          <w:tcPr>
            <w:tcW w:type="dxa" w:w="1020"/>
          </w:tcPr>
          <w:p>
            <w:pPr>
              <w:spacing w:after="20" w:line="264" w:lineRule="auto"/>
            </w:pPr>
            <w:r/>
            <w:r>
              <w:rPr>
                <w:rFonts w:ascii="Segoe UI" w:hAnsi="Segoe UI" w:eastAsia="Segoe UI" w:cs="Segoe UI"/>
                <w:color w:val="1F1D1A"/>
                <w:sz w:val="18"/>
              </w:rPr>
              <w:t>15.300</w:t>
            </w:r>
          </w:p>
        </w:tc>
        <w:tc>
          <w:tcPr>
            <w:tcW w:type="dxa" w:w="1020"/>
          </w:tcPr>
          <w:p>
            <w:pPr>
              <w:spacing w:after="20" w:line="264" w:lineRule="auto"/>
            </w:pPr>
            <w:r/>
            <w:r>
              <w:rPr>
                <w:rFonts w:ascii="Segoe UI" w:hAnsi="Segoe UI" w:eastAsia="Segoe UI" w:cs="Segoe UI"/>
                <w:color w:val="1F1D1A"/>
                <w:sz w:val="18"/>
              </w:rPr>
              <w:t>13.250</w:t>
            </w:r>
          </w:p>
        </w:tc>
        <w:tc>
          <w:tcPr>
            <w:tcW w:type="dxa" w:w="1020"/>
          </w:tcPr>
          <w:p>
            <w:pPr>
              <w:spacing w:after="20" w:line="264" w:lineRule="auto"/>
            </w:pPr>
            <w:r/>
            <w:r>
              <w:rPr>
                <w:rFonts w:ascii="Segoe UI" w:hAnsi="Segoe UI" w:eastAsia="Segoe UI" w:cs="Segoe UI"/>
                <w:color w:val="1F1D1A"/>
                <w:sz w:val="18"/>
              </w:rPr>
              <w:t>20.136</w:t>
            </w:r>
          </w:p>
        </w:tc>
        <w:tc>
          <w:tcPr>
            <w:tcW w:type="dxa" w:w="1020"/>
          </w:tcPr>
          <w:p>
            <w:pPr>
              <w:spacing w:after="20" w:line="264" w:lineRule="auto"/>
            </w:pPr>
            <w:r/>
            <w:r>
              <w:rPr>
                <w:rFonts w:ascii="Segoe UI" w:hAnsi="Segoe UI" w:eastAsia="Segoe UI" w:cs="Segoe UI"/>
                <w:color w:val="1F1D1A"/>
                <w:sz w:val="18"/>
              </w:rPr>
              <w:t>7.100</w:t>
            </w:r>
          </w:p>
        </w:tc>
        <w:tc>
          <w:tcPr>
            <w:tcW w:type="dxa" w:w="1020"/>
          </w:tcPr>
          <w:p>
            <w:pPr>
              <w:spacing w:after="20" w:line="264" w:lineRule="auto"/>
            </w:pPr>
            <w:r/>
            <w:r>
              <w:rPr>
                <w:rFonts w:ascii="Segoe UI" w:hAnsi="Segoe UI" w:eastAsia="Segoe UI" w:cs="Segoe UI"/>
                <w:color w:val="1F1D1A"/>
                <w:sz w:val="18"/>
              </w:rPr>
              <w:t>3.000</w:t>
            </w:r>
          </w:p>
        </w:tc>
        <w:tc>
          <w:tcPr>
            <w:tcW w:type="dxa" w:w="1020"/>
          </w:tcPr>
          <w:p>
            <w:pPr>
              <w:spacing w:after="20" w:line="264" w:lineRule="auto"/>
            </w:pPr>
            <w:r/>
            <w:r>
              <w:rPr>
                <w:rFonts w:ascii="Segoe UI" w:hAnsi="Segoe UI" w:eastAsia="Segoe UI" w:cs="Segoe UI"/>
                <w:color w:val="1F1D1A"/>
                <w:sz w:val="18"/>
              </w:rPr>
              <w:t>2.900</w:t>
            </w:r>
          </w:p>
        </w:tc>
        <w:tc>
          <w:tcPr>
            <w:tcW w:type="dxa" w:w="1020"/>
          </w:tcPr>
          <w:p>
            <w:pPr>
              <w:spacing w:after="20" w:line="264" w:lineRule="auto"/>
            </w:pPr>
            <w:r/>
            <w:r>
              <w:rPr>
                <w:rFonts w:ascii="Segoe UI" w:hAnsi="Segoe UI" w:eastAsia="Segoe UI" w:cs="Segoe UI"/>
                <w:color w:val="1F1D1A"/>
                <w:sz w:val="18"/>
              </w:rPr>
              <w:t>80.337</w:t>
            </w:r>
          </w:p>
        </w:tc>
      </w:tr>
    </w:tbl>
    <w:p>
      <w:pPr>
        <w:spacing w:after="80"/>
      </w:pPr>
    </w:p>
    <w:p>
      <w:r>
        <w:t>Millones de euros. A final de 2018 quedaban 5.043 millones, y en 2020, 2.138</w:t>
      </w:r>
      <w:r>
        <w:t xml:space="preserve"> (Fondo de Reserva, informes a las Cortes Generales de 2020 y 2025)</w:t>
      </w:r>
      <w:r>
        <w:t>. Hoy vuelve a tener 14.069,81 millones (31-12-2025), pero gracias a una cotización nueva que pagan trabajadores y empresas desde 2023, el mecanismo de equidad intergeneracional: 10.150 millones de 2023 a 2025</w:t>
      </w:r>
      <w:r>
        <w:t xml:space="preserve"> (informe de 2025)</w:t>
      </w:r>
      <w:r>
        <w:t>. La última dotación al Fondo con cargo a excedentes fue la de 2010</w:t>
      </w:r>
      <w:r>
        <w:t xml:space="preserve"> (Fondo de Reserva, informe de 2025)</w:t>
      </w:r>
      <w:r>
        <w:t>. No fue apropiación: se usó para pagar pensiones (</w:t>
      </w:r>
      <w:r>
        <w:t>7.5</w:t>
      </w:r>
      <w:r>
        <w:t>, caso 4). Y en qué está invertida: «La cartera está compuesta, exclusivamente, por deuda pública española»</w:t>
      </w:r>
      <w:r>
        <w:t xml:space="preserve"> (ídem)</w:t>
      </w:r>
      <w:r>
        <w:br/>
      </w:r>
      <w:r>
        <w:rPr>
          <w:b/>
        </w:rPr>
        <w:t>leída en su fuente · ídem</w:t>
      </w:r>
      <w:r>
        <w:br/>
      </w:r>
      <w:r>
        <w:rPr>
          <w:b/>
        </w:rPr>
        <w:t>Archivo leído:</w:t>
      </w:r>
      <w:r>
        <w:t xml:space="preserve"> fondo_reserva_informe_cortes_2025.pdf (c5\fondo_reserva_informe_cortes_2025.pdf) · contraste del archivo de pasajes: ✔</w:t>
      </w:r>
      <w:r>
        <w:br/>
      </w:r>
      <w:r>
        <w:rPr>
          <w:b/>
        </w:rPr>
        <w:t>Lugar:</w:t>
      </w:r>
      <w:r>
        <w:t xml:space="preserve"> Pág. PDF 33 (impresa 31)</w:t>
      </w:r>
      <w:r>
        <w:br/>
      </w:r>
      <w:r>
        <w:rPr>
          <w:b/>
        </w:rPr>
        <w:t>Dirección:</w:t>
      </w:r>
      <w:r>
        <w:t xml:space="preserve"> </w:t>
      </w:r>
      <w:r>
        <w:t>https://www.seg-social.es/descarga/es/15072026</w:t>
      </w:r>
      <w:r>
        <w:br/>
      </w:r>
      <w:r>
        <w:rPr>
          <w:b/>
        </w:rPr>
        <w:t>Tal como está en la fuente:</w:t>
      </w:r>
      <w:r>
        <w:t xml:space="preserve"> La cartera está compuesta, exclusivamente, por deuda pública española y su clasificación por tramos</w:t>
      </w:r>
      <w:r>
        <w:t>, porque la ley ordena invertirla en títulos públicos y en su comité se sienta el Director General del Tesoro (</w:t>
      </w:r>
      <w:r>
        <w:t>5.1</w:t>
      </w:r>
      <w:r>
        <w:t xml:space="preserve">, n.º 2). </w:t>
      </w:r>
      <w:r>
        <w:t>[34.00-5.2, 5.3 y 6.6; 20.00-10.1 a 10.3; cifras corregidas con el informe de 2020]</w:t>
      </w:r>
    </w:p>
    <w:p>
      <w:r>
        <w:rPr>
          <w:b/>
        </w:rPr>
        <w:t>Lo que rindió.</w:t>
      </w:r>
      <w:r>
        <w:t xml:space="preserve"> En los últimos diez años, el Fondo rindió un 0,12 % al año, mientras los precios subían un 2,39 % (índice armonizado de Eurostat, cálculo de la obra): perdió valor real. En veinte años, un 2,91 % al año, apenas por encima de los precios. La comparación con los planes de pensiones la hace el propio informe oficial: en diez años, los de renta variable rindieron un 9,10 % al año y el conjunto de los planes, un 3,70 %</w:t>
      </w:r>
      <w:r>
        <w:t xml:space="preserve"> (Fondo de Reserva, informe de 2025, con datos de INVERCO)</w:t>
      </w:r>
      <w:r>
        <w:t>. Qué ha pasado con un depósito de todos lo juzgan las tradiciones con la regla de devolver lo confiado (</w:t>
      </w:r>
      <w:r>
        <w:t>3.2</w:t>
      </w:r>
      <w:r>
        <w:t xml:space="preserve">, P5). </w:t>
      </w:r>
      <w:r>
        <w:t>[34.00-6.1 a 6.5; 00.0-4.6]</w:t>
      </w:r>
    </w:p>
    <w:p>
      <w:r>
        <w:rPr>
          <w:b/>
        </w:rPr>
        <w:t>El velo y el muro de opacidad.</w:t>
      </w:r>
      <w:r>
        <w:t xml:space="preserve"> Desde aquí, la edición distingue dos cosas. </w:t>
      </w:r>
      <w:r>
        <w:rPr>
          <w:b/>
        </w:rPr>
        <w:t>El velo</w:t>
      </w:r>
      <w:r>
        <w:t xml:space="preserve"> es la complejidad que esconde cómo funciona el sistema, aunque esté a la vista de todos: «El camuflaje no es el secreto, sino la complejidad: está a la vista de todos, escondido en cientos de miles de páginas» (Pórtico V). Es lo que el título de la obra promete disolver. </w:t>
      </w:r>
      <w:r>
        <w:rPr>
          <w:b/>
        </w:rPr>
        <w:t>El muro de opacidad</w:t>
      </w:r>
      <w:r>
        <w:t xml:space="preserve"> son los datos que el Estado no publica, o publica de forma que no se pueden sumar. Esto es lo que la obra intentó, y dónde se topó con el muro (el detalle de cada intento, con su fecha, en el </w:t>
      </w:r>
      <w:r>
        <w:t>anexo C</w:t>
      </w:r>
      <w:r>
        <w:t>):</w:t>
      </w:r>
    </w:p>
    <w:p>
      <w:pPr>
        <w:pStyle w:val="ListBullet"/>
      </w:pPr>
      <w:r>
        <w:rPr>
          <w:b/>
        </w:rPr>
        <w:t>Altos cargos:</w:t>
      </w:r>
      <w:r>
        <w:t xml:space="preserve"> el Portal de la Transparencia publica cada retribución, pero en 23 ficheros, sin un total y con un tope de 1.000 registros por consulta.</w:t>
      </w:r>
    </w:p>
    <w:p>
      <w:pPr>
        <w:pStyle w:val="ListBullet"/>
      </w:pPr>
      <w:r>
        <w:rPr>
          <w:b/>
        </w:rPr>
        <w:t>Asesores:</w:t>
      </w:r>
      <w:r>
        <w:t xml:space="preserve"> no hay un coste total de todos los asesores del Estado; solo consta el de la Presidencia del Gobierno, 18,03 millones al año.</w:t>
      </w:r>
    </w:p>
    <w:p>
      <w:pPr>
        <w:pStyle w:val="ListBullet"/>
      </w:pPr>
      <w:r>
        <w:rPr>
          <w:b/>
        </w:rPr>
        <w:t>Cargos de las comunidades y los ayuntamientos:</w:t>
      </w:r>
      <w:r>
        <w:t xml:space="preserve"> el sistema del Ministerio recoge lo que cobran, pero no publica totales; sumarlo exigiría consultar una a una más de 8.000 entidades.</w:t>
      </w:r>
    </w:p>
    <w:p>
      <w:pPr>
        <w:pStyle w:val="ListBullet"/>
      </w:pPr>
      <w:r>
        <w:rPr>
          <w:b/>
        </w:rPr>
        <w:t>Jubilados del Estado:</w:t>
      </w:r>
      <w:r>
        <w:t xml:space="preserve"> las estadísticas no separan a los empleados públicos que ingresaron desde 2011; por eso Clases Pasivas es solo un mínimo.</w:t>
      </w:r>
    </w:p>
    <w:p>
      <w:pPr>
        <w:pStyle w:val="ListBullet"/>
      </w:pPr>
      <w:r>
        <w:rPr>
          <w:b/>
        </w:rPr>
        <w:t>Cotizaciones:</w:t>
      </w:r>
      <w:r>
        <w:t xml:space="preserve"> no se separa lo que las administraciones cotizan por su propio personal, con impuestos, de lo que cotizan las empresas.</w:t>
      </w:r>
    </w:p>
    <w:p>
      <w:pPr>
        <w:pStyle w:val="ListBullet"/>
      </w:pPr>
      <w:r>
        <w:rPr>
          <w:b/>
        </w:rPr>
        <w:t>Militares y policías:</w:t>
      </w:r>
      <w:r>
        <w:t xml:space="preserve"> los Presupuestos no separan su sueldo del resto del personal de sus ministerios.</w:t>
      </w:r>
    </w:p>
    <w:p>
      <w:pPr>
        <w:pStyle w:val="ListBullet"/>
      </w:pPr>
      <w:r>
        <w:rPr>
          <w:b/>
        </w:rPr>
        <w:t>Prestaciones de los exparlamentarios:</w:t>
      </w:r>
      <w:r>
        <w:t xml:space="preserve"> los Presupuestos no las separan; las únicas cifras son de prensa y no coinciden.</w:t>
      </w:r>
    </w:p>
    <w:p>
      <w:r>
        <w:t>La ley obliga a publicar cada dato; nadie está obligado a publicar la suma. Cerrar el muro exigiría pedir cada dato por la vía que la ley abre a todos, «Todas las personas tienen derecho a acceder a la información pública»</w:t>
      </w:r>
      <w:r>
        <w:t xml:space="preserve"> (Ley 19/2013, art. 12)</w:t>
      </w:r>
      <w:r>
        <w:br/>
      </w:r>
      <w:r>
        <w:rPr>
          <w:b/>
        </w:rPr>
        <w:t>leída en su fuente · Ley 19/2013, art. 12</w:t>
      </w:r>
      <w:r>
        <w:br/>
      </w:r>
      <w:r>
        <w:rPr>
          <w:b/>
        </w:rPr>
        <w:t>Archivo leído:</w:t>
      </w:r>
      <w:r>
        <w:t xml:space="preserve"> ley19_2013_transparencia.html (c5\ley19_2013_transparencia.html) · contraste del archivo de pasajes: ✔</w:t>
      </w:r>
      <w:r>
        <w:br/>
      </w:r>
      <w:r>
        <w:rPr>
          <w:b/>
        </w:rPr>
        <w:t>Lugar:</w:t>
      </w:r>
      <w:r>
        <w:t xml:space="preserve"> Art. 12 (#a12)</w:t>
      </w:r>
      <w:r>
        <w:br/>
      </w:r>
      <w:r>
        <w:rPr>
          <w:b/>
        </w:rPr>
        <w:t>Dirección:</w:t>
      </w:r>
      <w:r>
        <w:t xml:space="preserve"> </w:t>
      </w:r>
      <w:r>
        <w:t>https://www.boe.es/buscar/act.php?id=BOE-A-2013-12887</w:t>
      </w:r>
      <w:r>
        <w:br/>
      </w:r>
      <w:r>
        <w:rPr>
          <w:b/>
        </w:rPr>
        <w:t>Tal como está en la fuente:</w:t>
      </w:r>
      <w:r>
        <w:t xml:space="preserve"> Todas las personas tienen derecho a acceder a la información pública, en los términos previstos</w:t>
      </w:r>
      <w:r>
        <w:t>, y dejar constancia de la respuesta o del silencio (</w:t>
      </w:r>
      <w:r>
        <w:t>10.4</w:t>
      </w:r>
      <w:r>
        <w:t xml:space="preserve">). </w:t>
      </w:r>
      <w:r>
        <w:t>[glosario 6.4; 34.00-12.1 a 12.12]</w:t>
      </w:r>
    </w:p>
    <w:p>
      <w:r>
        <w:rPr>
          <w:b/>
        </w:rPr>
        <w:t>Conclusión, lo que arrojan los datos:</w:t>
      </w:r>
      <w:r>
        <w:t xml:space="preserve"> la protección social es la mayor partida del gasto, y las pensiones de quien trabajó las pagan, sobre todo, quienes trabajan hoy: la ley establece un sistema de reparto, no de ahorro. La hucha se vació y la ley obliga a invertirla en títulos públicos: hoy, solo deuda española, con un rendimiento que en diez años no ha cubierto los precios. El agujero de cada año equivale a los intereses, y los intereses suben. La pensión media del Estado es 1,7 veces la del trabajo privado y el salario medio público, un 50 % mayor. Y el detalle de quién cobra qué no se publica sumado. </w:t>
      </w:r>
      <w:r>
        <w:t>[34.00-14.1]</w:t>
      </w:r>
    </w:p>
    <w:p>
      <w:r>
        <w:rPr>
          <w:b/>
        </w:rPr>
        <w:t>Lectura del autor:</w:t>
      </w:r>
      <w:r>
        <w:t xml:space="preserve"> el sistema está diseñado para sostenerse a sí mismo, no para servir al pueblo. Quien cotiza lo hace de buena fe, creyendo que paga su jubilación; el Estado, como custodio, debía hacer crecer ese dinero, invirtiéndolo en empresas sólidas que beneficiaran al conjunto del país y lo protegieran de la pérdida de valor de la moneda, para devolvérselo a la persona en los años en que es más vulnerable. En lugar de eso, la hucha se presta al propio Estado, que fija el interés de esa deuda conociendo cómo funciona el sistema y sabiendo que la moneda pierde valor: aquí se ve mala fe. Y lo que no alcanza se cubre con más deuda, que pagarán quienes todavía ni siquiera cotizan, o con dinero creado de la nada por el Banco Central Europeo, que es quien decide hoy la política monetaria del euro, y que se paga con los ahorros de todos (</w:t>
      </w:r>
      <w:r>
        <w:t>8.1</w:t>
      </w:r>
      <w:r>
        <w:t xml:space="preserve"> y </w:t>
      </w:r>
      <w:r>
        <w:t>8.3</w:t>
      </w:r>
      <w:r>
        <w:t xml:space="preserve">). Un sistema que nació viciado en 1971, cuando se rompió el último vínculo de la moneda con el oro, da frutos viciados: esto apunta hacia el padre de la mentira (Jn 8:44). «Por sus frutos los conoceréis» (Mt 7:16). «El que tiene oídos para oir, oiga» (Mt 11:15). </w:t>
      </w:r>
      <w:r>
        <w:t>[34.00-15.1, 15.3 y 15.4]</w:t>
      </w:r>
    </w:p>
    <w:p>
      <w:pPr>
        <w:pStyle w:val="Heading2"/>
      </w:pPr>
      <w:r>
        <w:t>8.7 La industria, el campo y la vivienda</w:t>
      </w:r>
    </w:p>
    <w:p>
      <w:pPr>
        <w:pBdr>
          <w:left w:val="single" w:sz="24" w:space="6" w:color="E2DED6"/>
        </w:pBdr>
        <w:shd w:val="clear" w:color="auto" w:fill="F1EEE8"/>
        <w:spacing w:before="80" w:after="160"/>
        <w:ind w:left="142" w:right="142"/>
      </w:pPr>
      <w:r>
        <w:rPr>
          <w:b/>
        </w:rPr>
        <w:t>La idea: «cada vez que el Estado mete mano en algo, lo asfixia». La obra no lo acepta ni lo descarta en bloque: lo comprueba sector por sector, y dice dónde se confirma, dónde se complica y dónde no aguanta.</w:t>
      </w:r>
    </w:p>
    <w:p>
      <w:r>
        <w:rPr>
          <w:b/>
        </w:rPr>
        <w:t>La reconversión.</w:t>
      </w:r>
      <w:r>
        <w:t xml:space="preserve"> La primera norma de 1981 partía de un diagnóstico: «La situación de crisis por la que atraviesan sectores básicos de nuestra industria exige un planteamiento específico y la adopción de medidas de reconversión industrial»</w:t>
      </w:r>
      <w:r>
        <w:t xml:space="preserve"> (Real Decreto-ley 9/1981, preámbulo)</w:t>
      </w:r>
      <w:r>
        <w:br/>
      </w:r>
      <w:r>
        <w:rPr>
          <w:b/>
        </w:rPr>
        <w:t>leída en su fuente · Real Decreto-ley 9/1981, preámbulo</w:t>
      </w:r>
      <w:r>
        <w:br/>
      </w:r>
      <w:r>
        <w:rPr>
          <w:b/>
        </w:rPr>
        <w:t>Archivo leído:</w:t>
      </w:r>
      <w:r>
        <w:t xml:space="preserve"> 8.7_BOE-A-1981-13087_RDL_9-1981.html (c8d\8.7_BOE-A-1981-13087_RDL_9-1981.html) · contraste del archivo de pasajes: ✔</w:t>
      </w:r>
      <w:r>
        <w:br/>
      </w:r>
      <w:r>
        <w:rPr>
          <w:b/>
        </w:rPr>
        <w:t>Lugar:</w:t>
      </w:r>
      <w:r>
        <w:t xml:space="preserve"> Real Decreto-ley 9/1981, preámbulo</w:t>
      </w:r>
      <w:r>
        <w:br/>
      </w:r>
      <w:r>
        <w:rPr>
          <w:b/>
        </w:rPr>
        <w:t>Tal como está en la fuente:</w:t>
      </w:r>
      <w:r>
        <w:t xml:space="preserve"> La situación de crisis por la que atraviesan sectores básicos de nuestra industria exige un planteamiento específico y la adopción de medidas de reconversión industrial</w:t>
      </w:r>
      <w:r>
        <w:t>. La de 1983 la continuó con un nuevo marco</w:t>
      </w:r>
      <w:r>
        <w:t xml:space="preserve"> (Real Decreto-ley 8/1983, de Reconversión y Reindustrialización)</w:t>
      </w:r>
      <w:r>
        <w:t>. La siderurgia y la construcción naval estaban entre los sectores sometidos a reconversión. Pero la destrucción venía de antes: «entre 1977 y 1982 la industria perdió 600.000 empleos y fueron innumerables las empresas manufactureras que desaparecieron»; y entre 1977 y 1985, «alrededor de 850.000 puestos de trabajo, a pesar de que el índice de producción industrial registraba un aumento anual medio del 1,2%»</w:t>
      </w:r>
      <w:r>
        <w:t xml:space="preserve"> (Marín Arce, «La fase dura de la reconversión industrial: 1983-1986», Historia del Presente, n.º 8, 2006)</w:t>
      </w:r>
      <w:r>
        <w:br/>
      </w:r>
      <w:r>
        <w:rPr>
          <w:b/>
        </w:rPr>
        <w:t>leída en su fuente · Marín Arce, «La fase dura de la reconversión industrial: 1983-1986», Historia del Presente</w:t>
      </w:r>
      <w:r>
        <w:br/>
      </w:r>
      <w:r>
        <w:rPr>
          <w:b/>
        </w:rPr>
        <w:t>Archivo leído:</w:t>
      </w:r>
      <w:r>
        <w:t xml:space="preserve"> 8.7_MarinArce_2006_La_fase_dura_reconversion_HistoriaPresente8.pdf (c8d\8.7_MarinArce_2006_La_fase_dura_reconversion_HistoriaPresente8.pdf) · contraste del archivo de pasajes: ✔</w:t>
      </w:r>
      <w:r>
        <w:br/>
      </w:r>
      <w:r>
        <w:rPr>
          <w:b/>
        </w:rPr>
        <w:t>Lugar:</w:t>
      </w:r>
      <w:r>
        <w:t xml:space="preserve"> Marín Arce, «La fase dura de la reconversión industrial: 1983-1986», Historia del Presente, n.º 8, 2006</w:t>
      </w:r>
      <w:r>
        <w:br/>
      </w:r>
      <w:r>
        <w:rPr>
          <w:b/>
        </w:rPr>
        <w:t>Tal como está en la fuente:</w:t>
      </w:r>
      <w:r>
        <w:t xml:space="preserve"> alrededor de 850.000 puestos de trabajo, a pesar de que el índice de producción industrial registraba un aumento anual medio del 1,2%</w:t>
      </w:r>
      <w:r>
        <w:t xml:space="preserve">. </w:t>
      </w:r>
      <w:r>
        <w:t>[26.00-1.1 a 1.3]</w:t>
      </w:r>
    </w:p>
    <w:p>
      <w:r>
        <w:rPr>
          <w:b/>
        </w:rPr>
        <w:t>Las privatizaciones.</w:t>
      </w:r>
      <w:r>
        <w:t xml:space="preserve"> Entre 1996 y 2002, el Consejo de Ministros autorizó «48 operaciones de privatización» que «han afectado a 45 empresas»</w:t>
      </w:r>
      <w:r>
        <w:t xml:space="preserve"> (Tribunal de Cuentas, informe de fiscalización de las privatizaciones de 1996 a 2002, BOCG de 13-1-2006)</w:t>
      </w:r>
      <w:r>
        <w:br/>
      </w:r>
      <w:r>
        <w:rPr>
          <w:b/>
        </w:rPr>
        <w:t>pasaje guardado</w:t>
      </w:r>
      <w:r>
        <w:br/>
      </w:r>
      <w:r>
        <w:rPr>
          <w:b/>
        </w:rPr>
        <w:t>Archivo leído:</w:t>
      </w:r>
      <w:r>
        <w:t xml:space="preserve"> 8.7_TCu_privatizaciones_1996-2002_BOCG_CG_A216.pdf (c8d\8.7_TCu_privatizaciones_1996-2002_BOCG_CG_A216.pdf) · contraste del archivo de pasajes: ✔</w:t>
      </w:r>
      <w:r>
        <w:br/>
      </w:r>
      <w:r>
        <w:rPr>
          <w:b/>
        </w:rPr>
        <w:t>Lugar:</w:t>
      </w:r>
      <w:r>
        <w:t xml:space="preserve"> Tribunal de Cuentas, informe de fiscalización de las privatizaciones de 1996 a 2002, BOCG de 13-1-2006</w:t>
      </w:r>
      <w:r>
        <w:br/>
      </w:r>
      <w:r>
        <w:rPr>
          <w:b/>
        </w:rPr>
        <w:t>Tal como está en la fuente:</w:t>
      </w:r>
      <w:r>
        <w:t xml:space="preserve"> han afectado a 45 empresas</w:t>
      </w:r>
      <w:r>
        <w:t>. En 1997 se ingresaron 12.481 millones de euros y en 1998, 13.083</w:t>
      </w:r>
      <w:r>
        <w:t xml:space="preserve"> (Bel y Costas, Revista de Historia Industrial, 2001, con datos del Consejo Consultivo de Privatizaciones)</w:t>
      </w:r>
      <w:r>
        <w:t>. Y fue obra de Gobiernos de distinto signo: Endesa se empezó a vender en 1988, y su última gran venta fue en 1998</w:t>
      </w:r>
      <w:r>
        <w:t xml:space="preserve"> (ídem; Tribunal de Cuentas)</w:t>
      </w:r>
      <w:r>
        <w:t xml:space="preserve">. </w:t>
      </w:r>
      <w:r>
        <w:t>[26.00-2.1 y 2.2]</w:t>
      </w:r>
    </w:p>
    <w:p>
      <w:r>
        <w:rPr>
          <w:b/>
        </w:rPr>
        <w:t>El puesto de España en el mundo, por PIB.</w:t>
      </w:r>
      <w:r>
        <w:t xml:space="preserve"> Duodécima en 1970 y octava en 2007</w:t>
      </w:r>
      <w:r>
        <w:t xml:space="preserve"> (Banco Mundial, PIB en dólares corrientes)</w:t>
      </w:r>
      <w:r>
        <w:t>; decimoquinta en 2024 y duodécima en 2025, con una previsión de la decimocuarta para 2026</w:t>
      </w:r>
      <w:r>
        <w:t xml:space="preserve"> (FMI, Perspectivas de la economía mundial, abril de 2026)</w:t>
      </w:r>
      <w:r>
        <w:t xml:space="preserve">. Son puestos calculados por la obra ordenando los datos de cada organismo; en 1970 solo hay datos de 146 economías. </w:t>
      </w:r>
      <w:r>
        <w:t>[26.00-3.1 y 3.2]</w:t>
      </w:r>
    </w:p>
    <w:p>
      <w:r>
        <w:rPr>
          <w:b/>
        </w:rPr>
        <w:t>El campo.</w:t>
      </w:r>
      <w:r>
        <w:t xml:space="preserve"> En 2023, los programas nacionales de control de toda la UE analizaron 132.793 muestras de alimentos, con un 98 % de cumplimiento; y la tasa de incumplimiento de las muestras de fuera de la Unión, el 3,4 %, triplicaba la de las propias, el 1,0 %</w:t>
      </w:r>
      <w:r>
        <w:t xml:space="preserve"> (EFSA, informe de la UE sobre residuos de plaguicidas de 2023)</w:t>
      </w:r>
      <w:r>
        <w:t>. España analizó 2.492 muestras, y según una organización ecologista, con los datos oficiales, el 9,63 % de los alimentos importados contenía plaguicidas no autorizados en la UE, frente al 4,70 % de los de aquí</w:t>
      </w:r>
      <w:r>
        <w:t xml:space="preserve"> (Ecologistas en Acción, «Directo a tus hormonas», 2025; parte interesada)</w:t>
      </w:r>
      <w:r>
        <w:t xml:space="preserve">. Exigir a lo importado lo mismo que a lo europeo, las llamadas cláusulas espejo, sigue en debate. </w:t>
      </w:r>
      <w:r>
        <w:t>[26.00-4.1 y 4.2]</w:t>
      </w:r>
    </w:p>
    <w:p>
      <w:r>
        <w:rPr>
          <w:b/>
        </w:rPr>
        <w:t>La vivienda en Cataluña.</w:t>
      </w:r>
      <w:r>
        <w:t xml:space="preserve"> Cataluña fue la primera en declarar zonas de mercado residencial tensionado con la ley de vivienda de 2023: 140 municipios, con efectos desde marzo de 2024</w:t>
      </w:r>
      <w:r>
        <w:t xml:space="preserve"> (BOE de 15-3-2024)</w:t>
      </w:r>
      <w:r>
        <w:t>, y otros 131</w:t>
      </w:r>
      <w:r>
        <w:t xml:space="preserve"> (BOE de 9-10-2024)</w:t>
      </w:r>
      <w:r>
        <w:t>; en total, «7.172.196 personas, lo que representa un 90,7 %» de la población catalana</w:t>
      </w:r>
      <w:r>
        <w:t xml:space="preserve"> (Generalitat de Catalunya, memoria justificativa, 1-7-2024)</w:t>
      </w:r>
      <w:r>
        <w:t>. En julio de 2026 se tramitaba prorrogar la declaración en 118 de los 140 (5.919.365 habitantes) y declarar 53 nuevos</w:t>
      </w:r>
      <w:r>
        <w:t xml:space="preserve"> (Generalitat, memorias de julio de 2026)</w:t>
      </w:r>
      <w:r>
        <w:t>. Los contratos de alquiler con fianza depositada en Cataluña fueron 167.953 en 2018, 152.770 en 2022, 132.988 en 2023, 118.626 en 2024 y unos 108.057 en 2025</w:t>
      </w:r>
      <w:r>
        <w:t xml:space="preserve"> (Generalitat, datos abiertos, fianzas del Incasòl; 2025, suma de trimestres de la obra, porque la fila anual publicada no cuadra)</w:t>
      </w:r>
      <w:r>
        <w:t xml:space="preserve">. Caen, y la caída empezó antes de la declaración; el dato no dice por qué. </w:t>
      </w:r>
      <w:r>
        <w:t>[26.00-5.1 a 5.4]</w:t>
      </w:r>
    </w:p>
    <w:p>
      <w:r>
        <w:rPr>
          <w:b/>
        </w:rPr>
        <w:t>Conclusión, lo que arrojan los datos:</w:t>
      </w:r>
      <w:r>
        <w:t xml:space="preserve"> la tesis se confirma en parte: la industria perdió unos 850.000 empleos entre 1977 y 1985, y los contratos de alquiler registrados caen en Cataluña, aunque desde antes de que se regulara. Pero se complica: la pérdida de empleo industrial empezó antes de la reconversión, las privatizaciones las hicieron Gobiernos de distinto signo, y el puesto de España sube y baja según el año y la medida. Y un punto no aguantó el contraste: la propia obra descartó sus cifras sobre la ocupación, que venían de blogs y no de organismos oficiales. Lo que el diseño legal hace en ese terreno se vio en </w:t>
      </w:r>
      <w:r>
        <w:t>7.7</w:t>
      </w:r>
      <w:r>
        <w:t xml:space="preserve">. </w:t>
      </w:r>
      <w:r>
        <w:t>[26.00-6.1 y 7.1]</w:t>
      </w:r>
    </w:p>
    <w:p>
      <w:r>
        <w:rPr>
          <w:b/>
        </w:rPr>
        <w:t>Lectura del autor:</w:t>
      </w:r>
      <w:r>
        <w:t xml:space="preserve"> el mismo actor que levantó la industria pesada durante la autarquía la desmontó después, y el coste lo pagaron comarcas enteras. </w:t>
      </w:r>
      <w:r>
        <w:t>[26.00-8.3]</w:t>
      </w:r>
    </w:p>
    <w:p>
      <w:pPr>
        <w:pStyle w:val="Heading2"/>
      </w:pPr>
      <w:r>
        <w:t>8.8 Vivienda y fecundidad</w:t>
      </w:r>
    </w:p>
    <w:p>
      <w:pPr>
        <w:pBdr>
          <w:left w:val="single" w:sz="24" w:space="6" w:color="E2DED6"/>
        </w:pBdr>
        <w:shd w:val="clear" w:color="auto" w:fill="F1EEE8"/>
        <w:spacing w:before="80" w:after="160"/>
        <w:ind w:left="142" w:right="142"/>
      </w:pPr>
      <w:r>
        <w:rPr>
          <w:b/>
        </w:rPr>
        <w:t>La idea: la vivienda se ha alejado del salario y los hijos están en mínimos. Que lo uno cause lo otro, o que ambos vengan de la captura institucional, no está demostrado: la pregunta causal queda abierta.</w:t>
      </w:r>
    </w:p>
    <w:p>
      <w:r>
        <w:rPr>
          <w:b/>
        </w:rPr>
        <w:t>Los años de renta.</w:t>
      </w:r>
      <w:r>
        <w:t xml:space="preserve"> El Banco de España divide el precio medio de una vivienda libre de 93,75 metros cuadrados construidos entre la renta bruta estimada del hogar mediano. Su primer dato, de marzo de 1987, es 2,9 años; el máximo, 9,46, en septiembre de 2007; el mínimo de la década siguiente, 6,59, en marzo de 2015. En septiembre de 2025, 7,65 años, y en junio de 2026, 8,36, el más alto desde 2011</w:t>
      </w:r>
      <w:r>
        <w:t xml:space="preserve"> (Banco de España, indicadores del mercado inmobiliario, cuadro SI 1.5)</w:t>
      </w:r>
      <w:r>
        <w:t xml:space="preserve">. Es renta bruta del hogar, antes de impuestos y cotizaciones: no es el esfuerzo real. </w:t>
      </w:r>
      <w:r>
        <w:t>[27.00-1.1 a 1.3]</w:t>
      </w:r>
    </w:p>
    <w:p>
      <w:r>
        <w:rPr>
          <w:b/>
        </w:rPr>
        <w:t>El esfuerzo.</w:t>
      </w:r>
      <w:r>
        <w:t xml:space="preserve"> El mismo cuadro mide lo que se lleva el primer año de una hipoteca por el 80 % del precio sobre la renta disponible del hogar mediano: el 72,47 % en junio de 1990, el máximo de la serie; el 34,30 % en septiembre de 2025; y el 38,01 % en junio de 2026</w:t>
      </w:r>
      <w:r>
        <w:t xml:space="preserve"> (ídem)</w:t>
      </w:r>
      <w:r>
        <w:t>. El tipo de los préstamos libres para adquisición de vivienda era del 16,46 % en junio de 1990 y del 17,05 % en enero de 1991</w:t>
      </w:r>
      <w:r>
        <w:t xml:space="preserve"> (Banco de España, serie SI_1_5.40)</w:t>
      </w:r>
      <w:r>
        <w:t xml:space="preserve">. </w:t>
      </w:r>
      <w:r>
        <w:t>[27.00-1.1]</w:t>
      </w:r>
    </w:p>
    <w:p>
      <w:r>
        <w:rPr>
          <w:b/>
        </w:rPr>
        <w:t>La aritmética de una persona.</w:t>
      </w:r>
      <w:r>
        <w:t xml:space="preserve"> Con el salario medio, 29.540,26 euros brutos</w:t>
      </w:r>
      <w:r>
        <w:t xml:space="preserve"> (INE, Encuesta Anual de Estructura Salarial 2024)</w:t>
      </w:r>
      <w:r>
        <w:t>, y ahorrando lo que ahorran de media los hogares, el 12,0 % de su renta disponible en 2025</w:t>
      </w:r>
      <w:r>
        <w:t xml:space="preserve"> (INE, cuentas de los sectores, cuarto trimestre de 2025)</w:t>
      </w:r>
      <w:r>
        <w:t>, una persona sola tardaría unos 25 años en reunir la entrada y los gastos de compra, en torno al 30 % del precio, y más de 80 en reunir el precio entero. Incluso gastando solo lo que gasta de media una persona, 13.626 euros al año</w:t>
      </w:r>
      <w:r>
        <w:t xml:space="preserve"> (INE, Encuesta de Presupuestos Familiares 2024)</w:t>
      </w:r>
      <w:r>
        <w:t xml:space="preserve">, harían falta unos 7 años para la entrada y unos 25 para todo. Una pareja con dos sueldos tarda más o menos la mitad. Es aritmética de la obra, con un precio aproximado. </w:t>
      </w:r>
      <w:r>
        <w:t>[27.00-1.2]</w:t>
      </w:r>
    </w:p>
    <w:p>
      <w:r>
        <w:rPr>
          <w:b/>
        </w:rPr>
        <w:t>Un ejemplo sindical.</w:t>
      </w:r>
      <w:r>
        <w:t xml:space="preserve"> Un sindicato calculó 58 años para un trabajador de la hostelería de Madrid con el salario medio de su convenio, 15.675,70 euros netos al año, que dedicara el 40 % del sueldo a una vivienda de 364.860 euros, sin contar intereses; con el sueldo entero, 23,3 años</w:t>
      </w:r>
      <w:r>
        <w:t xml:space="preserve"> (UGT, «Convenios colectivos y derecho a la vivienda en la Comunidad de Madrid», 7-10-2025; parte interesada)</w:t>
      </w:r>
      <w:r>
        <w:t xml:space="preserve">. Es un ejemplo de una comunidad, no una media nacional, y no se compara sin más con el dato del Banco de España. </w:t>
      </w:r>
      <w:r>
        <w:t>[27.00-2.1 a 3.1]</w:t>
      </w:r>
    </w:p>
    <w:p>
      <w:r>
        <w:rPr>
          <w:b/>
        </w:rPr>
        <w:t>Los hijos.</w:t>
      </w:r>
      <w:r>
        <w:t xml:space="preserve"> En 2024 nacieron 318.005 niños, un 0,8 % menos que el año anterior, y el número medio de hijos por mujer bajó a 1,10: 1,07 entre las madres españolas y 1,27 entre las extranjeras</w:t>
      </w:r>
      <w:r>
        <w:t xml:space="preserve"> (INE, Movimiento Natural de la Población, nota de 19-11-2025)</w:t>
      </w:r>
      <w:r>
        <w:t>. Es el mínimo de la serie, que empieza en 1975 con 2,77; el anterior mínimo fue 1,13, en 1998</w:t>
      </w:r>
      <w:r>
        <w:t xml:space="preserve"> (INE, indicadores demográficos básicos, tabla 1407)</w:t>
      </w:r>
      <w:r>
        <w:t xml:space="preserve">. </w:t>
      </w:r>
      <w:r>
        <w:t>[27.00-4.1 y 4.2]</w:t>
      </w:r>
    </w:p>
    <w:p>
      <w:r>
        <w:rPr>
          <w:b/>
        </w:rPr>
        <w:t>La pregunta causal.</w:t>
      </w:r>
      <w:r>
        <w:t xml:space="preserve"> La tentación es unir todo en una frase: la captura institucional causa el vaciado del poder adquisitivo y la caída de los hijos. La obra no lo afirma: ningún dato reúne todavía las dos cosas, y hay dos explicaciones rivales sin refutar: causas económicas generales, como la política monetaria europea, la falta de oferta de vivienda o la globalización; o una causa común, como la crisis de 2008, de la que ambas cosas serían efectos paralelos. La obra lo califica como «correlación temporal y geográfica, sin mecanismo demostrado». </w:t>
      </w:r>
      <w:r>
        <w:t>[27.00-0.2, 5.1, 8.1 y 8.2]</w:t>
      </w:r>
    </w:p>
    <w:p>
      <w:r>
        <w:rPr>
          <w:b/>
        </w:rPr>
        <w:t>Conclusión, lo que arrojan los datos:</w:t>
      </w:r>
      <w:r>
        <w:t xml:space="preserve"> dos cifras de fuente oficial, 8,36 años de renta bruta de un hogar mediano y un 38 % de su renta disponible el primer año de hipoteca, y una fecundidad en su mínimo, en el mismo país y el mismo periodo, dibujan un vaciado real del poder adquisitivo aplicado a la decisión más básica: formar un hogar. Lo que no dicen es por qué. Lo que sí está documentado son mecanismos del propio Estado que reducen la renta disponible: el IRPF que sube solo y la pérdida de valor del dinero (</w:t>
      </w:r>
      <w:r>
        <w:t>8.3</w:t>
      </w:r>
      <w:r>
        <w:t xml:space="preserve">). No prueban que causen la caída de los hijos, y la obra no lo afirma. </w:t>
      </w:r>
      <w:r>
        <w:t>[27.00-6.1 y 7.11]</w:t>
      </w:r>
    </w:p>
    <w:p>
      <w:r>
        <w:rPr>
          <w:b/>
        </w:rPr>
        <w:t>Lectura del autor:</w:t>
      </w:r>
      <w:r>
        <w:t xml:space="preserve"> un sistema que se lleva el tiempo de vida con la excusa de cubrir a quien ya cumplió divide a la población y la sobrecarga: nadie quiere asumir responsabilidades, no se forman familias y, como no se ve un futuro, no se quieren traer hijos. La obra deja abierta la pregunta causal; esta es la lectura del autor. </w:t>
      </w:r>
      <w:r>
        <w:t>[34.00-15.2]</w:t>
      </w:r>
    </w:p>
    <w:p>
      <w:pPr>
        <w:pStyle w:val="Heading2"/>
      </w:pPr>
      <w:r>
        <w:t>8.9 La confianza</w:t>
      </w:r>
    </w:p>
    <w:p>
      <w:pPr>
        <w:pBdr>
          <w:left w:val="single" w:sz="24" w:space="6" w:color="E2DED6"/>
        </w:pBdr>
        <w:shd w:val="clear" w:color="auto" w:fill="F1EEE8"/>
        <w:spacing w:before="80" w:after="160"/>
        <w:ind w:left="142" w:right="142"/>
      </w:pPr>
      <w:r>
        <w:rPr>
          <w:b/>
        </w:rPr>
        <w:t>La idea: la sensación de que la gente es peor que antes es, según la mejor evidencia disponible, una ilusión. Lo que sí está bajo es la confianza en las instituciones.</w:t>
      </w:r>
    </w:p>
    <w:p>
      <w:r>
        <w:rPr>
          <w:b/>
        </w:rPr>
        <w:t>La ilusión del declive moral.</w:t>
      </w:r>
      <w:r>
        <w:t xml:space="preserve"> Un estudio publicado en </w:t>
      </w:r>
      <w:r>
        <w:rPr>
          <w:i/>
        </w:rPr>
        <w:t>Nature</w:t>
      </w:r>
      <w:r>
        <w:t xml:space="preserve"> lo midió a una escala inédita: con más de 12,4 millones de personas, mostró que la gente de al menos 60 países cree que la moral está en declive, que lo ha creído durante al menos 70 años, y que lo que la gente dice de la moral de sus contemporáneos no ha bajado con el tiempo, «lo que sugiere que la percepción del declive moral es una ilusión»</w:t>
      </w:r>
      <w:r>
        <w:t xml:space="preserve"> [original: «suggesting that the perception of moral decline is an illusion»]</w:t>
      </w:r>
      <w:r>
        <w:t xml:space="preserve"> (Mastroianni y Gilbert, «The illusion of moral decline» (La ilusión del declive moral), Nature 618, 2023)</w:t>
      </w:r>
      <w:r>
        <w:br/>
      </w:r>
      <w:r>
        <w:rPr>
          <w:b/>
        </w:rPr>
        <w:t>leída en su fuente · Mastroianni y Gilbert, «The illusion of moral decline» (La ilusión del declive moral), Nat</w:t>
      </w:r>
      <w:r>
        <w:br/>
      </w:r>
      <w:r>
        <w:rPr>
          <w:b/>
        </w:rPr>
        <w:t>Archivo leído:</w:t>
      </w:r>
      <w:r>
        <w:t xml:space="preserve"> 8.9_Mastroianni_Gilbert_2023_Nature_illusion_moral_decline_PMC10284688.txt (c8d\8.9_Mastroianni_Gilbert_2023_Nature_illusion_moral_decline_PMC10284688.txt) · contraste del archivo de pasajes: ✔</w:t>
      </w:r>
      <w:r>
        <w:br/>
      </w:r>
      <w:r>
        <w:rPr>
          <w:b/>
        </w:rPr>
        <w:t>Lugar:</w:t>
      </w:r>
      <w:r>
        <w:t xml:space="preserve"> Mastroianni y Gilbert, «The illusion of moral decline» (La ilusión del declive moral), Nature 618, 2023</w:t>
      </w:r>
      <w:r>
        <w:br/>
      </w:r>
      <w:r>
        <w:rPr>
          <w:b/>
        </w:rPr>
        <w:t>Tal como está en la fuente:</w:t>
      </w:r>
      <w:r>
        <w:t xml:space="preserve"> suggesting that the perception of moral decline is an illusion</w:t>
      </w:r>
      <w:r>
        <w:t xml:space="preserve">. En las encuestas de Estados Unidos de 1949 a 2019, en el 84 % de las preguntas la mayoría dijo que la moral había empeorado. El mecanismo que proponen: la exposición sesgada a la información y la memoria sesgada. Y la percepción se atenúa, desaparece o se invierte cuando se pregunta por personas que uno conoce bien o por épocas anteriores a su nacimiento. </w:t>
      </w:r>
      <w:r>
        <w:t>[29.00-1.1 a 3.1]</w:t>
      </w:r>
    </w:p>
    <w:p>
      <w:r>
        <w:rPr>
          <w:b/>
        </w:rPr>
        <w:t>La réplica.</w:t>
      </w:r>
      <w:r>
        <w:t xml:space="preserve"> Un equipo independiente repitió uno de los estudios en 2024, y sus resultados «coincidieron extremadamente de cerca con los del estudio original»</w:t>
      </w:r>
      <w:r>
        <w:t xml:space="preserve"> [original: «the results of our replication aligned extremely closely with the results of the original study»]</w:t>
      </w:r>
      <w:r>
        <w:t xml:space="preserve"> (Transparent Replications, informe n.º 10, 8-7-2024)</w:t>
      </w:r>
      <w:r>
        <w:br/>
      </w:r>
      <w:r>
        <w:rPr>
          <w:b/>
        </w:rPr>
        <w:t>leída en su fuente · Transparent Replications, informe n.º 10, 8-7-2024</w:t>
      </w:r>
      <w:r>
        <w:br/>
      </w:r>
      <w:r>
        <w:rPr>
          <w:b/>
        </w:rPr>
        <w:t>Archivo leído:</w:t>
      </w:r>
      <w:r>
        <w:t xml:space="preserve"> 8.9_TransparentReplications_informe10_illusion_moral_decline.html (c8d\8.9_TransparentReplications_informe10_illusion_moral_decline.html) · contraste del archivo de pasajes: ✔</w:t>
      </w:r>
      <w:r>
        <w:br/>
      </w:r>
      <w:r>
        <w:rPr>
          <w:b/>
        </w:rPr>
        <w:t>Lugar:</w:t>
      </w:r>
      <w:r>
        <w:t xml:space="preserve"> Transparent Replications, informe n.º 10, 8-7-2024</w:t>
      </w:r>
      <w:r>
        <w:br/>
      </w:r>
      <w:r>
        <w:rPr>
          <w:b/>
        </w:rPr>
        <w:t>Tal como está en la fuente:</w:t>
      </w:r>
      <w:r>
        <w:t xml:space="preserve"> the results of our replication aligned extremely closely with the results of the original study</w:t>
      </w:r>
      <w:r>
        <w:t>. Una crítica filosófica sostiene que el argumento central del estudio es lógicamente inválido</w:t>
      </w:r>
      <w:r>
        <w:t xml:space="preserve"> (Smith, Smith y Stocks, «The Illusion of the Illusion of Moral Decline» (La ilusión de la ilusión del declive moral), 2023; fuente secundaria: leído solo en transcripción)</w:t>
      </w:r>
      <w:r>
        <w:t xml:space="preserve">. </w:t>
      </w:r>
      <w:r>
        <w:t>[29.00-3.2 a 4.3]</w:t>
      </w:r>
    </w:p>
    <w:p>
      <w:r>
        <w:rPr>
          <w:b/>
        </w:rPr>
        <w:t>En España.</w:t>
      </w:r>
      <w:r>
        <w:t xml:space="preserve"> El CIS pregunta: «¿Diría Ud. que, por lo general, se puede confiar en la mayoría de la gente, o que nunca se es lo bastante prudente en el trato con los/as demás?», en una escala de 0 a 10. En julio de 2020, en plena pandemia, la media fue 5,4, y el 50,7 % se situó entre 6 y 10; en 2014 la media era 4,74. Después siguió subiendo: 5,7 en 2021, 5,75 en 2022 y 5,73 en 2023; luego 5,43 en 2024, 5,41 en 2025 y 5,58 en 2026</w:t>
      </w:r>
      <w:r>
        <w:t xml:space="preserve"> (CIS, estudios de opinión pública y política fiscal de 2014 a 2026; las sumas de 6 a 10, de la obra)</w:t>
      </w:r>
      <w:r>
        <w:t xml:space="preserve">. La confianza entre la gente es hoy mayor que hace doce años. </w:t>
      </w:r>
      <w:r>
        <w:t>[29.00-5.1 a 5.3]</w:t>
      </w:r>
    </w:p>
    <w:p>
      <w:r>
        <w:rPr>
          <w:b/>
        </w:rPr>
        <w:t>Las instituciones.</w:t>
      </w:r>
      <w:r>
        <w:t xml:space="preserve"> Otro estudio lo separa con claridad: la convivencia se valora bien, «con un grado de confianza entre la ciudadanía elevado»; en cambio, «la confianza institucional es generalmente baja: ninguna administración (local, autonómica, central, europea) consigue el aprobado en España»</w:t>
      </w:r>
      <w:r>
        <w:t xml:space="preserve"> (EsadeEcPol, «Polarización y convivencia en España 2021», 2022)</w:t>
      </w:r>
      <w:r>
        <w:br/>
      </w:r>
      <w:r>
        <w:rPr>
          <w:b/>
        </w:rPr>
        <w:t>leída en su fuente · EsadeEcPol, «Polarización y convivencia en España 2021», 2022</w:t>
      </w:r>
      <w:r>
        <w:br/>
      </w:r>
      <w:r>
        <w:rPr>
          <w:b/>
        </w:rPr>
        <w:t>Archivo leído:</w:t>
      </w:r>
      <w:r>
        <w:t xml:space="preserve"> 8.9_EsadeEcPol_Polarizacion_convivencia_2021_pagina.html (c8d\8.9_EsadeEcPol_Polarizacion_convivencia_2021_pagina.html) · contraste del archivo de pasajes: ✔</w:t>
      </w:r>
      <w:r>
        <w:br/>
      </w:r>
      <w:r>
        <w:rPr>
          <w:b/>
        </w:rPr>
        <w:t>Lugar:</w:t>
      </w:r>
      <w:r>
        <w:t xml:space="preserve"> EsadeEcPol, «Polarización y convivencia en España 2021», 2022</w:t>
      </w:r>
      <w:r>
        <w:br/>
      </w:r>
      <w:r>
        <w:rPr>
          <w:b/>
        </w:rPr>
        <w:t>Tal como está en la fuente:</w:t>
      </w:r>
      <w:r>
        <w:t xml:space="preserve"> la confianza institucional es generalmente baja: ninguna administración (local, autonómica, central, europea) consigue el aprobado en España</w:t>
      </w:r>
      <w:r>
        <w:t xml:space="preserve">. </w:t>
      </w:r>
      <w:r>
        <w:t>[29.00-6.1 a 6.3]</w:t>
      </w:r>
    </w:p>
    <w:p>
      <w:r>
        <w:rPr>
          <w:b/>
        </w:rPr>
        <w:t>Cada época se ha creído la peor.</w:t>
      </w:r>
      <w:r>
        <w:t xml:space="preserve"> En una carta de 1887, el historiador Lord Acton se negó a juzgar al Papa y al Rey con una presunción favorable: «Si hay alguna presunción, es la contraria, contra quienes tienen el poder, y crece a medida que crece el poder. […] El poder tiende a corromper, y el poder absoluto corrompe absolutamente»</w:t>
      </w:r>
      <w:r>
        <w:t xml:space="preserve"> [original: «If there is any presumption it is the other way, against the holders of power, increasing as the power increases. […] Power tends to corrupt, and absolute power corrupts absolutely.»]</w:t>
      </w:r>
      <w:r>
        <w:t xml:space="preserve"> (Acton, carta a Creighton, 5-4-1887, en Historical Essays and Studies, 1907, p. 504)</w:t>
      </w:r>
      <w:r>
        <w:br/>
      </w:r>
      <w:r>
        <w:rPr>
          <w:b/>
        </w:rPr>
        <w:t>pasaje guardado · Acton, carta a Creighton, 5-4-1887, en Historical Essays and Studies, 1907, p. 504</w:t>
      </w:r>
      <w:r>
        <w:br/>
      </w:r>
      <w:r>
        <w:rPr>
          <w:b/>
        </w:rPr>
        <w:t>Archivo leído:</w:t>
      </w:r>
      <w:r>
        <w:t xml:space="preserve"> 8.9_Acton_Creighton_correspondencia_OLL.html (c8d\8.9_Acton_Creighton_correspondencia_OLL.html) · contraste del archivo de pasajes: parcial</w:t>
      </w:r>
      <w:r>
        <w:br/>
      </w:r>
      <w:r>
        <w:rPr>
          <w:b/>
        </w:rPr>
        <w:t>Lugar:</w:t>
      </w:r>
      <w:r>
        <w:t xml:space="preserve"> Acton, carta a Creighton, 5-4-1887, en Historical Essays and Studies, 1907, p. 504</w:t>
      </w:r>
      <w:r>
        <w:br/>
      </w:r>
      <w:r>
        <w:rPr>
          <w:b/>
        </w:rPr>
        <w:t>Tal como está en la fuente:</w:t>
      </w:r>
      <w:r>
        <w:t xml:space="preserve"> If there is any presumption it is the other way, against the holders of power, increasing as the power increases. […] Power tends to corrupt, and absolute power corrupts absolutely.</w:t>
      </w:r>
      <w:r>
        <w:t>. Y ya en Grecia se decía que lo justo era lo que conviene al más fuerte (</w:t>
      </w:r>
      <w:r>
        <w:t>1.4</w:t>
      </w:r>
      <w:r>
        <w:t xml:space="preserve">). La sensación de que el mundo empeora moralmente es, ella misma, una constante de la historia. </w:t>
      </w:r>
      <w:r>
        <w:t>[29.00-7.1 y 7.2]</w:t>
      </w:r>
    </w:p>
    <w:p>
      <w:r>
        <w:rPr>
          <w:b/>
        </w:rPr>
        <w:t>Conclusión, lo que arrojan los datos:</w:t>
      </w:r>
      <w:r>
        <w:t xml:space="preserve"> la confianza entre las personas es hoy mayor que hace doce años, y la desconfianza apunta a las instituciones; el diseño legal enfrenta a la gente sin que nadie tenga que actuar de mala fe (</w:t>
      </w:r>
      <w:r>
        <w:t>7.7</w:t>
      </w:r>
      <w:r>
        <w:t>); y la vivienda y la fecundidad están en mínimos, con la pregunta causal abierta (</w:t>
      </w:r>
      <w:r>
        <w:t>8.8</w:t>
      </w:r>
      <w:r>
        <w:t xml:space="preserve">). El problema no está en la gente. </w:t>
      </w:r>
      <w:r>
        <w:t>[29.00-7.3]</w:t>
      </w:r>
    </w:p>
    <w:p>
      <w:r>
        <w:rPr>
          <w:b/>
        </w:rPr>
        <w:t>Lectura del autor:</w:t>
      </w:r>
      <w:r>
        <w:t xml:space="preserve"> el sistema es el que ha creado los problemas actuales. </w:t>
      </w:r>
      <w:r>
        <w:t>[29.00-7.4]</w:t>
      </w:r>
    </w:p>
    <w:p>
      <w:pPr>
        <w:pStyle w:val="Heading2"/>
      </w:pPr>
      <w:r>
        <w:t>8.10 La salud y la familia</w:t>
      </w:r>
    </w:p>
    <w:p>
      <w:pPr>
        <w:pBdr>
          <w:left w:val="single" w:sz="24" w:space="6" w:color="E2DED6"/>
        </w:pBdr>
        <w:shd w:val="clear" w:color="auto" w:fill="F1EEE8"/>
        <w:spacing w:before="80" w:after="160"/>
        <w:ind w:left="142" w:right="142"/>
      </w:pPr>
      <w:r>
        <w:rPr>
          <w:b/>
        </w:rPr>
        <w:t>La idea: de lo que se ve a simple vista, los datos oficiales confirman una cosa y matizan las otras: el consumo de antidepresivos se ha multiplicado; los suicidios y los divorcios, medidos por habitante y separando a la población española de la extranjera, no suben. Se dice lo que muestran las series y no se afirma ninguna causa.</w:t>
      </w:r>
    </w:p>
    <w:p>
      <w:r>
        <w:rPr>
          <w:b/>
        </w:rPr>
        <w:t>Antidepresivos.</w:t>
      </w:r>
      <w:r>
        <w:t xml:space="preserve"> El consumo se mide en dosis diarias definidas por cada 1.000 habitantes y día. La Agencia Española de Medicamentos lo da de 26,53 en 2000 a 79,57 en 2013</w:t>
      </w:r>
      <w:r>
        <w:t xml:space="preserve"> (AEMPS, Utilización de medicamentos antidepresivos en España, 2000-2013)</w:t>
      </w:r>
      <w:r>
        <w:t>; el Ministerio de Sanidad, de 66,2 en 2012 a 92,7 en 2021</w:t>
      </w:r>
      <w:r>
        <w:t xml:space="preserve"> (Ministerio de Sanidad, Informe Anual del Sistema Nacional de Salud 2022)</w:t>
      </w:r>
      <w:r>
        <w:t>; y la OCDE, con los datos que da España, de 28,2 en 2000 a 107,1 en 2024</w:t>
      </w:r>
      <w:r>
        <w:t xml:space="preserve"> (OCDE, consumo de antidepresivos (DDD por 1.000 habitantes y día), datos de España)</w:t>
      </w:r>
      <w:r>
        <w:t>. Es casi cuatro veces más, y España pasó del puesto 11 de 17 países en 2000 al 6 de 31 en 2023 (cálculo de la obra con las cifras de la OCDE). La OCDE avisa de roturas de la serie en 2014 y en 2018, y sus cifras de España son menores que las de la Agencia en 2013, por eso cada serie se da con su fuente y no se unen.</w:t>
      </w:r>
    </w:p>
    <w:p>
      <w:r>
        <w:rPr>
          <w:b/>
        </w:rPr>
        <w:t>Suicidios.</w:t>
      </w:r>
      <w:r>
        <w:t xml:space="preserve"> El número de muertes por suicidio pasó de 1.652 en 1980 a 3.953 en 2024; el máximo fue en 2022, con 4.227</w:t>
      </w:r>
      <w:r>
        <w:t xml:space="preserve"> (INE, Defunciones según la causa de muerte, tabla 9936)</w:t>
      </w:r>
      <w:r>
        <w:t>. Pero hay más habitantes y más mayores, y la tasa por 100.000 habitantes publicada por el INE fue 7,57 en 2018, 8,85 en 2022 y 8,09 en 2024</w:t>
      </w:r>
      <w:r>
        <w:t xml:space="preserve"> (INE, mortalidad por suicidio, indicador 3.4.2 de los Objetivos de Desarrollo Sostenible, tabla 46688)</w:t>
      </w:r>
      <w:r>
        <w:t>. Ajustada por edad, la tasa baja: de 8,3 en 2000 a 7,7 en 2023, según la OCDE</w:t>
      </w:r>
      <w:r>
        <w:t xml:space="preserve"> (OCDE, Health at a Glance, suicidios, tasa estandarizada por edad)</w:t>
      </w:r>
      <w:r>
        <w:t>; y España está por debajo de la media de la OCDE (10,7 en 2023) y de la de la Unión Europea (10,37)</w:t>
      </w:r>
      <w:r>
        <w:t xml:space="preserve"> (OCDE, Health at a Glance; Eurostat, causas de muerte)</w:t>
      </w:r>
      <w:r>
        <w:t>.</w:t>
      </w:r>
    </w:p>
    <w:p>
      <w:r>
        <w:rPr>
          <w:b/>
        </w:rPr>
        <w:t>La población española, aparte.</w:t>
      </w:r>
      <w:r>
        <w:t xml:space="preserve"> La inmigración ha hecho crecer la población: los nacidos en el extranjero eran el 3,64 % el 1 de enero de 2000 y el 20,67 % el 1 de julio de 2026 (dato provisional)</w:t>
      </w:r>
      <w:r>
        <w:t xml:space="preserve"> (INE, Padrón y Estadística Continua de Población)</w:t>
      </w:r>
      <w:r>
        <w:t>. De 2000 a 2022 la población total creció un 17,2 %, la de nacionalidad española un 6,0 % y la nacida en España un 2,3 %</w:t>
      </w:r>
      <w:r>
        <w:t xml:space="preserve"> (ídem; cálculo de la obra)</w:t>
      </w:r>
      <w:r>
        <w:t>. Una tasa sobre la población total puede diluirse con ese aumento. Por eso se mide también por nacionalidad, que el INE publica desde 2005</w:t>
      </w:r>
      <w:r>
        <w:t xml:space="preserve"> (INE, Suicidios por edad, nacionalidad y sexo, 2005 a 2024)</w:t>
      </w:r>
      <w:r>
        <w:t>. En 2024, la tasa bruta por 100.000 fue 8,27 en la población española, 7,00 en la extranjera y 8,10 en la total; ajustada por edad (método directo, población estándar europea de 2013), 7,56, 7,70 y 7,57</w:t>
      </w:r>
      <w:r>
        <w:t xml:space="preserve"> (ídem; cálculo de la obra, con las muertes y la población de cada grupo)</w:t>
      </w:r>
      <w:r>
        <w:t>. De 2005 a 2024, la tasa ajustada baja un 6,6 % entre los españoles y un 6,0 % en el total. La dilución existe en la tasa bruta, pero es de un 2 a un 5 %, y desaparece al ajustar por edad. «Española» no es «nativa»: el INE no publica los suicidios por país de nacimiento, y los españoles nacidos en el extranjero son hoy el 8 % de los españoles. Atribuyéndolos todos a nacidos en España, la tasa bruta de los nativos tendría como máximo 8,89 en 2024</w:t>
      </w:r>
      <w:r>
        <w:t xml:space="preserve"> (ídem; cálculo de la obra)</w:t>
      </w:r>
      <w:r>
        <w:t>.</w:t>
      </w:r>
    </w:p>
    <w:p>
      <w:r>
        <w:rPr>
          <w:b/>
        </w:rPr>
        <w:t>Divorcios.</w:t>
      </w:r>
      <w:r>
        <w:t xml:space="preserve"> Eran 37.743 en 2000, llegaron al máximo en 2006, con 126.952, y bajaron a 80.785 en 2025</w:t>
      </w:r>
      <w:r>
        <w:t xml:space="preserve"> (INE, Estadística de Nulidades, Separaciones y Divorcios)</w:t>
      </w:r>
      <w:r>
        <w:t>. El salto de 2005 a 2006 (de 72.848 a 126.952) coincide con la Ley 15/2005, que permitió divorciarse sin separación previa</w:t>
      </w:r>
      <w:r>
        <w:t xml:space="preserve"> (Ley 15/2005, de 8 de julio, BOE núm. 163, de 9-7-2005)</w:t>
      </w:r>
      <w:r>
        <w:t>; la serie solo muestra el salto, y atribuirlo a la ley es una lectura. Por cada 100 matrimonios, los divorcios fueron 61,1 en 2006 y 47,3 en 2024</w:t>
      </w:r>
      <w:r>
        <w:t xml:space="preserve"> (ídem; cálculo de la obra)</w:t>
      </w:r>
      <w:r>
        <w:t>. Entre cónyuges ambos españoles, que el INE separa desde 2007, fueron 111.437 en 2007 y 64.701 en 2024: 2,76 y 1,53 por cada 1.000 españoles</w:t>
      </w:r>
      <w:r>
        <w:t xml:space="preserve"> (ídem; cálculo de la obra)</w:t>
      </w:r>
      <w:r>
        <w:t>. Contando personas, en 2024 la tasa fue 3,30 por 1.000 entre las españolas, 3,39 entre las extranjeras y 3,31 en el total.</w:t>
      </w:r>
    </w:p>
    <w:p>
      <w:r>
        <w:rPr>
          <w:b/>
        </w:rPr>
        <w:t>Depresión y ansiedad declaradas.</w:t>
      </w:r>
      <w:r>
        <w:t xml:space="preserve"> La proporción de personas que dicen tener depresión o ansiedad crónica se mantiene entre el 5,9 % y el 6,9 % de 2011 a 2023</w:t>
      </w:r>
      <w:r>
        <w:t xml:space="preserve"> (INE, Encuesta Nacional de Salud de España, 2011, 2017 y 2023)</w:t>
      </w:r>
      <w:r>
        <w:t>; la edición de 2006 no es comparable. Lo que sí sube son los síntomas depresivos graves, medidos con el cuestionario PHQ-8: del 2,5 % en 2020 al 8,0 % en 2023</w:t>
      </w:r>
      <w:r>
        <w:t xml:space="preserve"> (INE, Encuesta de Salud, cuestionario PHQ-8, tabla 71507; cálculo de la obra)</w:t>
      </w:r>
      <w:r>
        <w:t>.</w:t>
      </w:r>
    </w:p>
    <w:p>
      <w:r>
        <w:rPr>
          <w:b/>
        </w:rPr>
        <w:t>Conclusión, lo que arrojan los datos:</w:t>
      </w:r>
      <w:r>
        <w:t xml:space="preserve"> el consumo de antidepresivos se ha multiplicado por casi cuatro desde 2000, en las tres series oficiales que lo miden. El número de suicidios y de divorcios sube desde 1980 o 2000, pero por habitante no: la tasa de suicidios es casi la misma desde 2005 y baja ajustada por edad, y los divorcios suben hasta 2006 y bajan después. Separar a la población española de la extranjera no cambia ninguna de las dos series. La depresión y la ansiedad declaradas se mantienen, y los síntomas depresivos graves, medidos con cuestionario, suben. La obra no afirma ninguna causa.</w:t>
      </w:r>
    </w:p>
    <w:p>
      <w:r>
        <w:rPr>
          <w:b/>
        </w:rPr>
        <w:t>Lectura del autor:</w:t>
      </w:r>
      <w:r>
        <w:t xml:space="preserve"> lo que estas series miden, para el autor, es la insatisfacción de la población, y los suicidios y el consumo de antidepresivos son dos termómetros de ella. No dicen lo mismo: el de los suicidios se mantiene por habitante, y el de los antidepresivos sube en todas las series y es hoy de los más altos de la OCDE. El autor lo lee de dos maneras, que no se excluyen. Una, como un indicador de que el malestar de la población aumenta. Otra, como una forma de camuflaje: un sistema que, a base de antidepresivos, inhibe la frustración en lugar de atender lo que la causa, y así puede decir que aquí no pasa nada. Es lectura, no dato: las series muestran que se consume más, no por qué, y puede deberse también a que hoy se diagnostica más, a que hay menos estigma o a que el acceso es mayor; la obra no afirma ninguna causa ni ninguna intención. Que esto diga algo del rumbo es una pregunta, no un dato: la pregunta final del llamamiento (</w:t>
      </w:r>
      <w:r>
        <w:t>11.6</w:t>
      </w:r>
      <w:r>
        <w:t xml:space="preserve">). </w:t>
      </w:r>
      <w:r>
        <w:t>[palabras de Kiko, 9-oct-2026]</w:t>
      </w:r>
    </w:p>
    <w:p>
      <w:r>
        <w:t>[INE, AEMPS, Ministerio de Sanidad, OCDE y Eurostat, leídos el 9-oct-2026 en 07/fuentes/indicadores_sociales y indicadores_nativos; borrador B10]</w:t>
      </w:r>
    </w:p>
    <w:p>
      <w:pPr>
        <w:pStyle w:val="Heading2"/>
      </w:pPr>
      <w:r>
        <w:t>8.11 El efectivo y la señal</w:t>
      </w:r>
    </w:p>
    <w:p>
      <w:pPr>
        <w:pBdr>
          <w:left w:val="single" w:sz="24" w:space="6" w:color="E2DED6"/>
        </w:pBdr>
        <w:shd w:val="clear" w:color="auto" w:fill="F1EEE8"/>
        <w:spacing w:before="80" w:after="160"/>
        <w:ind w:left="142" w:right="142"/>
      </w:pPr>
      <w:r>
        <w:rPr>
          <w:b/>
        </w:rPr>
        <w:t>La idea: los pagos grandes en efectivo se limitan cada vez más y se prepara un euro digital; el texto de la Biblia que habla de condicionar el comprar y el vender a una señal lo liga a la lealtad a un poder, no a un medio de pago.</w:t>
      </w:r>
    </w:p>
    <w:p>
      <w:r>
        <w:rPr>
          <w:b/>
        </w:rPr>
        <w:t>Lo que consta.</w:t>
      </w:r>
    </w:p>
    <w:p>
      <w:pPr>
        <w:pStyle w:val="ListBullet"/>
      </w:pPr>
      <w:r>
        <w:rPr>
          <w:b/>
        </w:rPr>
        <w:t>España:</w:t>
      </w:r>
      <w:r>
        <w:t xml:space="preserve"> «No podrán pagarse en efectivo las operaciones, en las que alguna de las partes intervinientes actúe en calidad de empresario o profesional, con un importe igual o superior a 1.000 euros»</w:t>
      </w:r>
      <w:r>
        <w:t xml:space="preserve"> (Ley 7/2012, art. 7, Uno.1)</w:t>
      </w:r>
      <w:r>
        <w:br/>
      </w:r>
      <w:r>
        <w:rPr>
          <w:b/>
        </w:rPr>
        <w:t>leída en su fuente · Ley 7/2012, art. 7, Uno.1</w:t>
      </w:r>
      <w:r>
        <w:br/>
      </w:r>
      <w:r>
        <w:rPr>
          <w:b/>
        </w:rPr>
        <w:t>Archivo leído:</w:t>
      </w:r>
      <w:r>
        <w:t xml:space="preserve"> boe_ley_11_2021_consolidada.html (marca_comercio_10oct\e11_espana_limite_efectivo\boe_ley_11_2021_consolidada.html) · contraste del archivo de pasajes: ✔</w:t>
      </w:r>
      <w:r>
        <w:br/>
      </w:r>
      <w:r>
        <w:rPr>
          <w:b/>
        </w:rPr>
        <w:t>Lugar:</w:t>
      </w:r>
      <w:r>
        <w:t xml:space="preserve"> Ley 7/2012, art. 7, Uno.1</w:t>
      </w:r>
      <w:r>
        <w:br/>
      </w:r>
      <w:r>
        <w:rPr>
          <w:b/>
        </w:rPr>
        <w:t>Tal como está en la fuente:</w:t>
      </w:r>
      <w:r>
        <w:t xml:space="preserve"> No podrán pagarse en efectivo las operaciones, en las que alguna de las partes intervinientes actúe en calidad de empresario o profesional, con un importe igual o superior a 1.000 euros</w:t>
      </w:r>
      <w:r>
        <w:t>. El límite era de 2.500 euros y la Ley 11/2021 lo bajó a 1.000</w:t>
      </w:r>
      <w:r>
        <w:t xml:space="preserve"> (Ley 11/2021, preámbulo)</w:t>
      </w:r>
      <w:r>
        <w:t>. Para un pagador sin domicilio fiscal en España que no sea empresario, es de 10.000.</w:t>
      </w:r>
    </w:p>
    <w:p>
      <w:pPr>
        <w:pStyle w:val="ListBullet"/>
      </w:pPr>
      <w:r>
        <w:rPr>
          <w:b/>
        </w:rPr>
        <w:t>La Unión Europea:</w:t>
      </w:r>
      <w:r>
        <w:t xml:space="preserve"> desde el 10 de julio de 2027 el máximo para comerciar con bienes o servicios en efectivo es de 10.000 euros, y los Estados pueden poner un límite más bajo</w:t>
      </w:r>
      <w:r>
        <w:t xml:space="preserve"> (Reglamento (UE) 2024/1624, art. 80)</w:t>
      </w:r>
      <w:r>
        <w:t>. Dos tercios de los Estados miembros ya tenían límites, de 500 euros en Grecia a algo más de 10.000 en Chequia</w:t>
      </w:r>
      <w:r>
        <w:t xml:space="preserve"> (Comisión Europea, 24-4-2024)</w:t>
      </w:r>
      <w:r>
        <w:t>.</w:t>
      </w:r>
    </w:p>
    <w:p>
      <w:pPr>
        <w:pStyle w:val="ListBullet"/>
      </w:pPr>
      <w:r>
        <w:rPr>
          <w:b/>
        </w:rPr>
        <w:t>El billete de 500 euros:</w:t>
      </w:r>
      <w:r>
        <w:t xml:space="preserve"> el Consejo de Gobierno del BCE decidió el 4 de mayo de 2016 dejar de producirlo y no se emite desde 2019, pero sigue siendo de curso legal: «podrá seguir utilizándose como medio de pago y depósito de valor»</w:t>
      </w:r>
      <w:r>
        <w:t xml:space="preserve"> (BCE, nota de prensa de 4-5-2016)</w:t>
      </w:r>
      <w:r>
        <w:br/>
      </w:r>
      <w:r>
        <w:rPr>
          <w:b/>
        </w:rPr>
        <w:t>leída en su fuente · BCE, nota de prensa de 4-5-2016</w:t>
      </w:r>
      <w:r>
        <w:br/>
      </w:r>
      <w:r>
        <w:rPr>
          <w:b/>
        </w:rPr>
        <w:t>Archivo leído:</w:t>
      </w:r>
      <w:r>
        <w:t xml:space="preserve"> ecb_pr_2016_05_04_500_es.html (marca_comercio_10oct\e15_billete_500\ecb_pr_2016_05_04_500_es.html) · contraste del archivo de pasajes: ✔</w:t>
      </w:r>
      <w:r>
        <w:br/>
      </w:r>
      <w:r>
        <w:rPr>
          <w:b/>
        </w:rPr>
        <w:t>Lugar:</w:t>
      </w:r>
      <w:r>
        <w:t xml:space="preserve"> BCE, nota de prensa de 4-5-2016</w:t>
      </w:r>
      <w:r>
        <w:br/>
      </w:r>
      <w:r>
        <w:rPr>
          <w:b/>
        </w:rPr>
        <w:t>Tal como está en la fuente:</w:t>
      </w:r>
      <w:r>
        <w:t xml:space="preserve"> podrá seguir utilizándose como medio de pago y depósito de valor</w:t>
      </w:r>
      <w:r>
        <w:t>.</w:t>
      </w:r>
    </w:p>
    <w:p>
      <w:pPr>
        <w:pStyle w:val="ListBullet"/>
      </w:pPr>
      <w:r>
        <w:rPr>
          <w:b/>
        </w:rPr>
        <w:t>El euro digital:</w:t>
      </w:r>
      <w:r>
        <w:t xml:space="preserve"> la Comisión presentó el 28 de junio de 2023 dos propuestas, una para crearlo y otra para proteger el efectivo (aceptación obligatoria a su valor completo y prohibición de recargos por pagar con billetes y monedas)</w:t>
      </w:r>
      <w:r>
        <w:t xml:space="preserve"> (COM(2023) 364, art. 4)</w:t>
      </w:r>
      <w:r>
        <w:t>. El BCE decidió el 18 de octubre de 2023 pasar a la fase de preparación, que empezó en noviembre, y el 30 de octubre de 2025 pasar a la siguiente, y dice que complementaría al efectivo</w:t>
      </w:r>
      <w:r>
        <w:t xml:space="preserve"> (BCE, informe de 18-10-2023, nota de prensa de 30-10-2025 y preguntas frecuentes sobre el euro digital)</w:t>
      </w:r>
      <w:r>
        <w:t>. En octubre de 2026 no hay acuerdo final</w:t>
      </w:r>
      <w:r>
        <w:t xml:space="preserve"> (Parlamento Europeo, Observatorio Legislativo, procedimientos 2023/0212(COD) y 2023/0208(COD), leídos el 10-10-2026)</w:t>
      </w:r>
      <w:r>
        <w:t>.</w:t>
      </w:r>
    </w:p>
    <w:p>
      <w:pPr>
        <w:pStyle w:val="ListBullet"/>
      </w:pPr>
      <w:r>
        <w:rPr>
          <w:b/>
        </w:rPr>
        <w:t>Los países:</w:t>
      </w:r>
      <w:r>
        <w:t xml:space="preserve"> en la zona del euro el efectivo fue el 52 % de los pagos en tienda en 2024, del 22 % en Países Bajos al 67 % en Malta</w:t>
      </w:r>
      <w:r>
        <w:t xml:space="preserve"> (BCE, estudio SPACE 2024)</w:t>
      </w:r>
      <w:r>
        <w:t>. En las fuentes oficiales leídas, ningún país prohíbe pagar en efectivo en general; sí hay límites por operación (500 euros en Grecia, 3.000 en Países Bajos para bienes)</w:t>
      </w:r>
      <w:r>
        <w:t xml:space="preserve"> (Comisión Europea, 24-4-2024; Gobierno de los Países Bajos, prohibición de los pagos en efectivo desde 3.000 euros)</w:t>
      </w:r>
      <w:r>
        <w:t>.</w:t>
      </w:r>
    </w:p>
    <w:p>
      <w:pPr>
        <w:pStyle w:val="ListBullet"/>
      </w:pPr>
      <w:r>
        <w:rPr>
          <w:b/>
        </w:rPr>
        <w:t>Lo que se comunica a la Administración</w:t>
      </w:r>
      <w:r>
        <w:t xml:space="preserve"> depende de otros umbrales (3.000, 6.000, 10.000, 30.000 y 100.000 euros según el caso); a partir de 1.000 euros lo que hay es la prohibición de pagar en efectivo con profesionales y la identificación formal que hacen los bancos</w:t>
      </w:r>
      <w:r>
        <w:t xml:space="preserve"> (Real Decreto 304/2014, art. 4.1)</w:t>
      </w:r>
      <w:r>
        <w:t>.</w:t>
      </w:r>
    </w:p>
    <w:p>
      <w:r>
        <w:rPr>
          <w:b/>
        </w:rPr>
        <w:t>La razón que da la norma.</w:t>
      </w:r>
      <w:r>
        <w:t xml:space="preserve"> El Reglamento de 2024 es de prevención del blanqueo de capitales, y la Comisión presenta el euro digital como una opción de pago más junto al efectivo. Los límites son por importe de cada operación y conviven con el curso legal del efectivo.</w:t>
      </w:r>
    </w:p>
    <w:p>
      <w:r>
        <w:rPr>
          <w:b/>
        </w:rPr>
        <w:t>Conclusión, lo que arrojan los datos.</w:t>
      </w:r>
      <w:r>
        <w:t xml:space="preserve"> Hay una dirección: el límite de pago en efectivo en España bajó de 2.500 a 1.000 euros, la Unión Europea fija un máximo de 10.000 desde 2027, el BCE dejó de producir el billete de 500 y se prepara el euro digital. Y hay hechos que no encajan con la idea de que el efectivo vaya a desaparecer: el billete de 500 sigue siendo de curso legal, la Comisión propone proteger el efectivo, el BCE dice que el euro digital lo complementaría y ningún país europeo lo prohíbe en general. Estos hechos no prueban un plan de eliminar el efectivo ni lo descartan: muestran un estrechamiento de los pagos grandes en efectivo y un dinero digital en preparación.</w:t>
      </w:r>
    </w:p>
    <w:p>
      <w:r>
        <w:rPr>
          <w:b/>
        </w:rPr>
        <w:t>La señal del Apocalipsis.</w:t>
      </w:r>
      <w:r>
        <w:t xml:space="preserve"> «Y hacía que á todos, á los pequeños y grandes, ricos y pobres, libres y siervos, se pusiese una marca en su mano derecha, ó en sus frentes: Y que ninguno pudiese comprar ó vender, sino el que tuviera la señal, ó el nombre de la bestia, ó el número de su nombre»</w:t>
      </w:r>
      <w:r>
        <w:t xml:space="preserve"> (Ap 13:16-17)</w:t>
      </w:r>
      <w:r>
        <w:br/>
      </w:r>
      <w:r>
        <w:rPr>
          <w:b/>
        </w:rPr>
        <w:t>leída en su fuente · Ap 13:16-17</w:t>
      </w:r>
      <w:r>
        <w:br/>
      </w:r>
      <w:r>
        <w:rPr>
          <w:b/>
        </w:rPr>
        <w:t>Original donde está:</w:t>
      </w:r>
      <w:r>
        <w:t xml:space="preserve"> spaRV1909_texto_corrido.txt</w:t>
      </w:r>
      <w:r>
        <w:br/>
      </w:r>
      <w:r>
        <w:t>El pasaje literal no está en el archivo de pasajes con este comienzo; la auditoría lo halló en ese original.</w:t>
      </w:r>
      <w:r>
        <w:t>. Lo impone la segunda bestia, que hace adorar a la primera y hará que quienes no adoren su imagen «sean muertos»</w:t>
      </w:r>
      <w:r>
        <w:t xml:space="preserve"> (Ap 13:11-15)</w:t>
      </w:r>
      <w:r>
        <w:t>; tomar la señal es adorar a la bestia</w:t>
      </w:r>
      <w:r>
        <w:t xml:space="preserve"> (Ap 14:9-11)</w:t>
      </w:r>
      <w:r>
        <w:t>. El texto no nombra ningún medio, ningún gobierno ni ningún documento. La señal en la mano y entre los ojos ya estaba en la Biblia como señal de la ley de Dios</w:t>
      </w:r>
      <w:r>
        <w:t xml:space="preserve"> (Dt 6:8)</w:t>
      </w:r>
      <w:r>
        <w:t>, y la señal de Dios en las frentes, en el propio Apocalipsis</w:t>
      </w:r>
      <w:r>
        <w:t xml:space="preserve"> (Ap 7:3)</w:t>
      </w:r>
      <w:r>
        <w:t>: dos señales y dos lealtades.</w:t>
      </w:r>
    </w:p>
    <w:p>
      <w:r>
        <w:rPr>
          <w:b/>
        </w:rPr>
        <w:t>Cómo lo leyó la tradición más antigua.</w:t>
      </w:r>
      <w:r>
        <w:t xml:space="preserve"> Hipólito, que copia Ap 13:11-18 entero, dice que el Anticristo «ordenará que por todas partes se pongan incensarios, para que ningún hombre entre los santos pueda comprar ni vender sin sacrificar antes; pues eso es lo que significa la marca recibida en la mano derecha»</w:t>
      </w:r>
      <w:r>
        <w:t xml:space="preserve"> [original: «he will order incense-pans to be set up by all everywhere, that no man among the saints may be able to buy or sell without first sacrificing; for this is what is meant by the mark received upon the right hand.», en la traducción inglesa de MacMahon]</w:t>
      </w:r>
      <w:r>
        <w:t xml:space="preserve"> (Hipólito, Sobre Cristo y el Anticristo, cap. 49)</w:t>
      </w:r>
      <w:r>
        <w:br/>
      </w:r>
      <w:r>
        <w:rPr>
          <w:b/>
        </w:rPr>
        <w:t>leída en su fuente · Hipólito, Sobre Cristo y el Anticristo, cap. 49</w:t>
      </w:r>
      <w:r>
        <w:br/>
      </w:r>
      <w:r>
        <w:rPr>
          <w:b/>
        </w:rPr>
        <w:t>Original donde está:</w:t>
      </w:r>
      <w:r>
        <w:t xml:space="preserve"> hipolito_cristo_y_anticristo_ANF5.txt</w:t>
      </w:r>
      <w:r>
        <w:br/>
      </w:r>
      <w:r>
        <w:t>El pasaje literal no está en el archivo de pasajes con este comienzo; la auditoría lo halló en ese original.</w:t>
      </w:r>
      <w:r>
        <w:t>. Victorino de Pettau dice que sus siervos recibirán el número de su nombre «para que nadie los compre ni los venda»</w:t>
      </w:r>
      <w:r>
        <w:t xml:space="preserve"> [original: «lest any one should buy or sell them», en la traducción inglesa de Wallis]</w:t>
      </w:r>
      <w:r>
        <w:t xml:space="preserve"> (Victorino de Pettau, Comentario al Apocalipsis, cap. 13)</w:t>
      </w:r>
      <w:r>
        <w:br/>
      </w:r>
      <w:r>
        <w:rPr>
          <w:b/>
        </w:rPr>
        <w:t>leída en su fuente · Victorino de Pettau, Comentario al Apocalipsis, cap. 13</w:t>
      </w:r>
      <w:r>
        <w:br/>
      </w:r>
      <w:r>
        <w:rPr>
          <w:b/>
        </w:rPr>
        <w:t>Archivo leído:</w:t>
      </w:r>
      <w:r>
        <w:t xml:space="preserve"> victorino_comentario_apocalipsis_ANF7.htm (marca_comercio_10oct\e01_primeros_autores\victorino_comentario_apocalipsis_ANF7.htm) · contraste del archivo de pasajes: ✔</w:t>
      </w:r>
      <w:r>
        <w:br/>
      </w:r>
      <w:r>
        <w:rPr>
          <w:b/>
        </w:rPr>
        <w:t>Lugar:</w:t>
      </w:r>
      <w:r>
        <w:t xml:space="preserve"> Victorino de Pettau, Comentario al Apocalipsis, cap. 13</w:t>
      </w:r>
      <w:r>
        <w:br/>
      </w:r>
      <w:r>
        <w:rPr>
          <w:b/>
        </w:rPr>
        <w:t>Tal como está en la fuente:</w:t>
      </w:r>
      <w:r>
        <w:t xml:space="preserve"> lest any one should buy or sell them</w:t>
      </w:r>
      <w:r>
        <w:t>. En Hipólito, la condición para comerciar es un acto de culto; en Victorino, la señal es la de los siervos del Anticristo: en los dos, una lealtad.</w:t>
      </w:r>
    </w:p>
    <w:p>
      <w:r>
        <w:rPr>
          <w:b/>
        </w:rPr>
        <w:t>Lo que dicen las otras tradiciones.</w:t>
      </w:r>
      <w:r>
        <w:t xml:space="preserve"> En las demás tradiciones leídas (Egipto, India, China, Grecia, Roma, el islam y el budismo) no se ha hallado ningún texto que condicione comprar y vender a una señal del poder. Lo más cercano son poderes que monopolizan o fijan precios: el monopolio real del aceite de Tolomeo II, el control de precios del Edicto de Diocleciano y los recursos de ciudades y tiranos de los </w:t>
      </w:r>
      <w:r>
        <w:rPr>
          <w:i/>
        </w:rPr>
        <w:t>Económicos</w:t>
      </w:r>
      <w:r>
        <w:t xml:space="preserve"> II; ninguno pone una marca ni una condición de lealtad. Mencio y los suttas budistas piden lo contrario: que el soberano no grave ni estorbe el comercio. Ningún hadiz del Dayyal habla de comprar ni de vender. Y un estudio de Adolf Deissmann de 1910 (fuente secundaria, nivel B) dice que el «χάραγμα» (la «marca») era el sello del emperador que se imprimía en las escrituras de venta del Egipto romano: un sello de documentos, no una condición para comerciar</w:t>
      </w:r>
      <w:r>
        <w:t xml:space="preserve"> (Adolf Deissmann, Light from the Ancient East (Luz del antiguo Oriente), 2.ª edición inglesa, 1910, p. 345; fuente secundaria)</w:t>
      </w:r>
      <w:r>
        <w:t>.</w:t>
      </w:r>
    </w:p>
    <w:p>
      <w:r>
        <w:rPr>
          <w:b/>
        </w:rPr>
        <w:t>Lectura del autor:</w:t>
      </w:r>
      <w:r>
        <w:t xml:space="preserve"> lo que describe el texto es una </w:t>
      </w:r>
      <w:r>
        <w:rPr>
          <w:b/>
        </w:rPr>
        <w:t>función</w:t>
      </w:r>
      <w:r>
        <w:t>: el acceso al comercio condicionado a una señal de lealtad. No dice qué medio sería, y el autor no lo dice tampoco. Quien describe lo que no ha visto lo cuenta con las imágenes que conoce, y hay un salto de vocabulario: un nativo del Amazonas que nunca ha tenido contacto con la civilización, llevado a una casa, toca la superficie de la roca y cuenta que «se hizo de día»; lo que de verdad ha hecho es pulsar un interruptor en una pared, pero no tiene la palabra «pared» ni «interruptor» (imagen del autor, no un hecho). El propio autor cayó en la presunción que describe: primero dijo «pared», y luego lo corrigió, porque quien nunca ha visto una casa no tiene el concepto de una pared hecha de bloques y cemento; para él lo sólido es la roca. Es un ejemplo de cuánto hay que salvar la distancia entre nuestras palabras y las de quien habló entonces: usar sus conceptos, no los nuestros. Por eso lo que importa no es el nombre del aparato, sino la función. Si el efectivo desapareciera, quien controle el pago podría decidir quién compra y quién vende, y esa es la función que describe Ap 13:17. El autor no adivina el futuro: ve la trazabilidad de los hechos de arriba y avisa antes de que ocurra, porque lo que quiere evitar es que gane el mal. Si algún medio cumple esa función es cuestión de hechos que se puedan comprobar, y no de nombres.</w:t>
      </w:r>
    </w:p>
    <w:p>
      <w:r>
        <w:t>[BOE, EUR-Lex, BCE, Comisión Europea y Parlamento Europeo, e Hipólito y Victorino en la edición inglesa de los Padres antenicenos, leídos el 10-oct-2026 en 07/fuentes/marca_comercio; Reina-Valera 1909 en local; borrador «El efectivo y la señal» de la carpeta 07]</w:t>
      </w:r>
    </w:p>
    <w:p>
      <w:pPr>
        <w:pStyle w:val="Heading2"/>
      </w:pPr>
      <w:r>
        <w:t>Límite honesto de la prueba</w:t>
      </w:r>
    </w:p>
    <w:p>
      <w:pPr>
        <w:pStyle w:val="ListBullet"/>
      </w:pPr>
      <w:r>
        <w:rPr>
          <w:b/>
        </w:rPr>
        <w:t>La causa no está demostrada.</w:t>
      </w:r>
      <w:r>
        <w:t xml:space="preserve"> El capítulo mide efectos: la pérdida de valor del dinero, la carga, la vivienda, los hijos. Que la captura institucional los cause es una hipótesis abierta (</w:t>
      </w:r>
      <w:r>
        <w:t>8.8</w:t>
      </w:r>
      <w:r>
        <w:t>), y que exista una estrategia mundial para mantener a la población endeudada, también (</w:t>
      </w:r>
      <w:r>
        <w:t>8.1</w:t>
      </w:r>
      <w:r>
        <w:t>).</w:t>
      </w:r>
    </w:p>
    <w:p>
      <w:pPr>
        <w:pStyle w:val="ListBullet"/>
      </w:pPr>
      <w:r>
        <w:rPr>
          <w:b/>
        </w:rPr>
        <w:t>Los cálculos de la obra se dicen como tales:</w:t>
      </w:r>
      <w:r>
        <w:t xml:space="preserve"> la pérdida de los 100 euros desde 1971, la deuda rebajada por la inflación, los perfiles del autónomo y del societario, los salarios medios público y privado, los puestos de España por PIB y la aritmética de la vivienda.</w:t>
      </w:r>
    </w:p>
    <w:p>
      <w:pPr>
        <w:pStyle w:val="ListBullet"/>
      </w:pPr>
      <w:r>
        <w:rPr>
          <w:b/>
        </w:rPr>
        <w:t>Las capas 4 y 5 de la carga</w:t>
      </w:r>
      <w:r>
        <w:t xml:space="preserve"> son una hipótesis de reparto y una obligación futura; la parte firme es la capa 1, contrastada con la OCDE.</w:t>
      </w:r>
    </w:p>
    <w:p>
      <w:pPr>
        <w:pStyle w:val="ListBullet"/>
      </w:pPr>
      <w:r>
        <w:rPr>
          <w:b/>
        </w:rPr>
        <w:t>Las comparaciones de medias</w:t>
      </w:r>
      <w:r>
        <w:t xml:space="preserve"> entre lo público y lo privado no corrigen la jornada, la antigüedad ni la cualificación.</w:t>
      </w:r>
    </w:p>
    <w:p>
      <w:pPr>
        <w:pStyle w:val="ListBullet"/>
      </w:pPr>
      <w:r>
        <w:rPr>
          <w:b/>
        </w:rPr>
        <w:t>Fuentes privadas o interesadas, marcadas:</w:t>
      </w:r>
      <w:r>
        <w:t xml:space="preserve"> el Impuestómetro (con datos de Molinari y EY), una asociación y una fundación de autónomos y pymes, un sindicato, una organización ecologista y la prensa sobre las multas de la Zona de Bajas Emisiones, cuya cifra la da una asociación de automovilistas y no un organismo oficial.</w:t>
      </w:r>
    </w:p>
    <w:p>
      <w:pPr>
        <w:pStyle w:val="ListBullet"/>
      </w:pPr>
      <w:r>
        <w:rPr>
          <w:b/>
        </w:rPr>
        <w:t>Lo que no se ha podido leer:</w:t>
      </w:r>
      <w:r>
        <w:t xml:space="preserve"> la STS de 2017 del foto-rojo, entera; la réplica de Smith, Smith y Stocks, salvo en transcripción; el informe completo del IIF, que es solo para socios; la cita atribuida a Friedman sobre la inflación como impuesto sin ley, que circula sin fuente primaria localizada.</w:t>
      </w:r>
    </w:p>
    <w:p>
      <w:pPr>
        <w:pStyle w:val="ListBullet"/>
      </w:pPr>
      <w:r>
        <w:rPr>
          <w:b/>
        </w:rPr>
        <w:t>Lo que no entra:</w:t>
      </w:r>
      <w:r>
        <w:t xml:space="preserve"> el «63 % del PIB» de la zona euro, los «18 billones» de dinero nuevo y las frases de la «literatura financiera» (sin fuente); los precios de Benidorm; las cifras de coste de la reconversión, de una fuente concentrada; las «60.000 viviendas de alquiler» perdidas; Nozick, y Murphy y Nagel.</w:t>
      </w:r>
    </w:p>
    <w:p>
      <w:pPr>
        <w:pStyle w:val="ListBullet"/>
      </w:pPr>
      <w:r>
        <w:rPr>
          <w:b/>
        </w:rPr>
        <w:t>Los números de la salud y la familia describen, no explican.</w:t>
      </w:r>
      <w:r>
        <w:t xml:space="preserve"> Que suban o no suban estas series no prueba que la causa sea el dinero, el Estado ni nada concreto: son datos de un país en el que han cambiado muchas cosas a la vez, y la obra no afirma ninguna causa.</w:t>
      </w:r>
    </w:p>
    <w:p>
      <w:pPr>
        <w:pStyle w:val="ListBullet"/>
      </w:pPr>
      <w:r>
        <w:rPr>
          <w:b/>
        </w:rPr>
        <w:t>«Española» no es «nativa», y algunos datos son provisionales o no se pudieron leer.</w:t>
      </w:r>
      <w:r>
        <w:t xml:space="preserve"> El INE publica los suicidios por nacionalidad y no por país de nacimiento; los suicidios de 2025 y la población de 2025 y 2026 son provisionales; el informe de antidepresivos de la Agencia de 2025 es un panel que no se pudo descargar; la serie de la OCDE tiene roturas en 2014 y 2018; y la depresión declarada de 2006 no es comparable.</w:t>
      </w:r>
    </w:p>
    <w:p>
      <w:pPr>
        <w:pStyle w:val="ListBullet"/>
      </w:pPr>
      <w:r>
        <w:rPr>
          <w:b/>
        </w:rPr>
        <w:t>El efectivo y la señal: los datos no muestran ningún plan de eliminar el efectivo,</w:t>
      </w:r>
      <w:r>
        <w:t xml:space="preserve"> y las fuentes oficiales leídas dicen lo contrario; la obra expone una dirección de hechos, con los que no encajan, y no afirma ninguna intención (</w:t>
      </w:r>
      <w:r>
        <w:t>8.11</w:t>
      </w:r>
      <w:r>
        <w:t>).</w:t>
      </w:r>
    </w:p>
    <w:p>
      <w:pPr>
        <w:pStyle w:val="ListBullet"/>
      </w:pPr>
      <w:r>
        <w:rPr>
          <w:b/>
        </w:rPr>
        <w:t>La señal del Apocalipsis no nombra ningún medio de pago,</w:t>
      </w:r>
      <w:r>
        <w:t xml:space="preserve"> y los dos autores antiguos que la comentan la ligan a una lealtad (Hipólito, a un acto de culto): la lectura de hoy es del autor y no se puede comprobar con los datos. El argumento del salto de vocabulario no sirve para elegir un medio concreto, porque permitiría igual de bien cualquier identificación (</w:t>
      </w:r>
      <w:r>
        <w:t>8.11</w:t>
      </w:r>
      <w:r>
        <w:t>).</w:t>
      </w:r>
    </w:p>
    <w:p>
      <w:pPr>
        <w:pStyle w:val="Heading2"/>
      </w:pPr>
      <w:r>
        <w:t>Dónde se oye la defensa del Estado</w:t>
      </w:r>
    </w:p>
    <w:p>
      <w:r>
        <w:t>La defensa del Estado frente a este capítulo, y lo que la obra le responde, se oyen en el juicio:</w:t>
      </w:r>
    </w:p>
    <w:p>
      <w:pPr>
        <w:pStyle w:val="ListBullet"/>
      </w:pPr>
      <w:r>
        <w:t xml:space="preserve">que la moneda sin respaldo estabiliza la economía y que el banco central es independiente, y que «hoy ningún gobierno devalúa para financiarse»: </w:t>
      </w:r>
      <w:r>
        <w:t>cargo 17</w:t>
      </w:r>
      <w:r>
        <w:t xml:space="preserve"> (</w:t>
      </w:r>
      <w:r>
        <w:t>11.3</w:t>
      </w:r>
      <w:r>
        <w:t>);</w:t>
      </w:r>
    </w:p>
    <w:p>
      <w:pPr>
        <w:pStyle w:val="ListBullet"/>
      </w:pPr>
      <w:r>
        <w:t>«No existe ningún plan mundial», «La desconfianza en las instituciones también es un sesgo» y «No todas las instituciones son iguales»: en las cuestiones previas (</w:t>
      </w:r>
      <w:r>
        <w:t>11.2</w:t>
      </w:r>
      <w:r>
        <w:t>);</w:t>
      </w:r>
    </w:p>
    <w:p>
      <w:pPr>
        <w:pStyle w:val="ListBullet"/>
      </w:pPr>
      <w:r>
        <w:t xml:space="preserve">«La reconversión era inevitable»: </w:t>
      </w:r>
      <w:r>
        <w:t>cargo 28</w:t>
      </w:r>
      <w:r>
        <w:t>;</w:t>
      </w:r>
    </w:p>
    <w:p>
      <w:pPr>
        <w:pStyle w:val="ListBullet"/>
      </w:pPr>
      <w:r>
        <w:t xml:space="preserve">«La baja fecundidad es un fenómeno europeo y cultural», «Los 58 años son una cifra sindical, y no son comparables» y «Correlación no es causalidad»: </w:t>
      </w:r>
      <w:r>
        <w:t>cargo 10</w:t>
      </w:r>
      <w:r>
        <w:t>;</w:t>
      </w:r>
    </w:p>
    <w:p>
      <w:pPr>
        <w:pStyle w:val="ListBullet"/>
      </w:pPr>
      <w:r>
        <w:t xml:space="preserve">las omisiones, de BOSCO, la franquicia y la gasolina: </w:t>
      </w:r>
      <w:r>
        <w:t>cargo 22</w:t>
      </w:r>
      <w:r>
        <w:t xml:space="preserve">; los aforamientos: </w:t>
      </w:r>
      <w:r>
        <w:t>cargo 2</w:t>
      </w:r>
      <w:r>
        <w:t>;</w:t>
      </w:r>
    </w:p>
    <w:p>
      <w:pPr>
        <w:pStyle w:val="ListBullet"/>
      </w:pPr>
      <w:r>
        <w:t>«la conclusión de conjunto», y que decir que «el sistema creó los problemas» es un salto: frente al dictamen (</w:t>
      </w:r>
      <w:r>
        <w:t>11.4</w:t>
      </w:r>
      <w:r>
        <w:t>).</w:t>
      </w:r>
    </w:p>
    <w:p>
      <w:r>
        <w:t>[clasificación de las defensas, aprobada; 20.00-35.20 a 35.23; 24.00-9.2, 9.3, 9.10 y 9.11; 25.00-11.4 y 11.5; 26.00-8.2 y 8.3; 27.00-7.6 a 7.11; 29.00-8.2, 8.3 y 8.6 a 8.9; 34.00-13.12 y 13.13]</w:t>
      </w:r>
    </w:p>
    <w:p>
      <w:pPr>
        <w:pStyle w:val="Heading2"/>
      </w:pPr>
      <w:r>
        <w:t>Para recordar</w:t>
      </w:r>
    </w:p>
    <w:p>
      <w:pPr>
        <w:pStyle w:val="ListBullet"/>
      </w:pPr>
      <w:r>
        <w:t>Desde 1971, el dinero vale lo que la ley declara y la confianza que se le tiene: es el dinero sin respaldo material. La mayor parte la crean los bancos al prestar.</w:t>
      </w:r>
    </w:p>
    <w:p>
      <w:pPr>
        <w:pStyle w:val="ListBullet"/>
      </w:pPr>
      <w:r>
        <w:t>Durante siete siglos, desde dentro del poder, se advirtió lo mismo: alterar la moneda es quitar sin pedir permiso.</w:t>
      </w:r>
    </w:p>
    <w:p>
      <w:pPr>
        <w:pStyle w:val="ListBullet"/>
      </w:pPr>
      <w:r>
        <w:t>El tiempo de vida cristalizado: 100 euros guardados el 1 de enero de 1971 compran hoy lo que entonces 3,90; la meta oficial es perder un 2 % al año; y lo que pierde quien ahorra lo gana, en buena parte, quien debe.</w:t>
      </w:r>
    </w:p>
    <w:p>
      <w:pPr>
        <w:pStyle w:val="ListBullet"/>
      </w:pPr>
      <w:r>
        <w:t>La carga: de cada 100 euros que cuesta el trabajo de un asalariado medio, al menos 41 van a cotizaciones e IRPF, y hasta 53,6 con todas las capas.</w:t>
      </w:r>
    </w:p>
    <w:p>
      <w:pPr>
        <w:pStyle w:val="ListBullet"/>
      </w:pPr>
      <w:r>
        <w:t>El silencio del ciudadano se castiga solo; el del sistema hay que perseguirlo durante años.</w:t>
      </w:r>
    </w:p>
    <w:p>
      <w:pPr>
        <w:pStyle w:val="ListBullet"/>
      </w:pPr>
      <w:r>
        <w:t>La hucha de las pensiones se vació y está invertida, por ley, en deuda del propio Estado. Se publica cada dato, nunca la suma: es el muro de opacidad.</w:t>
      </w:r>
    </w:p>
    <w:p>
      <w:pPr>
        <w:pStyle w:val="ListBullet"/>
      </w:pPr>
      <w:r>
        <w:t>La vivienda se ha alejado del salario y los hijos están en mínimos; la causa, abierta.</w:t>
      </w:r>
    </w:p>
    <w:p>
      <w:pPr>
        <w:pStyle w:val="ListBullet"/>
      </w:pPr>
      <w:r>
        <w:t>La gente no es peor que antes: la confianza que ha caído es la que se tenía en las instituciones.</w:t>
      </w:r>
    </w:p>
    <w:p>
      <w:pPr>
        <w:pStyle w:val="ListBullet"/>
      </w:pPr>
      <w:r>
        <w:t>La salud y la familia: los antidepresivos se han multiplicado por casi cuatro desde 2000; los suicidios y los divorcios, por habitante y separando a la población española de la extranjera, no suben; no se afirma ninguna causa.</w:t>
      </w:r>
    </w:p>
    <w:p>
      <w:pPr>
        <w:pStyle w:val="ListBullet"/>
      </w:pPr>
      <w:r>
        <w:t>El efectivo y la señal: los pagos grandes en efectivo se limitan cada vez más y se prepara un euro digital, con hechos que no encajan con que el efectivo vaya a desaparecer; el texto de la Biblia que condiciona comprar y vender a una señal la liga a la lealtad a un poder, no a un medio de pago; la obra no afirma ninguna intención.</w:t>
      </w:r>
    </w:p>
    <w:p>
      <w:pPr>
        <w:pStyle w:val="ListBullet"/>
      </w:pPr>
      <w:r>
        <w:rPr>
          <w:b/>
        </w:rPr>
        <w:t>Lo que aquí se expone que hay que podar (lectura del autor):</w:t>
      </w:r>
      <w:r>
        <w:t xml:space="preserve"> la moneda que, al perder valor, quita sin pedir permiso el tiempo de vida de quien ahorra; el silencio del ciudadano, que se castiga solo, frente al del sistema, que hay que perseguir durante años; y el muro de opacidad, que publica cada dato y no la suma.</w:t>
      </w:r>
    </w:p>
    <w:p>
      <w:pPr>
        <w:pStyle w:val="ListBullet"/>
      </w:pPr>
      <w:r>
        <w:rPr>
          <w:b/>
        </w:rPr>
        <w:t>Lo siguiente:</w:t>
      </w:r>
      <w:r>
        <w:t xml:space="preserve"> lo medido, reunido en una conclusión, el dictamen, con sus límites (</w:t>
      </w:r>
      <w:r>
        <w:t>capítulo 9</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8 Los frutos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Los frutos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